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最高人民法院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关于内地与香港特别行政区相互执行仲裁裁决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的补充安排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依据《最高人民法院关于内地与香港特别行政区相互执行仲裁裁决的安排》(以下简称《安排》)第十一条的规定，最高人民法院与香港特别行政区政府经协商，作出如下补充安排：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一、《安排》所指执行内地或者香港特别行政区仲裁裁决的程序，应解释为包括认可和执行内地或者香港特别行政区仲裁裁决的程序。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二、将《安排》序言及第一条修改为：“根据《中华人民共和国香港特别行政区基本法》第九十五条的规定，经最高人民法院与香港特别行政区（以下简称香港特区）政府协商，现就仲裁裁决的相互执行问题作出如下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“一、内地人民法院执行按香港特区《仲裁条例》作出的仲裁裁决，香港特区法院执行按《中华人民共和国仲裁法》作出的仲裁裁决，适用本安排。”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三、将《安排》第二条第三款修改为：“被申请人在内地和香港特区均有住所地或者可供执行财产的，申请人可以分别向两地法院申请执行。应对方法院要求，两地法院应当相互提供本方执行仲裁裁决的情况。两地法院执行财产的总额，不得超过裁决确定的数额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四、在《安排》第六条中增加一款作为第二款：“有关法院在受理执行仲裁裁决申请之前或者之后，可以依申请并按照执行地法律规定采取保全或者强制措施。”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五、本补充安排第一条、第四条自公布之日起施行，第二条、第三条在香港特别行政区完成有关程序后，由最高人民法院公布生效日期。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DA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2021-05-21T08:10:16Z</dcterms:created>
  <dc:creator>21789</dc:creator>
  <cp:lastModifiedBy>21789</cp:lastModifiedBy>
  <dcterms:modified xsi:type="dcterms:W3CDTF">2021-05-21T08:14:16Z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2052-11.1.0.10359</vt:lpwstr>
  </property>
  <property fmtid="{D5CDD505-2E9C-101B-9397-08002B2CF9AE}" pid="3" name="ICV">
    <vt:lpwstr>A24BB4BA60764C57969A419185E8A8BE</vt:lpwstr>
  </property>
</Properties>
</file>