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2C1EF8">
      <w:pPr>
        <w:jc w:val="cente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中华人民共和国最高人民法院公告</w:t>
      </w:r>
    </w:p>
    <w:p w14:paraId="7EACF95D">
      <w:pP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　　《最高人民法院关于适用〈中华人民共和国民法典〉婚姻家庭编的解释（二）》已于2024年11月25日经最高人民法院审判委员会第1933次会议通过，现予公布，自2025年2月1日起施行。</w:t>
      </w:r>
    </w:p>
    <w:p w14:paraId="4CE76CEE">
      <w:pPr>
        <w:jc w:val="right"/>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 xml:space="preserve">     最高人民法院</w:t>
      </w:r>
    </w:p>
    <w:p w14:paraId="654AC1F2">
      <w:pPr>
        <w:jc w:val="right"/>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2025年1月15日</w:t>
      </w:r>
    </w:p>
    <w:p w14:paraId="7FFF58CC">
      <w:pP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　</w:t>
      </w:r>
    </w:p>
    <w:p w14:paraId="01FE7BEE">
      <w:pPr>
        <w:jc w:val="center"/>
        <w:rPr>
          <w:rFonts w:ascii="微软雅黑" w:hAnsi="微软雅黑" w:eastAsia="微软雅黑" w:cs="Times New Roman"/>
          <w:b/>
          <w:bCs/>
          <w:color w:val="000000" w:themeColor="text1"/>
          <w:sz w:val="24"/>
          <w:szCs w:val="24"/>
          <w14:textFill>
            <w14:solidFill>
              <w14:schemeClr w14:val="tx1"/>
            </w14:solidFill>
          </w14:textFill>
        </w:rPr>
      </w:pPr>
      <w:r>
        <w:rPr>
          <w:rFonts w:ascii="微软雅黑" w:hAnsi="微软雅黑" w:eastAsia="微软雅黑" w:cs="Times New Roman"/>
          <w:b/>
          <w:bCs/>
          <w:color w:val="000000" w:themeColor="text1"/>
          <w:sz w:val="24"/>
          <w:szCs w:val="24"/>
          <w14:textFill>
            <w14:solidFill>
              <w14:schemeClr w14:val="tx1"/>
            </w14:solidFill>
          </w14:textFill>
        </w:rPr>
        <w:t>最高人民法院关于适用《中华人民共和国民法典》婚姻家庭编的解释（二）</w:t>
      </w:r>
    </w:p>
    <w:p w14:paraId="1AE509A4">
      <w:pPr>
        <w:jc w:val="cente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（法释〔2025〕1号）</w:t>
      </w:r>
    </w:p>
    <w:p w14:paraId="5FAFAA8D">
      <w:pP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　　为正确审理婚姻家庭纠纷案件，根据《中华人民共和国民法典》《中华人民共和国民事诉讼法》等相关法律规定，结合审判实践，制定本解释。</w:t>
      </w:r>
    </w:p>
    <w:p w14:paraId="712EC91F">
      <w:pP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　　</w:t>
      </w:r>
    </w:p>
    <w:p w14:paraId="2AE6ABAA">
      <w:pP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　　第一条　当事人依据民法典第一千零五十一条第一项规定请求确认重婚的婚姻无效，提起诉讼时合法婚姻当事人已经离婚或者配偶已经死亡，被告以此为由抗辩后一婚姻自以上情形发生时转为有效的，人民法院不予支持。</w:t>
      </w:r>
    </w:p>
    <w:p w14:paraId="6E5466E8">
      <w:pP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　　第二条　夫妻登记离婚后，一方以双方意思表示虚假为由请求确认离婚无效的，人民法院不予支持。</w:t>
      </w:r>
    </w:p>
    <w:p w14:paraId="36FCBD6E">
      <w:pP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　　第三条　夫妻一方的债权人有证据证明离婚协议中财产分割条款影响其债权实现，请求参照适用民法典第五百三十八条或者第五百三十九条规定撤销相关条款的，人民法院应当综合考虑夫妻共同财产整体分割及履行情况、子女抚养费负担、离婚过错等因素，依法予以支持。</w:t>
      </w:r>
    </w:p>
    <w:p w14:paraId="18FBF536">
      <w:pP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　　第四条　双方均无配偶的同居关系析产纠纷案件中，对同居期间所得的财产，有约定的，按照约定处理；没有约定且协商不成的，人民法院按照以下情形分别处理：</w:t>
      </w:r>
    </w:p>
    <w:p w14:paraId="14FAE0B3">
      <w:pP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　　（一）各自所得的工资、奖金、劳务报酬、知识产权收益，各自继承或者受赠的财产以及单独生产、经营、投资的收益等，归各自所有；</w:t>
      </w:r>
    </w:p>
    <w:p w14:paraId="778B02D3">
      <w:pP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　　（二）共同出资购置的财产或者共同生产、经营、投资的收益以及其他无法区分的财产，以各自出资比例为基础，综合考虑共同生活情况、有无共同子女、对财产的贡献大小等因素进行分割。</w:t>
      </w:r>
    </w:p>
    <w:p w14:paraId="2AF843A7">
      <w:pP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　　第五条　婚前或者婚姻关系存续期间，当事人约定将一方所有的房屋转移登记至另一方或者双方名下，离婚诉讼时房屋所有权尚未转移登记，双方对房屋归属或者分割有争议且协商不成的，人民法院可以根据当事人诉讼请求，结合给予目的，综合考虑婚姻关系存续时间、共同生活及孕育共同子女情况、离婚过错、对家庭的贡献大小以及离婚时房屋市场价格等因素，判决房屋归其中一方所有，并确定是否由获得房屋一方对另一方予以补偿以及补偿的具体数额。</w:t>
      </w:r>
    </w:p>
    <w:p w14:paraId="11481FD5">
      <w:pP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　　婚前或者婚姻关系存续期间，一方将其所有的房屋转移登记至另一方或者双方名下，离婚诉讼中，双方对房屋归属或者分割有争议且协商不成的，如果婚姻关系存续时间较短且给予方无重大过错，人民法院可以根据当事人诉讼请求，判决该房屋归给予方所有，并结合给予目的，综合考虑共同生活及孕育共同子女情况、离婚过错、对家庭的贡献大小以及离婚时房屋市场价格等因素，确定是否由获得房屋一方对另一方予以补偿以及补偿的具体数额。</w:t>
      </w:r>
    </w:p>
    <w:p w14:paraId="16F9F0C5">
      <w:pP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　　给予方有证据证明另一方存在欺诈、胁迫、严重侵害给予方或者其近亲属合法权益、对给予方有扶养义务而不履行等情形，请求撤销前两款规定的民事法律行为的，人民法院依法予以支持。</w:t>
      </w:r>
    </w:p>
    <w:p w14:paraId="0D96667F">
      <w:pP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　　第六条　夫妻一方未经另一方同意，在网络直播平台用夫妻共同财产打赏，数额明显超出其家庭一般消费水平，严重损害夫妻共同财产利益的，可以认定为民法典第一千零六十六条和第一千零九十二条规定的“挥霍”。另一方请求在婚姻关系存续期间分割夫妻共同财产，或者在离婚分割夫妻共同财产时请求对打赏一方少分或者不分的，人民法院应予支持。</w:t>
      </w:r>
    </w:p>
    <w:p w14:paraId="5DE6E110">
      <w:pP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　　第七条　夫妻一方为重婚、与他人同居以及其他违反夫妻忠实义务等目的，将夫妻共同财产赠与他人或者以明显不合理的价格处分夫妻共同财产，另一方主张该民事法律行为违背公序良俗无效的，人民法院应予支持并依照民法典第一百五十七条规定处理。</w:t>
      </w:r>
    </w:p>
    <w:p w14:paraId="7D551539">
      <w:pP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　　夫妻一方存在前款规定情形，另一方以该方存在转移、变卖夫妻共同财产行为，严重损害夫妻共同财产利益为由，依据民法典第一千零六十六条规定请求在婚姻关系存续期间分割夫妻共同财产，或者依据民法</w:t>
      </w:r>
      <w:r>
        <w:rPr>
          <w:rFonts w:hint="eastAsia" w:ascii="Times New Roman" w:hAnsi="Times New Roman" w:eastAsia="宋体" w:cs="Times New Roman"/>
          <w:b w:val="0"/>
          <w:bCs w:val="0"/>
          <w:color w:val="000000" w:themeColor="text1"/>
          <w:szCs w:val="21"/>
          <w14:textFill>
            <w14:solidFill>
              <w14:schemeClr w14:val="tx1"/>
            </w14:solidFill>
          </w14:textFill>
        </w:rPr>
        <w:t xml:space="preserve"> </w:t>
      </w:r>
      <w:r>
        <w:rPr>
          <w:rFonts w:ascii="Times New Roman" w:hAnsi="Times New Roman" w:eastAsia="宋体" w:cs="Times New Roman"/>
          <w:b w:val="0"/>
          <w:bCs w:val="0"/>
          <w:color w:val="000000" w:themeColor="text1"/>
          <w:szCs w:val="21"/>
          <w14:textFill>
            <w14:solidFill>
              <w14:schemeClr w14:val="tx1"/>
            </w14:solidFill>
          </w14:textFill>
        </w:rPr>
        <w:t>典第一千零九十二条规定请求在离婚分割夫妻共同财产时对该方少分或者不分的，人民法院应予支持。</w:t>
      </w:r>
    </w:p>
    <w:p w14:paraId="441C39EC">
      <w:pP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　　第八条　婚姻关系存续期间，夫妻购置房屋由一方父母全额出资，如果赠与合同明确约定只赠与自己子女一方的，按照约定处理；没有约定或者约定不明确的，离婚分割夫妻共同财产时，人民法院可以判决该房屋归出资人子女一方所有，并综合考虑共同生活及孕育共同子女情况、离婚过错、对家庭的贡献大小以及离婚时房屋市场价格等因素，确定是否由获得房屋一方对另一方予以补偿以及补偿的具体数额。</w:t>
      </w:r>
    </w:p>
    <w:p w14:paraId="09E6E349">
      <w:pP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　　婚姻关系存续期间，夫妻购置房屋由一方父母部分出资或者双方父母出资，如果赠与合同明确约定相应出资只赠与自己子女一方的，按照约定处理；没有约定或者约定不明确的，离婚分割夫妻共同财产时，人民法院可以根据当事人诉讼请求，以出资来源及比例为基础，综合考虑共同生活及孕育共同子女情况、离婚过错、对家庭的贡献大小以及离婚时房屋市场价格等因素，判决房屋归其中一方所有，并由获得房屋一方对另一方予以合理补偿。</w:t>
      </w:r>
    </w:p>
    <w:p w14:paraId="79AA251B">
      <w:pP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　　第九条　夫妻一方转让用夫妻共同财产出资但登记在自己名下的有限责任公司股权，另一方以未经其同意侵害夫妻共同财产利益为由请求确认股权转让合同无效的，人民法院不予支持，但有证据证明转让人与受让人恶意串通损害另一方合法权益的除外。</w:t>
      </w:r>
    </w:p>
    <w:p w14:paraId="0F5E88DA">
      <w:pP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　　第十条　夫妻以共同财产投资有限责任公司，并均登记为股东，双方对相应股权的归属没有约定或者约定不明确，离婚时，一方请求按照股东名册或者公司章程记载的各自出资额确定股权分割比例的，人民法院不予支持；对当事人分割夫妻共同财产的请求，人民法院依照民法典第一千零八十七条规定处理。</w:t>
      </w:r>
    </w:p>
    <w:p w14:paraId="38B4D967">
      <w:pP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　　第十一条　夫妻一方以另一方可继承的财产为夫妻共同财产、放弃继承侵害夫妻共同财产利益为由主张另一方放弃继承无效的，人民法院不予支持，但有证据证明放弃继承导致放弃一方不能履行法定扶养义务的除外。</w:t>
      </w:r>
    </w:p>
    <w:p w14:paraId="0D0525D4">
      <w:pP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　　第十二条　父母一方或者其近亲属等抢夺、藏匿未成年子女，另一方向人民法院申请人身安全保护令或者参照适用民法典第九百九十七条规定申请人格权侵害禁令的，人民法院依法予以支持。</w:t>
      </w:r>
    </w:p>
    <w:p w14:paraId="1988EE97">
      <w:pP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　　抢夺、藏匿未成年子女一方以另一方存在赌博、吸毒、家庭暴力等严重侵害未成年子女合法权益情形，主张其抢夺、藏匿行为有合理事由的，人民法院应当告知其依法通过撤销监护人资格、中止探望或者变更抚养关系等途径解决。当事人对其上述主张未提供证据证明且未在合理期限内提出相关请求的，人民法院依照前款规定处理。</w:t>
      </w:r>
    </w:p>
    <w:p w14:paraId="3535CFA7">
      <w:pP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　　第十三条　夫妻分居期间，一方或者其近亲属等抢夺、藏匿未成年子女，致使另一方无法履行监护职责，另一方请求行为人承担民事责任的，人民法院可以参照适用民法典第一千零八十四条关于离婚后子女抚养的有关规定，暂时确定未成年子女的抚养事宜，并明确暂时直接抚养未成年子女一方有协助另一方履行监护职责的义务。</w:t>
      </w:r>
    </w:p>
    <w:p w14:paraId="6C6C075E">
      <w:pP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　　第十四条　离婚诉讼中，父母均要求直接抚养已满两周岁的未成年子女，一方有下列情形之一的，人民法院应当按照最有利于未成年子女的原则，优先考虑由另一方直接抚养：</w:t>
      </w:r>
    </w:p>
    <w:p w14:paraId="076388DA">
      <w:pP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　　（一）实施家庭暴力或者虐待、遗弃家庭成员；</w:t>
      </w:r>
    </w:p>
    <w:p w14:paraId="1085D5A9">
      <w:pP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　　（二）有赌博、吸毒等恶习；</w:t>
      </w:r>
    </w:p>
    <w:p w14:paraId="79626C4A">
      <w:pP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　　（三）重婚、与他人同居或者其他严重违反夫妻忠实义务情形；</w:t>
      </w:r>
    </w:p>
    <w:p w14:paraId="4FE1400D">
      <w:pP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　　（四）抢夺、藏匿未成年子女且另一方不存在本条第一项或者第二项等严重侵害未成年子女合法权益情形；</w:t>
      </w:r>
    </w:p>
    <w:p w14:paraId="0F632597">
      <w:pP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　　（五）其他不利于未成年子女身心健康的情形。</w:t>
      </w:r>
    </w:p>
    <w:p w14:paraId="69A5D6CA">
      <w:pP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　　第十五条</w:t>
      </w:r>
      <w:bookmarkStart w:id="0" w:name="_GoBack"/>
      <w:bookmarkEnd w:id="0"/>
      <w:r>
        <w:rPr>
          <w:rFonts w:ascii="Times New Roman" w:hAnsi="Times New Roman" w:eastAsia="宋体" w:cs="Times New Roman"/>
          <w:b w:val="0"/>
          <w:bCs w:val="0"/>
          <w:color w:val="000000" w:themeColor="text1"/>
          <w:szCs w:val="21"/>
          <w14:textFill>
            <w14:solidFill>
              <w14:schemeClr w14:val="tx1"/>
            </w14:solidFill>
          </w14:textFill>
        </w:rPr>
        <w:t>　父母双方以法定代理人身份处分用夫妻共同财产购买并登记在未成年子女名下的房屋后，又以违反民法典第三十五条规定损害未成年子女利益为由向相对人主张该民事法律行为无效的，人民法院不予支持。</w:t>
      </w:r>
    </w:p>
    <w:p w14:paraId="1A2DE16C">
      <w:pP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　　第十六条　离婚协议中关于一方直接抚养未成年子女或者不能独立生活的成年子女、另一方不负担抚养费的约定，对双方具有法律约束力。但是，离婚后，直接抚养子女一方经济状况发生变化导致原生活水平显著降低或者子女生活、教育、医疗等必要合理费用确有显著增加，未成年子女或者不能独立生活的成年子女请求另一方支付抚养费的，人民法院依法予以支持，并综合考虑离婚协议整体约定、子女实际需要、另一方的负担能力、当地生活水平等因素，确定抚养费的数额。</w:t>
      </w:r>
    </w:p>
    <w:p w14:paraId="6D2D9E22">
      <w:pP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　　前款但书规定情形下，另一方以直接抚养子女一方无抚养能力为由请求变更抚养关系的，人民法院依照民法典第一千零八十四条规定处理。</w:t>
      </w:r>
    </w:p>
    <w:p w14:paraId="0A187D82">
      <w:pP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　　第十七条　离婚后，不直接抚养子女一方未按照离婚协议约定或者以其他方式作出的承诺给付抚养费，未成年子女或者不能独立生活的成年子女请求其支付欠付的抚养费的，人民法院应予支持。</w:t>
      </w:r>
    </w:p>
    <w:p w14:paraId="6893A124">
      <w:pP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　　前款规定情形下，如果子女已经成年并能够独立生活，直接抚养子女一方请求另一方支付欠付的费用的，人民法院依法予以支持。</w:t>
      </w:r>
    </w:p>
    <w:p w14:paraId="0299D5C5">
      <w:pP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　　第十八条　对民法典第一千零七十二条中继子女受继父或者继母抚养教育的事实，人民法院应当以共同生活时间长短为基础，综合考虑共同生活期间继父母是否实际进行生活照料、是否履行家庭教育职责、是否承担抚养费等因素予以认定。</w:t>
      </w:r>
    </w:p>
    <w:p w14:paraId="62AAAB6C">
      <w:pP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　　第十九条　生父与继母或者生母与继父离婚后，当事人主张继父或者继母和曾受其抚养教育的继子女之间的权利义务关系不再适用民法典关于父母子女关系规定的，人民法院应予支持，但继父或者继母与继子女存在依法成立的收养关系或者继子女仍与继父或者继母共同生活的除外。</w:t>
      </w:r>
    </w:p>
    <w:p w14:paraId="487F4BAB">
      <w:pP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　　继父母子女关系解除后，缺乏劳动能力又缺乏生活来源的继父或者继母请求曾受其抚养教育的成年继子女给付生活费的，人民法院可以综合考虑抚养教育情况、成年继子女负担能力等因素，依法予以支持，但是继父或者继母曾存在虐待、遗弃继子女等情况的除外。</w:t>
      </w:r>
    </w:p>
    <w:p w14:paraId="5686AC25">
      <w:pP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　　第二十条　离婚协议约定将部分或者全部夫妻共同财产给予子女，离婚后，一方在财产权利转移之前请求撤销该约定的，人民法院不予支持，但另一方同意的除外。</w:t>
      </w:r>
    </w:p>
    <w:p w14:paraId="0786FD28">
      <w:pP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　　一方不履行前款离婚协议约定的义务，另一方请求其承担继续履行或者因无法履行而赔偿损失等民事责任的，人民法院依法予以支持。</w:t>
      </w:r>
    </w:p>
    <w:p w14:paraId="60AAA8B8">
      <w:pP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　　双方在离婚协议中明确约定子女可以就本条第一款中的相关财产直接主张权利，一方不履行离婚协议约定的义务，子女请求参照适用民法典第五百二十二条第二款规定，由该方承担继续履行或者因无法履行而赔偿损失等民事责任的，人民法院依法予以支持。</w:t>
      </w:r>
    </w:p>
    <w:p w14:paraId="0E1775BC">
      <w:pP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　　离婚协议约定将部分或者全部夫妻共同财产给予子女，离婚后，一方有证据证明签订离婚协议时存在欺诈、胁迫等情形，请求撤销该约定的，人民法院依法予以支持；当事人同时请求分割该部分夫妻共同财产的，人民法院依照民法典第一千零八十七条规定处理。</w:t>
      </w:r>
    </w:p>
    <w:p w14:paraId="350C6D70">
      <w:pP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　　第二十一条　离婚诉讼中，夫妻一方有证据证明在婚姻关系存续期间因抚育子女、照料老年人、协助另一方工作等负担较多义务，依据民法典第一千零八十八条规定请求另一方给予补偿的，人民法院可以综合考虑负担相应义务投入的时间、精力和对双方的影响以及给付方负担能力、当地居民人均可支配收入等因素，确定补偿数额。</w:t>
      </w:r>
    </w:p>
    <w:p w14:paraId="38CF27BF">
      <w:pP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　　第二十二条　离婚诉讼中，一方存在年老、残疾、重病等生活困难情形，依据民法典第一千零九十条规定请求有负担能力的另一方给予适当帮助的，人民法院可以根据当事人请求，结合另一方财产状况，依法予以支持。</w:t>
      </w:r>
    </w:p>
    <w:p w14:paraId="7E349DDA">
      <w:pP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　　第二十三条　本解释自2025年2月1日起施行。</w:t>
      </w:r>
    </w:p>
    <w:p w14:paraId="414CB38F">
      <w:pPr>
        <w:rPr>
          <w:rFonts w:ascii="Times New Roman" w:hAnsi="Times New Roman" w:eastAsia="宋体" w:cs="Times New Roman"/>
          <w:b w:val="0"/>
          <w:bCs w:val="0"/>
          <w:color w:val="000000" w:themeColor="text1"/>
          <w:szCs w:val="21"/>
          <w14:textFill>
            <w14:solidFill>
              <w14:schemeClr w14:val="tx1"/>
            </w14:solidFill>
          </w14:textFill>
        </w:rPr>
      </w:pPr>
      <w:r>
        <w:rPr>
          <w:rFonts w:ascii="Times New Roman" w:hAnsi="Times New Roman" w:eastAsia="宋体" w:cs="Times New Roman"/>
          <w:b w:val="0"/>
          <w:bCs w:val="0"/>
          <w:color w:val="000000" w:themeColor="text1"/>
          <w:szCs w:val="21"/>
          <w14:textFill>
            <w14:solidFill>
              <w14:schemeClr w14:val="tx1"/>
            </w14:solidFill>
          </w14:textFill>
        </w:rPr>
        <w:t xml:space="preserve">        </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3329257"/>
    </w:sdtPr>
    <w:sdtEndPr>
      <w:rPr>
        <w:rFonts w:ascii="Times New Roman" w:hAnsi="Times New Roman" w:cs="Times New Roman"/>
      </w:rPr>
    </w:sdtEndPr>
    <w:sdtContent>
      <w:sdt>
        <w:sdtPr>
          <w:id w:val="1728636285"/>
        </w:sdtPr>
        <w:sdtEndPr>
          <w:rPr>
            <w:rFonts w:ascii="Times New Roman" w:hAnsi="Times New Roman" w:cs="Times New Roman"/>
          </w:rPr>
        </w:sdtEndPr>
        <w:sdtContent>
          <w:p w14:paraId="1F60EFB3">
            <w:pPr>
              <w:pStyle w:val="11"/>
              <w:jc w:val="center"/>
              <w:rPr>
                <w:rFonts w:ascii="Times New Roman" w:hAnsi="Times New Roman" w:cs="Times New Roman"/>
              </w:rPr>
            </w:pPr>
            <w:r>
              <w:rPr>
                <w:rFonts w:ascii="Times New Roman" w:hAnsi="Times New Roman" w:cs="Times New Roman"/>
                <w:lang w:val="zh-CN"/>
              </w:rPr>
              <w:t xml:space="preserve"> </w:t>
            </w:r>
            <w:r>
              <w:rPr>
                <w:rFonts w:ascii="Times New Roman" w:hAnsi="Times New Roman" w:cs="Times New Roman"/>
                <w:sz w:val="24"/>
                <w:szCs w:val="24"/>
              </w:rPr>
              <w:fldChar w:fldCharType="begin"/>
            </w:r>
            <w:r>
              <w:rPr>
                <w:rFonts w:ascii="Times New Roman" w:hAnsi="Times New Roman" w:cs="Times New Roman"/>
              </w:rPr>
              <w:instrText xml:space="preserve">PAGE</w:instrText>
            </w:r>
            <w:r>
              <w:rPr>
                <w:rFonts w:ascii="Times New Roman" w:hAnsi="Times New Roman" w:cs="Times New Roman"/>
                <w:sz w:val="24"/>
                <w:szCs w:val="24"/>
              </w:rPr>
              <w:fldChar w:fldCharType="separate"/>
            </w:r>
            <w:r>
              <w:rPr>
                <w:rFonts w:ascii="Times New Roman" w:hAnsi="Times New Roman" w:cs="Times New Roman"/>
                <w:lang w:val="zh-CN"/>
              </w:rPr>
              <w:t>2</w:t>
            </w:r>
            <w:r>
              <w:rPr>
                <w:rFonts w:ascii="Times New Roman" w:hAnsi="Times New Roman" w:cs="Times New Roman"/>
                <w:sz w:val="24"/>
                <w:szCs w:val="24"/>
              </w:rPr>
              <w:fldChar w:fldCharType="end"/>
            </w:r>
            <w:r>
              <w:rPr>
                <w:rFonts w:ascii="Times New Roman" w:hAnsi="Times New Roman" w:cs="Times New Roman"/>
                <w:lang w:val="zh-CN"/>
              </w:rPr>
              <w:t xml:space="preserve"> / </w:t>
            </w:r>
            <w:r>
              <w:rPr>
                <w:rFonts w:ascii="Times New Roman" w:hAnsi="Times New Roman" w:cs="Times New Roman"/>
                <w:sz w:val="24"/>
                <w:szCs w:val="24"/>
              </w:rPr>
              <w:fldChar w:fldCharType="begin"/>
            </w:r>
            <w:r>
              <w:rPr>
                <w:rFonts w:ascii="Times New Roman" w:hAnsi="Times New Roman" w:cs="Times New Roman"/>
              </w:rPr>
              <w:instrText xml:space="preserve">NUMPAGES</w:instrText>
            </w:r>
            <w:r>
              <w:rPr>
                <w:rFonts w:ascii="Times New Roman" w:hAnsi="Times New Roman" w:cs="Times New Roman"/>
                <w:sz w:val="24"/>
                <w:szCs w:val="24"/>
              </w:rPr>
              <w:fldChar w:fldCharType="separate"/>
            </w:r>
            <w:r>
              <w:rPr>
                <w:rFonts w:ascii="Times New Roman" w:hAnsi="Times New Roman" w:cs="Times New Roman"/>
                <w:lang w:val="zh-CN"/>
              </w:rPr>
              <w:t>2</w:t>
            </w:r>
            <w:r>
              <w:rPr>
                <w:rFonts w:ascii="Times New Roman" w:hAnsi="Times New Roman" w:cs="Times New Roman"/>
                <w:sz w:val="24"/>
                <w:szCs w:val="24"/>
              </w:rPr>
              <w:fldChar w:fldCharType="end"/>
            </w:r>
          </w:p>
        </w:sdtContent>
      </w:sdt>
    </w:sdtContent>
  </w:sdt>
  <w:p w14:paraId="5FC54146">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D279DE">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872346">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E77588">
    <w:pPr>
      <w:pStyle w:val="1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9E7E5">
    <w:pPr>
      <w:pStyle w:val="1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08505C">
    <w:pPr>
      <w:pStyle w:val="1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4CEB"/>
    <w:rsid w:val="00167705"/>
    <w:rsid w:val="001E5AC6"/>
    <w:rsid w:val="002156A9"/>
    <w:rsid w:val="003D519A"/>
    <w:rsid w:val="006B41BB"/>
    <w:rsid w:val="00854538"/>
    <w:rsid w:val="009632A4"/>
    <w:rsid w:val="00A20C50"/>
    <w:rsid w:val="00B04CEB"/>
    <w:rsid w:val="00B9733B"/>
    <w:rsid w:val="00C37DCC"/>
    <w:rsid w:val="00F01FFF"/>
    <w:rsid w:val="0C680516"/>
    <w:rsid w:val="13C87D71"/>
    <w:rsid w:val="25307F3D"/>
    <w:rsid w:val="34E71D3D"/>
    <w:rsid w:val="41D0340D"/>
    <w:rsid w:val="5E503537"/>
    <w:rsid w:val="735F3894"/>
    <w:rsid w:val="74A70EC6"/>
    <w:rsid w:val="7B9A59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qFormat/>
    <w:uiPriority w:val="9"/>
    <w:rPr>
      <w:rFonts w:cstheme="majorBidi"/>
      <w:color w:val="104862" w:themeColor="accent1" w:themeShade="BF"/>
      <w:sz w:val="28"/>
      <w:szCs w:val="28"/>
    </w:rPr>
  </w:style>
  <w:style w:type="character" w:customStyle="1" w:styleId="21">
    <w:name w:val="标题 5 字符"/>
    <w:basedOn w:val="16"/>
    <w:link w:val="6"/>
    <w:semiHidden/>
    <w:qFormat/>
    <w:uiPriority w:val="9"/>
    <w:rPr>
      <w:rFonts w:cstheme="majorBidi"/>
      <w:color w:val="104862" w:themeColor="accent1" w:themeShade="BF"/>
      <w:sz w:val="24"/>
      <w:szCs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明显强调1"/>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明显引用 字符"/>
    <w:basedOn w:val="16"/>
    <w:link w:val="32"/>
    <w:qFormat/>
    <w:uiPriority w:val="30"/>
    <w:rPr>
      <w:i/>
      <w:iCs/>
      <w:color w:val="104862" w:themeColor="accent1" w:themeShade="BF"/>
    </w:rPr>
  </w:style>
  <w:style w:type="character" w:customStyle="1" w:styleId="34">
    <w:name w:val="明显参考1"/>
    <w:basedOn w:val="16"/>
    <w:qFormat/>
    <w:uiPriority w:val="32"/>
    <w:rPr>
      <w:b/>
      <w:bCs/>
      <w:smallCaps/>
      <w:color w:val="104862"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4539</Words>
  <Characters>4560</Characters>
  <Lines>33</Lines>
  <Paragraphs>9</Paragraphs>
  <TotalTime>514</TotalTime>
  <ScaleCrop>false</ScaleCrop>
  <LinksUpToDate>false</LinksUpToDate>
  <CharactersWithSpaces>4686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2025-01-16T14:16:00Z</dcterms:created>
  <dc:creator>勇敏 柯</dc:creator>
  <cp:lastModifiedBy>kym</cp:lastModifiedBy>
  <dcterms:modified xsi:type="dcterms:W3CDTF">2025-06-13T15:53:44Z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eyJoZGlkIjoiZTk4MGRiYTMzNjUwYmExMmFhNGNkOTQ3YTQyNTU0YTEiLCJ1c2VySWQiOiIxNjM4MTYzMTIzIn0=</vt:lpwstr>
  </property>
  <property fmtid="{D5CDD505-2E9C-101B-9397-08002B2CF9AE}" pid="3" name="KSOProductBuildVer">
    <vt:lpwstr>2052-12.1.0.21171</vt:lpwstr>
  </property>
  <property fmtid="{D5CDD505-2E9C-101B-9397-08002B2CF9AE}" pid="4" name="ICV">
    <vt:lpwstr>6D376F52E8824BFF8259F50BD9120370_12</vt:lpwstr>
  </property>
</Properties>
</file>