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B9479" w14:textId="49A67852" w:rsidR="00DB22DC" w:rsidRPr="00DB22DC" w:rsidRDefault="00DB22DC" w:rsidP="00DB22DC">
      <w:pPr>
        <w:widowControl/>
        <w:shd w:val="clear" w:color="auto" w:fill="FFFFFF"/>
        <w:spacing w:line="312" w:lineRule="atLeast"/>
        <w:jc w:val="center"/>
        <w:rPr>
          <w:rFonts w:ascii="Arial" w:eastAsia="宋体" w:hAnsi="Arial" w:cs="Arial" w:hint="eastAsia"/>
          <w:color w:val="000000"/>
          <w:kern w:val="0"/>
          <w:sz w:val="19"/>
          <w:szCs w:val="19"/>
        </w:rPr>
      </w:pPr>
      <w:r w:rsidRPr="00DB22DC">
        <w:rPr>
          <w:rFonts w:ascii="Arial" w:eastAsia="宋体" w:hAnsi="Arial" w:cs="Arial"/>
          <w:color w:val="000000"/>
          <w:kern w:val="0"/>
          <w:sz w:val="19"/>
          <w:szCs w:val="19"/>
        </w:rPr>
        <w:br/>
      </w:r>
      <w:r w:rsidRPr="00196A7D">
        <w:rPr>
          <w:rFonts w:ascii="Arial" w:eastAsia="宋体" w:hAnsi="Arial" w:cs="Arial"/>
          <w:b/>
          <w:bCs/>
          <w:color w:val="000000"/>
          <w:kern w:val="0"/>
          <w:sz w:val="19"/>
          <w:szCs w:val="19"/>
        </w:rPr>
        <w:t>最高人民法院关于审理行政许可案件若干问题的规定</w:t>
      </w:r>
    </w:p>
    <w:p w14:paraId="6D8BA977"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为规范行政许可案件的审理，根据《中华人民共和国行政许可法》（以下简称行政许可法）、《中华人民共和国行政诉讼法》及其他有关法律规定，结合行政审判实际，对有关问题作如下规定：</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第一条　公民、法人或者其他组织认为行政机关</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的行政许可决定以及相应的不作为，或者行政机关就行政许可的变更、延续、撤回、注销、撤销等事项</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的有关具体行政行为及其相应的不作为侵犯其合法权益，提起行政诉讼的，人民法院应当依法受理。</w:t>
      </w:r>
    </w:p>
    <w:p w14:paraId="21F12D53"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3C647CA1"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第二条　公民、法人或者其他组织认为行政机关未公开行政许可决定或者未提供行政许可监督检查记录侵犯其合法权益，提起行政诉讼的，人民法院应当依法受理。</w:t>
      </w:r>
    </w:p>
    <w:p w14:paraId="760DFE28"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11DC444A"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第三条　公民、法人或者其他组织仅就行政许可过程中的告知补正申请材料、听证等通知行为提起行政诉讼的，人民法院不予受理，但导致许可程序对上述主体事实上终止的除外。</w:t>
      </w:r>
    </w:p>
    <w:p w14:paraId="4A3472D2"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5925B502"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第四条　当事人不服行政许可决定提起诉讼的，以</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行政许可决定的机关为被告；行政许可依法须经上级行政机关批准，当事人对批准或者不批准行为不服一并提起诉讼的，以上级行政机关为共同被告；行政许可依法须经下级行政机关或者管理公共事务的组织初步审查并上报，当事人对不予初步审查或者不予上报不服提起诉讼的，以下级行政机关或者管理公共事务的组织为被告。</w:t>
      </w:r>
    </w:p>
    <w:p w14:paraId="169DFBF3"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45D7542C"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第五条　行政机关依据行政许可法第二十六条第二款规定统一办理行政许可的，当事人对行政许可行为不服提起诉讼，以对当事人</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具有实质影响的不利行为的机关为被告。</w:t>
      </w:r>
    </w:p>
    <w:p w14:paraId="70C4ECFB"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4DC44096"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第六条　行政机关受理行政许可申请后，在法定期限内不予答复，公民、法人或者其他组织向人民法院起诉的，人民法院应当依法受理。</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前款</w:t>
      </w:r>
      <w:r w:rsidRPr="00DB22DC">
        <w:rPr>
          <w:rFonts w:ascii="Arial" w:eastAsia="宋体" w:hAnsi="Arial" w:cs="Arial"/>
          <w:color w:val="000000"/>
          <w:kern w:val="0"/>
          <w:sz w:val="19"/>
          <w:szCs w:val="19"/>
          <w:shd w:val="clear" w:color="auto" w:fill="FFFFFF"/>
        </w:rPr>
        <w:t>“</w:t>
      </w:r>
      <w:r w:rsidRPr="00DB22DC">
        <w:rPr>
          <w:rFonts w:ascii="Arial" w:eastAsia="宋体" w:hAnsi="Arial" w:cs="Arial"/>
          <w:color w:val="000000"/>
          <w:kern w:val="0"/>
          <w:sz w:val="19"/>
          <w:szCs w:val="19"/>
          <w:shd w:val="clear" w:color="auto" w:fill="FFFFFF"/>
        </w:rPr>
        <w:t>法定期限</w:t>
      </w:r>
      <w:r w:rsidRPr="00DB22DC">
        <w:rPr>
          <w:rFonts w:ascii="Arial" w:eastAsia="宋体" w:hAnsi="Arial" w:cs="Arial"/>
          <w:color w:val="000000"/>
          <w:kern w:val="0"/>
          <w:sz w:val="19"/>
          <w:szCs w:val="19"/>
          <w:shd w:val="clear" w:color="auto" w:fill="FFFFFF"/>
        </w:rPr>
        <w:t>”</w:t>
      </w:r>
      <w:proofErr w:type="gramStart"/>
      <w:r w:rsidRPr="00DB22DC">
        <w:rPr>
          <w:rFonts w:ascii="Arial" w:eastAsia="宋体" w:hAnsi="Arial" w:cs="Arial"/>
          <w:color w:val="000000"/>
          <w:kern w:val="0"/>
          <w:sz w:val="19"/>
          <w:szCs w:val="19"/>
          <w:shd w:val="clear" w:color="auto" w:fill="FFFFFF"/>
        </w:rPr>
        <w:t>自行政</w:t>
      </w:r>
      <w:proofErr w:type="gramEnd"/>
      <w:r w:rsidRPr="00DB22DC">
        <w:rPr>
          <w:rFonts w:ascii="Arial" w:eastAsia="宋体" w:hAnsi="Arial" w:cs="Arial"/>
          <w:color w:val="000000"/>
          <w:kern w:val="0"/>
          <w:sz w:val="19"/>
          <w:szCs w:val="19"/>
          <w:shd w:val="clear" w:color="auto" w:fill="FFFFFF"/>
        </w:rPr>
        <w:t>许可申请受理之日起计算；以数据电文方式受理的，</w:t>
      </w:r>
      <w:proofErr w:type="gramStart"/>
      <w:r w:rsidRPr="00DB22DC">
        <w:rPr>
          <w:rFonts w:ascii="Arial" w:eastAsia="宋体" w:hAnsi="Arial" w:cs="Arial"/>
          <w:color w:val="000000"/>
          <w:kern w:val="0"/>
          <w:sz w:val="19"/>
          <w:szCs w:val="19"/>
          <w:shd w:val="clear" w:color="auto" w:fill="FFFFFF"/>
        </w:rPr>
        <w:t>自数据</w:t>
      </w:r>
      <w:proofErr w:type="gramEnd"/>
      <w:r w:rsidRPr="00DB22DC">
        <w:rPr>
          <w:rFonts w:ascii="Arial" w:eastAsia="宋体" w:hAnsi="Arial" w:cs="Arial"/>
          <w:color w:val="000000"/>
          <w:kern w:val="0"/>
          <w:sz w:val="19"/>
          <w:szCs w:val="19"/>
          <w:shd w:val="clear" w:color="auto" w:fill="FFFFFF"/>
        </w:rPr>
        <w:t>电文进入行政机关指定的特定系统之日起计算；数据电文需要确认收讫的，自申请人收到行政机关的收讫确认之日起计算。</w:t>
      </w:r>
    </w:p>
    <w:p w14:paraId="7CEE8771"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65CEE8CB"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第七条　作为被诉行政许可行为基础的其他行政决定或者文书存在以下情形之一的，人民法院不予认可：</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lastRenderedPageBreak/>
        <w:t xml:space="preserve">　　（一）明显缺乏事实根据；</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（二）明显缺乏法律依据；</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（三）超越职权；</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（四）其他重大明显违法情形。</w:t>
      </w:r>
    </w:p>
    <w:p w14:paraId="4DC59F91"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31876621"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第八条　被告不提供或者无正当理由逾期提供证据的，与被诉行政许可行为有利害关系的第三人可以向人民法院提供；第三人对无法提供的证据，可以申请人民法院调取；人民法院在当事人无争议，但涉及国家利益、公共利益或者他人合法权益的情况下，也可以依职权调取证据。</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第三人提供或者人民法院调取的证据能够证明行政许可行为合法的，人民法院应当判决驳回原告的诉讼请求。</w:t>
      </w:r>
    </w:p>
    <w:p w14:paraId="3265BB68"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03D36033"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第九条　人民法院审理行政许可案件，应当以申请人提出行政许可申请后实施的新的法律规范为依据；行政机关在旧的法律规范实施期间，无正当理由拖延审查行政许可申请至新的法律规范实施，适用新的法律规范不利于申请人的，以旧的法律规范为依据。</w:t>
      </w:r>
    </w:p>
    <w:p w14:paraId="5F1E28B7"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230CEA6B"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第十条　被诉准予行政许可决定违反当时的法律规范但符合新的法律规范的，判决确认该决定违法；准予行政许可决定不损害公共利益和利害关系人合法权益的，判决驳回原告的诉讼请求。</w:t>
      </w:r>
    </w:p>
    <w:p w14:paraId="4189E0F7"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61883241"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第十一条　人民法院审理不予行政许可决定案件，认为原告请求准予许可的理由成立，且被告没有裁量余地的，可以在判决理由写明，并判决撤销不予许可决定，责令被告重新</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决定。</w:t>
      </w:r>
    </w:p>
    <w:p w14:paraId="40FCCF3D"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3DA73904"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第十二条　被告无正当理由拒绝原告查阅行政许可决定及有关档案材料或者监督检查记录的，人民法院可以判决被告在法定或者合理期限内准予原告查阅。</w:t>
      </w:r>
    </w:p>
    <w:p w14:paraId="534330D5"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53B5482D"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第十三条　被告在实施行政许可过程中，与他人恶意串通共同违法侵犯原告合法权益的，应当承担连带赔偿责任；被告与他人违法侵犯原告合法权益的，应当根据其违法行为在损害发生过程和结果中所起作用等因素，确定被告的行政赔偿责任；被告已经依照法定程序履行审慎合理的审查职责，因他人行为导致行政许可决定违法的，不承担赔偿责任。</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在行政许可案件中，当事人请求一并解决有关民事赔偿问题的，人民法院可以合并审理。</w:t>
      </w:r>
    </w:p>
    <w:p w14:paraId="6C9EB64B"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1FC4542F"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第十四条　行政机关依据行政许可法第八条第二款规定变更或者撤回已经生效的行政许可，公民、法人或者其他组织</w:t>
      </w:r>
      <w:proofErr w:type="gramStart"/>
      <w:r w:rsidRPr="00DB22DC">
        <w:rPr>
          <w:rFonts w:ascii="Arial" w:eastAsia="宋体" w:hAnsi="Arial" w:cs="Arial"/>
          <w:color w:val="000000"/>
          <w:kern w:val="0"/>
          <w:sz w:val="19"/>
          <w:szCs w:val="19"/>
          <w:shd w:val="clear" w:color="auto" w:fill="FFFFFF"/>
        </w:rPr>
        <w:t>仅主张</w:t>
      </w:r>
      <w:proofErr w:type="gramEnd"/>
      <w:r w:rsidRPr="00DB22DC">
        <w:rPr>
          <w:rFonts w:ascii="Arial" w:eastAsia="宋体" w:hAnsi="Arial" w:cs="Arial"/>
          <w:color w:val="000000"/>
          <w:kern w:val="0"/>
          <w:sz w:val="19"/>
          <w:szCs w:val="19"/>
          <w:shd w:val="clear" w:color="auto" w:fill="FFFFFF"/>
        </w:rPr>
        <w:t>行政补偿的，应当先向行政机关提出申请；行政机关在法定期限或者合理期限内不予答复或者对行政机关</w:t>
      </w:r>
      <w:proofErr w:type="gramStart"/>
      <w:r w:rsidRPr="00DB22DC">
        <w:rPr>
          <w:rFonts w:ascii="Arial" w:eastAsia="宋体" w:hAnsi="Arial" w:cs="Arial"/>
          <w:color w:val="000000"/>
          <w:kern w:val="0"/>
          <w:sz w:val="19"/>
          <w:szCs w:val="19"/>
          <w:shd w:val="clear" w:color="auto" w:fill="FFFFFF"/>
        </w:rPr>
        <w:t>作出</w:t>
      </w:r>
      <w:proofErr w:type="gramEnd"/>
      <w:r w:rsidRPr="00DB22DC">
        <w:rPr>
          <w:rFonts w:ascii="Arial" w:eastAsia="宋体" w:hAnsi="Arial" w:cs="Arial"/>
          <w:color w:val="000000"/>
          <w:kern w:val="0"/>
          <w:sz w:val="19"/>
          <w:szCs w:val="19"/>
          <w:shd w:val="clear" w:color="auto" w:fill="FFFFFF"/>
        </w:rPr>
        <w:t>的补偿决定不服的，可以依法提起行政诉讼。</w:t>
      </w:r>
    </w:p>
    <w:p w14:paraId="49DE4925"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6FA8E183" w14:textId="77777777" w:rsidR="00DB22DC" w:rsidRPr="00DB22DC" w:rsidRDefault="00DB22DC" w:rsidP="00DB22DC">
      <w:pPr>
        <w:widowControl/>
        <w:jc w:val="left"/>
        <w:rPr>
          <w:rFonts w:ascii="宋体" w:eastAsia="宋体" w:hAnsi="宋体" w:cs="宋体"/>
          <w:kern w:val="0"/>
          <w:sz w:val="24"/>
          <w:szCs w:val="24"/>
        </w:rPr>
      </w:pP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第十五条　法律、法规、规章或者规范性文件对变更或者撤回行政许可的补偿标准未作规定的，一般在实际损失范围内确定补偿数额；行政许可属于行政许可法第十二条第（二）项规定情形的，一般按照实际投入的损失确定补偿数额。</w:t>
      </w:r>
    </w:p>
    <w:p w14:paraId="3CE04CF6" w14:textId="77777777" w:rsidR="00DB22DC" w:rsidRPr="00DB22DC" w:rsidRDefault="00DB22DC" w:rsidP="00DB22DC">
      <w:pPr>
        <w:widowControl/>
        <w:shd w:val="clear" w:color="auto" w:fill="FFFFFF"/>
        <w:spacing w:after="240" w:line="312" w:lineRule="atLeast"/>
        <w:jc w:val="left"/>
        <w:rPr>
          <w:rFonts w:ascii="Arial" w:eastAsia="宋体" w:hAnsi="Arial" w:cs="Arial"/>
          <w:color w:val="000000"/>
          <w:kern w:val="0"/>
          <w:sz w:val="19"/>
          <w:szCs w:val="19"/>
        </w:rPr>
      </w:pPr>
    </w:p>
    <w:p w14:paraId="03F54247" w14:textId="77777777" w:rsidR="00033F54" w:rsidRDefault="00DB22DC" w:rsidP="00DB22DC">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第十六条　行政许可补偿案件的调解，参照最高人民法院《关于审理行政赔偿案件若干问题的规定》的有关规定办理。</w:t>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rPr>
        <w:br/>
      </w:r>
      <w:r w:rsidRPr="00DB22DC">
        <w:rPr>
          <w:rFonts w:ascii="Arial" w:eastAsia="宋体" w:hAnsi="Arial" w:cs="Arial"/>
          <w:color w:val="000000"/>
          <w:kern w:val="0"/>
          <w:sz w:val="19"/>
          <w:szCs w:val="19"/>
          <w:shd w:val="clear" w:color="auto" w:fill="FFFFFF"/>
        </w:rPr>
        <w:t xml:space="preserve">　　第十七条　最高人民法院以前所作的司法解释凡与本规定不一致的，按本规定执行。</w:t>
      </w:r>
    </w:p>
    <w:sectPr w:rsidR="00033F54" w:rsidSect="00E427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421B" w14:textId="77777777" w:rsidR="00196A7D" w:rsidRDefault="00196A7D" w:rsidP="00196A7D">
      <w:r>
        <w:separator/>
      </w:r>
    </w:p>
  </w:endnote>
  <w:endnote w:type="continuationSeparator" w:id="0">
    <w:p w14:paraId="3C078A80" w14:textId="77777777" w:rsidR="00196A7D" w:rsidRDefault="00196A7D" w:rsidP="0019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4727" w14:textId="77777777" w:rsidR="00196A7D" w:rsidRDefault="00196A7D" w:rsidP="00196A7D">
      <w:r>
        <w:separator/>
      </w:r>
    </w:p>
  </w:footnote>
  <w:footnote w:type="continuationSeparator" w:id="0">
    <w:p w14:paraId="3A4975E3" w14:textId="77777777" w:rsidR="00196A7D" w:rsidRDefault="00196A7D" w:rsidP="00196A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B22DC"/>
    <w:rsid w:val="00196A7D"/>
    <w:rsid w:val="007B30CE"/>
    <w:rsid w:val="00905379"/>
    <w:rsid w:val="00DB22DC"/>
    <w:rsid w:val="00E4276C"/>
    <w:rsid w:val="00ED7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14:docId w14:val="0786151C"/>
  <w15:docId w15:val="{FEEB586B-9D4C-4720-B886-64CB980B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27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6A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6A7D"/>
    <w:rPr>
      <w:sz w:val="18"/>
      <w:szCs w:val="18"/>
    </w:rPr>
  </w:style>
  <w:style w:type="paragraph" w:styleId="a5">
    <w:name w:val="footer"/>
    <w:basedOn w:val="a"/>
    <w:link w:val="a6"/>
    <w:uiPriority w:val="99"/>
    <w:unhideWhenUsed/>
    <w:rsid w:val="00196A7D"/>
    <w:pPr>
      <w:tabs>
        <w:tab w:val="center" w:pos="4153"/>
        <w:tab w:val="right" w:pos="8306"/>
      </w:tabs>
      <w:snapToGrid w:val="0"/>
      <w:jc w:val="left"/>
    </w:pPr>
    <w:rPr>
      <w:sz w:val="18"/>
      <w:szCs w:val="18"/>
    </w:rPr>
  </w:style>
  <w:style w:type="character" w:customStyle="1" w:styleId="a6">
    <w:name w:val="页脚 字符"/>
    <w:basedOn w:val="a0"/>
    <w:link w:val="a5"/>
    <w:uiPriority w:val="99"/>
    <w:rsid w:val="00196A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707747">
      <w:bodyDiv w:val="1"/>
      <w:marLeft w:val="0"/>
      <w:marRight w:val="0"/>
      <w:marTop w:val="0"/>
      <w:marBottom w:val="0"/>
      <w:divBdr>
        <w:top w:val="none" w:sz="0" w:space="0" w:color="auto"/>
        <w:left w:val="none" w:sz="0" w:space="0" w:color="auto"/>
        <w:bottom w:val="none" w:sz="0" w:space="0" w:color="auto"/>
        <w:right w:val="none" w:sz="0" w:space="0" w:color="auto"/>
      </w:divBdr>
      <w:divsChild>
        <w:div w:id="1641155382">
          <w:marLeft w:val="0"/>
          <w:marRight w:val="0"/>
          <w:marTop w:val="0"/>
          <w:marBottom w:val="0"/>
          <w:divBdr>
            <w:top w:val="none" w:sz="0" w:space="0" w:color="auto"/>
            <w:left w:val="none" w:sz="0" w:space="0" w:color="auto"/>
            <w:bottom w:val="none" w:sz="0" w:space="0" w:color="auto"/>
            <w:right w:val="none" w:sz="0" w:space="0" w:color="auto"/>
          </w:divBdr>
        </w:div>
        <w:div w:id="434248425">
          <w:marLeft w:val="0"/>
          <w:marRight w:val="0"/>
          <w:marTop w:val="0"/>
          <w:marBottom w:val="0"/>
          <w:divBdr>
            <w:top w:val="none" w:sz="0" w:space="0" w:color="auto"/>
            <w:left w:val="none" w:sz="0" w:space="0" w:color="auto"/>
            <w:bottom w:val="none" w:sz="0" w:space="0" w:color="auto"/>
            <w:right w:val="none" w:sz="0" w:space="0" w:color="auto"/>
          </w:divBdr>
        </w:div>
        <w:div w:id="1927228825">
          <w:marLeft w:val="0"/>
          <w:marRight w:val="0"/>
          <w:marTop w:val="0"/>
          <w:marBottom w:val="0"/>
          <w:divBdr>
            <w:top w:val="none" w:sz="0" w:space="0" w:color="auto"/>
            <w:left w:val="none" w:sz="0" w:space="0" w:color="auto"/>
            <w:bottom w:val="none" w:sz="0" w:space="0" w:color="auto"/>
            <w:right w:val="none" w:sz="0" w:space="0" w:color="auto"/>
          </w:divBdr>
        </w:div>
        <w:div w:id="1283079221">
          <w:marLeft w:val="0"/>
          <w:marRight w:val="0"/>
          <w:marTop w:val="0"/>
          <w:marBottom w:val="0"/>
          <w:divBdr>
            <w:top w:val="none" w:sz="0" w:space="0" w:color="auto"/>
            <w:left w:val="none" w:sz="0" w:space="0" w:color="auto"/>
            <w:bottom w:val="none" w:sz="0" w:space="0" w:color="auto"/>
            <w:right w:val="none" w:sz="0" w:space="0" w:color="auto"/>
          </w:divBdr>
        </w:div>
        <w:div w:id="1717240808">
          <w:marLeft w:val="0"/>
          <w:marRight w:val="0"/>
          <w:marTop w:val="0"/>
          <w:marBottom w:val="0"/>
          <w:divBdr>
            <w:top w:val="none" w:sz="0" w:space="0" w:color="auto"/>
            <w:left w:val="none" w:sz="0" w:space="0" w:color="auto"/>
            <w:bottom w:val="none" w:sz="0" w:space="0" w:color="auto"/>
            <w:right w:val="none" w:sz="0" w:space="0" w:color="auto"/>
          </w:divBdr>
        </w:div>
        <w:div w:id="1951354322">
          <w:marLeft w:val="0"/>
          <w:marRight w:val="0"/>
          <w:marTop w:val="0"/>
          <w:marBottom w:val="0"/>
          <w:divBdr>
            <w:top w:val="none" w:sz="0" w:space="0" w:color="auto"/>
            <w:left w:val="none" w:sz="0" w:space="0" w:color="auto"/>
            <w:bottom w:val="none" w:sz="0" w:space="0" w:color="auto"/>
            <w:right w:val="none" w:sz="0" w:space="0" w:color="auto"/>
          </w:divBdr>
        </w:div>
        <w:div w:id="307251644">
          <w:marLeft w:val="0"/>
          <w:marRight w:val="0"/>
          <w:marTop w:val="0"/>
          <w:marBottom w:val="0"/>
          <w:divBdr>
            <w:top w:val="none" w:sz="0" w:space="0" w:color="auto"/>
            <w:left w:val="none" w:sz="0" w:space="0" w:color="auto"/>
            <w:bottom w:val="none" w:sz="0" w:space="0" w:color="auto"/>
            <w:right w:val="none" w:sz="0" w:space="0" w:color="auto"/>
          </w:divBdr>
        </w:div>
        <w:div w:id="1463233726">
          <w:marLeft w:val="0"/>
          <w:marRight w:val="0"/>
          <w:marTop w:val="0"/>
          <w:marBottom w:val="0"/>
          <w:divBdr>
            <w:top w:val="none" w:sz="0" w:space="0" w:color="auto"/>
            <w:left w:val="none" w:sz="0" w:space="0" w:color="auto"/>
            <w:bottom w:val="none" w:sz="0" w:space="0" w:color="auto"/>
            <w:right w:val="none" w:sz="0" w:space="0" w:color="auto"/>
          </w:divBdr>
        </w:div>
        <w:div w:id="7410032">
          <w:marLeft w:val="0"/>
          <w:marRight w:val="0"/>
          <w:marTop w:val="0"/>
          <w:marBottom w:val="0"/>
          <w:divBdr>
            <w:top w:val="none" w:sz="0" w:space="0" w:color="auto"/>
            <w:left w:val="none" w:sz="0" w:space="0" w:color="auto"/>
            <w:bottom w:val="none" w:sz="0" w:space="0" w:color="auto"/>
            <w:right w:val="none" w:sz="0" w:space="0" w:color="auto"/>
          </w:divBdr>
        </w:div>
        <w:div w:id="98139320">
          <w:marLeft w:val="0"/>
          <w:marRight w:val="0"/>
          <w:marTop w:val="0"/>
          <w:marBottom w:val="0"/>
          <w:divBdr>
            <w:top w:val="none" w:sz="0" w:space="0" w:color="auto"/>
            <w:left w:val="none" w:sz="0" w:space="0" w:color="auto"/>
            <w:bottom w:val="none" w:sz="0" w:space="0" w:color="auto"/>
            <w:right w:val="none" w:sz="0" w:space="0" w:color="auto"/>
          </w:divBdr>
        </w:div>
        <w:div w:id="1582787835">
          <w:marLeft w:val="0"/>
          <w:marRight w:val="0"/>
          <w:marTop w:val="0"/>
          <w:marBottom w:val="0"/>
          <w:divBdr>
            <w:top w:val="none" w:sz="0" w:space="0" w:color="auto"/>
            <w:left w:val="none" w:sz="0" w:space="0" w:color="auto"/>
            <w:bottom w:val="none" w:sz="0" w:space="0" w:color="auto"/>
            <w:right w:val="none" w:sz="0" w:space="0" w:color="auto"/>
          </w:divBdr>
        </w:div>
        <w:div w:id="2011326721">
          <w:marLeft w:val="0"/>
          <w:marRight w:val="0"/>
          <w:marTop w:val="0"/>
          <w:marBottom w:val="0"/>
          <w:divBdr>
            <w:top w:val="none" w:sz="0" w:space="0" w:color="auto"/>
            <w:left w:val="none" w:sz="0" w:space="0" w:color="auto"/>
            <w:bottom w:val="none" w:sz="0" w:space="0" w:color="auto"/>
            <w:right w:val="none" w:sz="0" w:space="0" w:color="auto"/>
          </w:divBdr>
        </w:div>
        <w:div w:id="1737774130">
          <w:marLeft w:val="0"/>
          <w:marRight w:val="0"/>
          <w:marTop w:val="0"/>
          <w:marBottom w:val="0"/>
          <w:divBdr>
            <w:top w:val="none" w:sz="0" w:space="0" w:color="auto"/>
            <w:left w:val="none" w:sz="0" w:space="0" w:color="auto"/>
            <w:bottom w:val="none" w:sz="0" w:space="0" w:color="auto"/>
            <w:right w:val="none" w:sz="0" w:space="0" w:color="auto"/>
          </w:divBdr>
        </w:div>
        <w:div w:id="689331324">
          <w:marLeft w:val="0"/>
          <w:marRight w:val="0"/>
          <w:marTop w:val="0"/>
          <w:marBottom w:val="0"/>
          <w:divBdr>
            <w:top w:val="none" w:sz="0" w:space="0" w:color="auto"/>
            <w:left w:val="none" w:sz="0" w:space="0" w:color="auto"/>
            <w:bottom w:val="none" w:sz="0" w:space="0" w:color="auto"/>
            <w:right w:val="none" w:sz="0" w:space="0" w:color="auto"/>
          </w:divBdr>
        </w:div>
        <w:div w:id="357707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298</Words>
  <Characters>1705</Characters>
  <Application>Microsoft Office Word</Application>
  <DocSecurity>0</DocSecurity>
  <Lines>14</Lines>
  <Paragraphs>3</Paragraphs>
  <ScaleCrop>false</ScaleCrop>
  <Company>Microsoft</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 年清</cp:lastModifiedBy>
  <cp:revision>3</cp:revision>
  <dcterms:created xsi:type="dcterms:W3CDTF">2017-06-13T09:21:00Z</dcterms:created>
  <dcterms:modified xsi:type="dcterms:W3CDTF">2022-10-01T08:23:00Z</dcterms:modified>
</cp:coreProperties>
</file>