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09852" w14:textId="6B7B1628" w:rsidR="00B80258" w:rsidRPr="00415EEC" w:rsidRDefault="00B80258" w:rsidP="00B80258">
      <w:pPr>
        <w:widowControl/>
        <w:shd w:val="clear" w:color="auto" w:fill="FFFFFF"/>
        <w:jc w:val="center"/>
        <w:rPr>
          <w:rFonts w:ascii="微软雅黑" w:eastAsia="微软雅黑" w:hAnsi="微软雅黑" w:cs="宋体"/>
          <w:color w:val="000000" w:themeColor="text1"/>
          <w:kern w:val="0"/>
          <w:sz w:val="27"/>
          <w:szCs w:val="27"/>
        </w:rPr>
      </w:pPr>
      <w:r w:rsidRPr="00415EEC">
        <w:rPr>
          <w:rFonts w:ascii="微软雅黑" w:eastAsia="微软雅黑" w:hAnsi="微软雅黑" w:cs="宋体" w:hint="eastAsia"/>
          <w:b/>
          <w:bCs/>
          <w:color w:val="000000" w:themeColor="text1"/>
          <w:kern w:val="0"/>
          <w:sz w:val="27"/>
          <w:szCs w:val="27"/>
        </w:rPr>
        <w:t>最高人民法院关于互联网法院审理案件若干问题的规定</w:t>
      </w:r>
    </w:p>
    <w:p w14:paraId="1943DDD1" w14:textId="2BA12A4C" w:rsidR="00B80258" w:rsidRPr="00415EEC" w:rsidRDefault="00B80258" w:rsidP="00B80258">
      <w:pPr>
        <w:widowControl/>
        <w:shd w:val="clear" w:color="auto" w:fill="FFFFFF"/>
        <w:jc w:val="center"/>
        <w:rPr>
          <w:rFonts w:ascii="微软雅黑" w:eastAsia="微软雅黑" w:hAnsi="微软雅黑" w:cs="宋体"/>
          <w:color w:val="000000" w:themeColor="text1"/>
          <w:kern w:val="0"/>
          <w:sz w:val="27"/>
          <w:szCs w:val="27"/>
        </w:rPr>
      </w:pPr>
      <w:r w:rsidRPr="00415EEC">
        <w:rPr>
          <w:rFonts w:ascii="微软雅黑" w:eastAsia="微软雅黑" w:hAnsi="微软雅黑" w:cs="宋体" w:hint="eastAsia"/>
          <w:color w:val="000000" w:themeColor="text1"/>
          <w:kern w:val="0"/>
          <w:sz w:val="27"/>
          <w:szCs w:val="27"/>
        </w:rPr>
        <w:t>（2018年9月3日最高人民法院审判委员会第1747次会议通过，自2018年9月7日起施行）</w:t>
      </w:r>
    </w:p>
    <w:p w14:paraId="72ABB144" w14:textId="5BA15CA3" w:rsidR="007B2BBA" w:rsidRPr="00415EEC" w:rsidRDefault="00B80258" w:rsidP="00B80258">
      <w:pPr>
        <w:rPr>
          <w:color w:val="000000" w:themeColor="text1"/>
        </w:rPr>
      </w:pPr>
      <w:r w:rsidRPr="00415EEC">
        <w:rPr>
          <w:rFonts w:ascii="微软雅黑" w:eastAsia="微软雅黑" w:hAnsi="微软雅黑" w:cs="宋体" w:hint="eastAsia"/>
          <w:color w:val="000000" w:themeColor="text1"/>
          <w:kern w:val="0"/>
          <w:sz w:val="27"/>
          <w:szCs w:val="27"/>
          <w:shd w:val="clear" w:color="auto" w:fill="FFFFFF"/>
        </w:rPr>
        <w:t xml:space="preserve">　　为规范互联网法院诉讼活动，保护当事人及其他诉讼参与人合法权益，确保公正高效审理案件，根据《中华人民共和国民事诉讼法》《中华人民共和国行政诉讼法》等法律，结合人民法院审判工作实际，就互联网法院审理案件相关问题规定如下。</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第一条  互联网法院采取在线方式审理案件，案件的受理、送达、调解、证据交换、庭前准备、庭审、宣判等诉讼环节一般应当在线上完成。</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根据当事人申请或者案件审理需要，互联网法院可以决定在线下完成部分诉讼环节。</w:t>
      </w:r>
      <w:r w:rsidRPr="00415EEC">
        <w:rPr>
          <w:rFonts w:ascii="微软雅黑" w:eastAsia="微软雅黑" w:hAnsi="微软雅黑" w:cs="宋体" w:hint="eastAsia"/>
          <w:color w:val="000000" w:themeColor="text1"/>
          <w:kern w:val="0"/>
          <w:sz w:val="27"/>
          <w:szCs w:val="27"/>
          <w:shd w:val="clear" w:color="auto" w:fill="FFFFFF"/>
        </w:rPr>
        <w:br/>
        <w:t xml:space="preserve">　　第二条  北京、广州、杭州互联网法院集中管辖所在市的辖区内应当由基层人民法院受理的下列第一审案件：</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（一）通过电子商务平台签订或者履行网络购物合同而产生的纠纷；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（二）签订、履行行为均在互联网上完成的网络服务合同纠纷；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（三） 签订、履行行为均在互联网上完成的金融借款合同纠纷、小额借款合同纠纷；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（四）在互联网上首次发表作品的著作权或者邻接权权属纠纷；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（五）在互联网上侵害在线发表或者传播作品的著作权或者邻接权而产生的纠纷；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（六）互联网域名权属、侵权及合同纠纷；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lastRenderedPageBreak/>
        <w:t xml:space="preserve">　　（七）在互联网上侵害他人人身权、财产权等民事权益而产生的纠纷；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（八）通过电子商务平台购买的产品，因存在产品缺陷，侵害他人人身、财产权益而产生的产品责任纠纷；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（九）检察机关提起的互联网公益诉讼案件；</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（十）因行政机关</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互联网信息服务管理、互联网商品交易及有关服务管理等行政行为而产生的行政纠纷；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（十一）上级人民法院指定管辖的其他互联网民事、行政案件。</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第三条  当事人可以在本规定第二条确定的合同及其他财产权益纠纷范围内，依法协议约定与争议有实际联系地点的互联网法院管辖。</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电子商务经营者、网络服务提供商等采取格式条款形式与用户订立管辖协议的，应当符合法律及司法解释关于格式条款的规定。</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第四条  当事人对北京互联网法院</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的判决、裁定提起上诉的案件，由北京市第四中级人民法院审理，但互联网著作权权属纠纷和侵权纠纷、互联网域名纠纷的上诉案件，由北京知识产权法院审理。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当事人对广州互联网法院</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的判决、裁定提起上诉的案件，由广州市中级人民法院审理，但互联网著作权权属纠纷和侵权纠纷、互联网域名纠纷的上诉案件，由广州知识产权法院审理。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当事人对杭州互联网法院</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的判决、裁定提起上诉的案件，由杭州市中级人民法院审理。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第五条  互联网法院应当建设互联网诉讼平台（以下简称诉讼平台），作为法院办理案件和当事人及其他诉讼参与人实施诉讼行为的专</w:t>
      </w:r>
      <w:r w:rsidRPr="00415EEC">
        <w:rPr>
          <w:rFonts w:ascii="微软雅黑" w:eastAsia="微软雅黑" w:hAnsi="微软雅黑" w:cs="宋体" w:hint="eastAsia"/>
          <w:color w:val="000000" w:themeColor="text1"/>
          <w:kern w:val="0"/>
          <w:sz w:val="27"/>
          <w:szCs w:val="27"/>
          <w:shd w:val="clear" w:color="auto" w:fill="FFFFFF"/>
        </w:rPr>
        <w:lastRenderedPageBreak/>
        <w:t>用平台。通过诉讼平台</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的诉讼行为，具有法律效力。</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互联网法院审理案件所需涉案数据，电子商务平台经营者、网络服务提供商、相关国家机关应当提供，并有序接入诉讼平台，由互联网法院在线核实、实时固定、安全管理。诉讼平台对涉案数据的存储和使用，应当符合《中华人民共和国网络安全法》等法律法规的规定。</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第六条  当事人及其他诉讼参与人使用诉讼平台实施诉讼行为的，应当通过证件证照比对、生物特征识别或者国家统一身份认证平台认证等在线方式完成身份认证，并取得登录诉讼平台的专用账号。</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使用专用账号登录诉讼平台所</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的行为，视为被认证人本人行为，但因诉讼平台技术原因导致系统错误，或者被认证人能够证明诉讼平台账号被盗用的除外。</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第七条  互联网法院在线接收原告提交的起诉材料，并于收到材料后七日内，在线</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以下处理：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（一）符合起诉条件的，登记立案并送达案件受理通知书、诉讼费交纳通知书、举证通知书等诉讼文书。</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（二）提交材料不符合要求的，及时发出补正通知，并于收到补正材料后次日重新起算受理时间；原告未在指定期限内按要求补正的，起诉材料作退回处理。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（三）不符合起诉条件的，经释明后，原告无异议的，起诉材料作退回处理；原告坚持继续起诉的，依法</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不予受理裁定。</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第八条  互联网法院受理案件后，可以通过原告提供的手机号码、传真、电子邮箱、即时通讯账号等，通知被告、第三人通过诉讼平台进</w:t>
      </w:r>
      <w:r w:rsidRPr="00415EEC">
        <w:rPr>
          <w:rFonts w:ascii="微软雅黑" w:eastAsia="微软雅黑" w:hAnsi="微软雅黑" w:cs="宋体" w:hint="eastAsia"/>
          <w:color w:val="000000" w:themeColor="text1"/>
          <w:kern w:val="0"/>
          <w:sz w:val="27"/>
          <w:szCs w:val="27"/>
          <w:shd w:val="clear" w:color="auto" w:fill="FFFFFF"/>
        </w:rPr>
        <w:lastRenderedPageBreak/>
        <w:t>行案件关联和身份验证。</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被告、第三人应当通过诉讼平台了解案件信息，接收和提交诉讼材料，实施诉讼行为。</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第九条  互联网法院组织在线证据交换的，当事人应当将在线电子数据上传、导入诉讼平台，或者将线下证据通过扫描、翻拍、转录等方式进行电子化处理后上传至诉讼平台进行举证，也可以运用已经导入诉讼平台的电子数据证明自己的主张。</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第十条  当事人及其他诉讼参与人通过技术手段将身份证明、营业执照副本、授权委托书、法定代表人身份证明等诉讼材料，以及书证、鉴定意见、勘验笔录等证据材料进行电子化处理后提交的，经互联网法院审核通过后，视为符合原件形式要求。对方当事人对上述材料真实性提出异议且有合理理由的，互联网法院应当要求当事人提供原件。</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第十一条  当事人对电子数据真实性提出异议的，互联网法院应当结合质证情况，审查判断电子数据生成、收集、存储、传输过程的真实性，并着重审查以下内容：</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（一）电子数据生成、收集、存储、传输所依赖的计算机系统等硬件、软件环境是否安全、可靠；</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（二）电子数据的生成主体和时间是否明确，表现内容是否清晰、客观、准确；</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（三）电子数据的存储、保管介质是否明确，保管方式和手段是否妥当；</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（四）电子数据提取和固定的主体、工具和方式是否可靠，提取过</w:t>
      </w:r>
      <w:r w:rsidRPr="00415EEC">
        <w:rPr>
          <w:rFonts w:ascii="微软雅黑" w:eastAsia="微软雅黑" w:hAnsi="微软雅黑" w:cs="宋体" w:hint="eastAsia"/>
          <w:color w:val="000000" w:themeColor="text1"/>
          <w:kern w:val="0"/>
          <w:sz w:val="27"/>
          <w:szCs w:val="27"/>
          <w:shd w:val="clear" w:color="auto" w:fill="FFFFFF"/>
        </w:rPr>
        <w:lastRenderedPageBreak/>
        <w:t>程是否可以重现；</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（五）电子数据的内容是否存在增加、删除、修改及不完整等情形；</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（六）电子数据是否可以通过特定形式得到验证。</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当事人提交的电子数据，通过电子签名、可信时间戳、哈希值校验、区块链等证据收集、固定和防篡改的技术手段或者通过电子取证存证平台认证，能够证明其真实性的，互联网法院应当确认。</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当事人可以申请具有专门知识的人就电子数据技术问题提出意见。互联网法院可以根据当事人申请或者依职权，委托鉴定电子数据的真实性或者调取其他相关证据进行核对。</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第十二条  互联网法院采取在线视频方式开庭。存在确需当庭查明身份、核对原件、查验实物等特殊情形的，互联网法院可以决定在线下开庭，但其他诉讼环节仍应当在线完成。</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第十三条  互联网法院可以视情决定采取下列方式简化庭审程序：</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（一）开庭前已经在线完成当事人身份核实、权利义务告知、庭审纪律宣示的，开庭时可以不再重复进行；</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（二）当事人已经在线完成证据交换的，对于无争议的证据，法官在庭审中说明后，可以不再举证、质证；</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（三）经征得当事人同意，可以将当事人陈述、法庭调查、法庭辩论等庭审环节合并进行。对于简单民事案件，庭审可以直接围绕诉讼请求或者案件要素进行。</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第十四条  互联网法院根据在线庭审特点，适用《中华人民共和国人民法院法庭规则》的有关规定。除经查</w:t>
      </w:r>
      <w:proofErr w:type="gramStart"/>
      <w:r w:rsidRPr="00415EEC">
        <w:rPr>
          <w:rFonts w:ascii="微软雅黑" w:eastAsia="微软雅黑" w:hAnsi="微软雅黑" w:cs="宋体" w:hint="eastAsia"/>
          <w:color w:val="000000" w:themeColor="text1"/>
          <w:kern w:val="0"/>
          <w:sz w:val="27"/>
          <w:szCs w:val="27"/>
          <w:shd w:val="clear" w:color="auto" w:fill="FFFFFF"/>
        </w:rPr>
        <w:t>明确属网络</w:t>
      </w:r>
      <w:proofErr w:type="gramEnd"/>
      <w:r w:rsidRPr="00415EEC">
        <w:rPr>
          <w:rFonts w:ascii="微软雅黑" w:eastAsia="微软雅黑" w:hAnsi="微软雅黑" w:cs="宋体" w:hint="eastAsia"/>
          <w:color w:val="000000" w:themeColor="text1"/>
          <w:kern w:val="0"/>
          <w:sz w:val="27"/>
          <w:szCs w:val="27"/>
          <w:shd w:val="clear" w:color="auto" w:fill="FFFFFF"/>
        </w:rPr>
        <w:t>故障、设备损坏、</w:t>
      </w:r>
      <w:r w:rsidRPr="00415EEC">
        <w:rPr>
          <w:rFonts w:ascii="微软雅黑" w:eastAsia="微软雅黑" w:hAnsi="微软雅黑" w:cs="宋体" w:hint="eastAsia"/>
          <w:color w:val="000000" w:themeColor="text1"/>
          <w:kern w:val="0"/>
          <w:sz w:val="27"/>
          <w:szCs w:val="27"/>
          <w:shd w:val="clear" w:color="auto" w:fill="FFFFFF"/>
        </w:rPr>
        <w:lastRenderedPageBreak/>
        <w:t>电力中断或者不可抗力等原因外，当事人不按时参加在线庭审的，视为“拒不到庭”，庭审中擅自退出的，视为“中途退庭”，分别按照《中华人民共和国民事诉讼法》《中华人民共和国行政诉讼法》及相关司法解释的规定处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第十五条  经当事人同意，互联网法院应当通过中国审判流程信息公开网、诉讼平台、手机短信、传真、电子邮件、即时通讯账号等电子方式送达诉讼文书及当事人提交的证据材料等。</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当事人未明确表示同意，但已经约定发生纠纷时在诉讼中适用电子送达的，或者通过回复收悉、</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相应诉讼行为等方式接受已经完成的电子送达，并且未明确表示不同意电子送达的，可以视为同意电子送达。</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经告知当事人权利义务，并征得其同意，互联网法院可以电子送达裁判文书。当事人提出需要纸质版裁判文书的，互联网法院应当提供。</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第十六条  互联网法院进行电子送达，应当向当事人确认电子送达的具体方式和地址，并告知电子送达的适用范围、效力、送达地址变更方式以及其他需告知的送达事项。</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受送达人未提供有效电子送达地址的，互联网法院可以将能够确认为受送达人本人的近三个月内处于日常活跃状态的手机号码、电子邮箱、即时通讯账号等常用电子地址作为优先送达地址。</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第十七条  互联网法院向受送达人主动提供或者确认的电子地址进行送达的，送达信息到达受送达人特定系统时，即为送达。</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互联网法院向受送达人常用电子地址或者能够获取的其他电子地址进行送达的，根据下列情形确定是否完成送达：</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lastRenderedPageBreak/>
        <w:t xml:space="preserve">　　（一）受送达人回复已收到送达材料，或者根据送达内容</w:t>
      </w:r>
      <w:proofErr w:type="gramStart"/>
      <w:r w:rsidRPr="00415EEC">
        <w:rPr>
          <w:rFonts w:ascii="微软雅黑" w:eastAsia="微软雅黑" w:hAnsi="微软雅黑" w:cs="宋体" w:hint="eastAsia"/>
          <w:color w:val="000000" w:themeColor="text1"/>
          <w:kern w:val="0"/>
          <w:sz w:val="27"/>
          <w:szCs w:val="27"/>
          <w:shd w:val="clear" w:color="auto" w:fill="FFFFFF"/>
        </w:rPr>
        <w:t>作出</w:t>
      </w:r>
      <w:proofErr w:type="gramEnd"/>
      <w:r w:rsidRPr="00415EEC">
        <w:rPr>
          <w:rFonts w:ascii="微软雅黑" w:eastAsia="微软雅黑" w:hAnsi="微软雅黑" w:cs="宋体" w:hint="eastAsia"/>
          <w:color w:val="000000" w:themeColor="text1"/>
          <w:kern w:val="0"/>
          <w:sz w:val="27"/>
          <w:szCs w:val="27"/>
          <w:shd w:val="clear" w:color="auto" w:fill="FFFFFF"/>
        </w:rPr>
        <w:t>相应诉讼行为的，视为完成有效送达。</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（二）受送达人的媒介系统反馈受送达人已阅知，或者有其他证据可以</w:t>
      </w:r>
      <w:proofErr w:type="gramStart"/>
      <w:r w:rsidRPr="00415EEC">
        <w:rPr>
          <w:rFonts w:ascii="微软雅黑" w:eastAsia="微软雅黑" w:hAnsi="微软雅黑" w:cs="宋体" w:hint="eastAsia"/>
          <w:color w:val="000000" w:themeColor="text1"/>
          <w:kern w:val="0"/>
          <w:sz w:val="27"/>
          <w:szCs w:val="27"/>
          <w:shd w:val="clear" w:color="auto" w:fill="FFFFFF"/>
        </w:rPr>
        <w:t>证明受</w:t>
      </w:r>
      <w:proofErr w:type="gramEnd"/>
      <w:r w:rsidRPr="00415EEC">
        <w:rPr>
          <w:rFonts w:ascii="微软雅黑" w:eastAsia="微软雅黑" w:hAnsi="微软雅黑" w:cs="宋体" w:hint="eastAsia"/>
          <w:color w:val="000000" w:themeColor="text1"/>
          <w:kern w:val="0"/>
          <w:sz w:val="27"/>
          <w:szCs w:val="27"/>
          <w:shd w:val="clear" w:color="auto" w:fill="FFFFFF"/>
        </w:rPr>
        <w:t>送达人已经收悉的，推定完成有效送达，但受送达人能够证明存在媒介系统错误、送达地址非本人所有或者使用、非本人阅知等未收悉送达内容的情形除外。</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完成有效送达的，互联网法院应当制作电子送达凭证。电子送达凭证具有送达回证效力。</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第十八条  对需要进行公告送达的事实清楚、权利义务关系明确的简单民事案件，互联网法院可以适用简易程序审理。</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第十九条  互联网法院在线审理的案件，审判人员、法官助理、书记员、当事人及其他诉讼参与人等通过在线确认、电子签章等在线方式对调解协议、笔录、电子送达凭证及其他诉讼材料予以确认的，视为符合《中华人民共和国民事诉讼法》有关“签名”的要求。</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第二十条  互联网法院在线审理的案件，可以在调解、证据交换、庭审、合议等诉讼环节运用语音识别技术同步生成电子笔录。电子笔录以在线方式核对确认后，与书面笔录具有同等法律效力。</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第二十一条  互联网法院应当利用诉讼平台随案同步生成电子卷宗，形成电子档案。案件纸质档案已经全部转化为电子档案的，可以以电子档案代替纸质档案进行上诉移送和案卷归档。</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第二十二条  当事人对互联网法院审理的案件提起上诉的，第二审法院原则上采取在线方式审理。第二审法院在线审理规则参照适用本规</w:t>
      </w:r>
      <w:r w:rsidRPr="00415EEC">
        <w:rPr>
          <w:rFonts w:ascii="微软雅黑" w:eastAsia="微软雅黑" w:hAnsi="微软雅黑" w:cs="宋体" w:hint="eastAsia"/>
          <w:color w:val="000000" w:themeColor="text1"/>
          <w:kern w:val="0"/>
          <w:sz w:val="27"/>
          <w:szCs w:val="27"/>
          <w:shd w:val="clear" w:color="auto" w:fill="FFFFFF"/>
        </w:rPr>
        <w:lastRenderedPageBreak/>
        <w:t>定。</w:t>
      </w:r>
      <w:r w:rsidRPr="00415EEC">
        <w:rPr>
          <w:rFonts w:ascii="微软雅黑" w:eastAsia="微软雅黑" w:hAnsi="微软雅黑" w:cs="宋体" w:hint="eastAsia"/>
          <w:color w:val="000000" w:themeColor="text1"/>
          <w:kern w:val="0"/>
          <w:sz w:val="27"/>
          <w:szCs w:val="27"/>
        </w:rPr>
        <w:br/>
      </w:r>
      <w:r w:rsidRPr="00415EEC">
        <w:rPr>
          <w:rFonts w:ascii="微软雅黑" w:eastAsia="微软雅黑" w:hAnsi="微软雅黑" w:cs="宋体" w:hint="eastAsia"/>
          <w:color w:val="000000" w:themeColor="text1"/>
          <w:kern w:val="0"/>
          <w:sz w:val="27"/>
          <w:szCs w:val="27"/>
          <w:shd w:val="clear" w:color="auto" w:fill="FFFFFF"/>
        </w:rPr>
        <w:t xml:space="preserve">　　第二十三条  本规定自2018年9月7日起施行。最高人民法院之前发布的司法解释与本规定不一致的，以本规定为准。</w:t>
      </w:r>
    </w:p>
    <w:sectPr w:rsidR="007B2BBA" w:rsidRPr="00415E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DA54" w14:textId="77777777" w:rsidR="0034149A" w:rsidRDefault="0034149A" w:rsidP="00B80258">
      <w:r>
        <w:separator/>
      </w:r>
    </w:p>
  </w:endnote>
  <w:endnote w:type="continuationSeparator" w:id="0">
    <w:p w14:paraId="4875B152" w14:textId="77777777" w:rsidR="0034149A" w:rsidRDefault="0034149A" w:rsidP="00B8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0D47E" w14:textId="77777777" w:rsidR="0034149A" w:rsidRDefault="0034149A" w:rsidP="00B80258">
      <w:r>
        <w:separator/>
      </w:r>
    </w:p>
  </w:footnote>
  <w:footnote w:type="continuationSeparator" w:id="0">
    <w:p w14:paraId="50CA14CC" w14:textId="77777777" w:rsidR="0034149A" w:rsidRDefault="0034149A" w:rsidP="00B80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AAC"/>
    <w:rsid w:val="000333E9"/>
    <w:rsid w:val="0023006A"/>
    <w:rsid w:val="00257ABA"/>
    <w:rsid w:val="0034149A"/>
    <w:rsid w:val="00415EEC"/>
    <w:rsid w:val="007B2BBA"/>
    <w:rsid w:val="00AB3617"/>
    <w:rsid w:val="00B80258"/>
    <w:rsid w:val="00BB3AAC"/>
    <w:rsid w:val="00BF5D68"/>
    <w:rsid w:val="00F35FA1"/>
    <w:rsid w:val="00F6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1F6505B-79BE-4402-8ADA-2DF0940B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2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258"/>
    <w:rPr>
      <w:sz w:val="18"/>
      <w:szCs w:val="18"/>
    </w:rPr>
  </w:style>
  <w:style w:type="paragraph" w:styleId="a5">
    <w:name w:val="footer"/>
    <w:basedOn w:val="a"/>
    <w:link w:val="a6"/>
    <w:uiPriority w:val="99"/>
    <w:unhideWhenUsed/>
    <w:rsid w:val="00B80258"/>
    <w:pPr>
      <w:tabs>
        <w:tab w:val="center" w:pos="4153"/>
        <w:tab w:val="right" w:pos="8306"/>
      </w:tabs>
      <w:snapToGrid w:val="0"/>
      <w:jc w:val="left"/>
    </w:pPr>
    <w:rPr>
      <w:sz w:val="18"/>
      <w:szCs w:val="18"/>
    </w:rPr>
  </w:style>
  <w:style w:type="character" w:customStyle="1" w:styleId="a6">
    <w:name w:val="页脚 字符"/>
    <w:basedOn w:val="a0"/>
    <w:link w:val="a5"/>
    <w:uiPriority w:val="99"/>
    <w:rsid w:val="00B80258"/>
    <w:rPr>
      <w:sz w:val="18"/>
      <w:szCs w:val="18"/>
    </w:rPr>
  </w:style>
  <w:style w:type="character" w:styleId="a7">
    <w:name w:val="Strong"/>
    <w:basedOn w:val="a0"/>
    <w:uiPriority w:val="22"/>
    <w:qFormat/>
    <w:rsid w:val="00B802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16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7</cp:revision>
  <dcterms:created xsi:type="dcterms:W3CDTF">2019-05-09T01:55:00Z</dcterms:created>
  <dcterms:modified xsi:type="dcterms:W3CDTF">2022-04-21T04:18:00Z</dcterms:modified>
</cp:coreProperties>
</file>