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D2016" w14:textId="77777777" w:rsidR="006F01FC" w:rsidRPr="006F01FC" w:rsidRDefault="006F01FC" w:rsidP="006F01FC">
      <w:pPr>
        <w:jc w:val="center"/>
        <w:rPr>
          <w:rFonts w:ascii="微软雅黑" w:eastAsia="微软雅黑" w:hAnsi="微软雅黑" w:cs="Times New Roman"/>
          <w:b/>
          <w:bCs/>
          <w:sz w:val="24"/>
          <w:szCs w:val="24"/>
        </w:rPr>
      </w:pPr>
      <w:r w:rsidRPr="006F01FC">
        <w:rPr>
          <w:rFonts w:ascii="微软雅黑" w:eastAsia="微软雅黑" w:hAnsi="微软雅黑" w:cs="Times New Roman"/>
          <w:b/>
          <w:bCs/>
          <w:sz w:val="24"/>
          <w:szCs w:val="24"/>
        </w:rPr>
        <w:t>最高人民法院关于审理道路交通事故损害赔偿案件适用法律若干问题的解释</w:t>
      </w:r>
    </w:p>
    <w:p w14:paraId="6064A1D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Times New Roman" w:eastAsia="宋体" w:hAnsi="Times New Roman" w:cs="Times New Roman"/>
        </w:rPr>
        <w:t>2012</w:t>
      </w:r>
      <w:r w:rsidRPr="006F01FC">
        <w:rPr>
          <w:rFonts w:ascii="Times New Roman" w:eastAsia="宋体" w:hAnsi="Times New Roman" w:cs="Times New Roman"/>
        </w:rPr>
        <w:t>年</w:t>
      </w:r>
      <w:r w:rsidRPr="006F01FC">
        <w:rPr>
          <w:rFonts w:ascii="Times New Roman" w:eastAsia="宋体" w:hAnsi="Times New Roman" w:cs="Times New Roman"/>
        </w:rPr>
        <w:t>9</w:t>
      </w:r>
      <w:r w:rsidRPr="006F01FC">
        <w:rPr>
          <w:rFonts w:ascii="Times New Roman" w:eastAsia="宋体" w:hAnsi="Times New Roman" w:cs="Times New Roman"/>
        </w:rPr>
        <w:t>月</w:t>
      </w:r>
      <w:r w:rsidRPr="006F01FC">
        <w:rPr>
          <w:rFonts w:ascii="Times New Roman" w:eastAsia="宋体" w:hAnsi="Times New Roman" w:cs="Times New Roman"/>
        </w:rPr>
        <w:t>17</w:t>
      </w:r>
      <w:r w:rsidRPr="006F01FC">
        <w:rPr>
          <w:rFonts w:ascii="Times New Roman" w:eastAsia="宋体" w:hAnsi="Times New Roman" w:cs="Times New Roman"/>
        </w:rPr>
        <w:t>日最高人民法院审判委员会第</w:t>
      </w:r>
      <w:r w:rsidRPr="006F01FC">
        <w:rPr>
          <w:rFonts w:ascii="Times New Roman" w:eastAsia="宋体" w:hAnsi="Times New Roman" w:cs="Times New Roman"/>
        </w:rPr>
        <w:t>1556</w:t>
      </w:r>
      <w:r w:rsidRPr="006F01FC">
        <w:rPr>
          <w:rFonts w:ascii="Times New Roman" w:eastAsia="宋体" w:hAnsi="Times New Roman" w:cs="Times New Roman"/>
        </w:rPr>
        <w:t>次会议通过，根据</w:t>
      </w:r>
      <w:r w:rsidRPr="006F01FC">
        <w:rPr>
          <w:rFonts w:ascii="Times New Roman" w:eastAsia="宋体" w:hAnsi="Times New Roman" w:cs="Times New Roman"/>
        </w:rPr>
        <w:t>2020</w:t>
      </w:r>
      <w:r w:rsidRPr="006F01FC">
        <w:rPr>
          <w:rFonts w:ascii="Times New Roman" w:eastAsia="宋体" w:hAnsi="Times New Roman" w:cs="Times New Roman"/>
        </w:rPr>
        <w:t>年</w:t>
      </w:r>
      <w:r w:rsidRPr="006F01FC">
        <w:rPr>
          <w:rFonts w:ascii="Times New Roman" w:eastAsia="宋体" w:hAnsi="Times New Roman" w:cs="Times New Roman"/>
        </w:rPr>
        <w:t>12</w:t>
      </w:r>
      <w:r w:rsidRPr="006F01FC">
        <w:rPr>
          <w:rFonts w:ascii="Times New Roman" w:eastAsia="宋体" w:hAnsi="Times New Roman" w:cs="Times New Roman"/>
        </w:rPr>
        <w:t>月</w:t>
      </w:r>
      <w:r w:rsidRPr="006F01FC">
        <w:rPr>
          <w:rFonts w:ascii="Times New Roman" w:eastAsia="宋体" w:hAnsi="Times New Roman" w:cs="Times New Roman"/>
        </w:rPr>
        <w:t>23</w:t>
      </w:r>
      <w:r w:rsidRPr="006F01FC">
        <w:rPr>
          <w:rFonts w:ascii="Times New Roman" w:eastAsia="宋体" w:hAnsi="Times New Roman" w:cs="Times New Roman"/>
        </w:rPr>
        <w:t>日最高人民法院审判委员会第</w:t>
      </w:r>
      <w:r w:rsidRPr="006F01FC">
        <w:rPr>
          <w:rFonts w:ascii="Times New Roman" w:eastAsia="宋体" w:hAnsi="Times New Roman" w:cs="Times New Roman"/>
        </w:rPr>
        <w:t>1823</w:t>
      </w:r>
      <w:r w:rsidRPr="006F01FC">
        <w:rPr>
          <w:rFonts w:ascii="Times New Roman" w:eastAsia="宋体" w:hAnsi="Times New Roman" w:cs="Times New Roman"/>
        </w:rPr>
        <w:t>次会议通过的</w:t>
      </w:r>
      <w:proofErr w:type="gramStart"/>
      <w:r w:rsidRPr="006F01FC">
        <w:rPr>
          <w:rFonts w:ascii="Times New Roman" w:eastAsia="宋体" w:hAnsi="Times New Roman" w:cs="Times New Roman"/>
        </w:rPr>
        <w:t>《</w:t>
      </w:r>
      <w:proofErr w:type="gramEnd"/>
      <w:r w:rsidRPr="006F01FC">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6F01FC">
        <w:rPr>
          <w:rFonts w:ascii="Times New Roman" w:eastAsia="宋体" w:hAnsi="Times New Roman" w:cs="Times New Roman"/>
        </w:rPr>
        <w:t>》</w:t>
      </w:r>
      <w:proofErr w:type="gramEnd"/>
      <w:r w:rsidRPr="006F01FC">
        <w:rPr>
          <w:rFonts w:ascii="Times New Roman" w:eastAsia="宋体" w:hAnsi="Times New Roman" w:cs="Times New Roman"/>
        </w:rPr>
        <w:t>修正）</w:t>
      </w:r>
    </w:p>
    <w:p w14:paraId="0FA28C2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为正确审理道路交通事故损害赔偿案件，根据《中华人民共和国民法典》《中华人民共和国道路交通安全法》《中华人民共和国保险法》《中华人民共和国民事诉讼法》等法律的规定，结合审判实践，制定本解释。</w:t>
      </w:r>
    </w:p>
    <w:p w14:paraId="4E2C1F6F" w14:textId="280038B7" w:rsidR="006F01FC" w:rsidRPr="006F01FC" w:rsidRDefault="006F01FC" w:rsidP="006F01FC">
      <w:pPr>
        <w:jc w:val="center"/>
        <w:rPr>
          <w:rFonts w:ascii="微软雅黑" w:eastAsia="微软雅黑" w:hAnsi="微软雅黑" w:cs="Times New Roman" w:hint="eastAsia"/>
          <w:b/>
          <w:bCs/>
        </w:rPr>
      </w:pPr>
      <w:r w:rsidRPr="006F01FC">
        <w:rPr>
          <w:rFonts w:ascii="微软雅黑" w:eastAsia="微软雅黑" w:hAnsi="微软雅黑" w:cs="Times New Roman"/>
          <w:b/>
          <w:bCs/>
        </w:rPr>
        <w:t>一、关于主体责任的认定</w:t>
      </w:r>
    </w:p>
    <w:p w14:paraId="0DBEB37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第一条　机动车发生交通事故造成损害，机动车所有人或者管理人有下列情形之一，人民法院应当认定其对损害的发生有过错，并适用民法典第一千二百零九条的规定确定其相应的赔偿责任：</w:t>
      </w:r>
    </w:p>
    <w:p w14:paraId="67F8141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（一）知道或者应当知道机动车存在缺陷，且该缺陷是交通事故发生原因之一的；</w:t>
      </w:r>
    </w:p>
    <w:p w14:paraId="33281FE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（二）知道或者应当知道驾驶人无驾驶资格或者未取得相应驾驶资格的；</w:t>
      </w:r>
    </w:p>
    <w:p w14:paraId="255CE7C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（三）知道或者应当知道驾驶人因饮酒、服用国家管制的精神药品或者麻醉药品，或者患有妨碍安全驾驶机动车的疾病等依法不能驾驶机动车的；</w:t>
      </w:r>
    </w:p>
    <w:p w14:paraId="7835086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（四）其他应当认定机动车所有人或者管理人有过错的。</w:t>
      </w:r>
    </w:p>
    <w:p w14:paraId="2591017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第二条　被多次转让但是未办理登记的机动车发生交通事故造成损害，属于该机动车一方责任，当事人请求由最后一次转让并交付的受让人承担赔偿责任的，人民法院应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46F2BB67"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第三条　套牌机动车发生交通事故造成损害，属于该机动车一方责任，当事人</w:t>
      </w:r>
      <w:proofErr w:type="gramStart"/>
      <w:r w:rsidRPr="006F01FC">
        <w:rPr>
          <w:rFonts w:ascii="Times New Roman" w:eastAsia="宋体" w:hAnsi="Times New Roman" w:cs="Times New Roman"/>
        </w:rPr>
        <w:t>请求由套牌</w:t>
      </w:r>
      <w:proofErr w:type="gramEnd"/>
      <w:r w:rsidRPr="006F01FC">
        <w:rPr>
          <w:rFonts w:ascii="Times New Roman" w:eastAsia="宋体" w:hAnsi="Times New Roman" w:cs="Times New Roman"/>
        </w:rPr>
        <w:t>机动车的所有人或者管理人承担赔偿责任的，人民法院应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持；被套牌机动车所有人或者管理人同意套牌的，应当与套牌机动车的所有人或者管理人承担连带责任。</w:t>
      </w:r>
    </w:p>
    <w:p w14:paraId="690C3196"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第四条　拼装车、已达到报废标准的机动车或者依法禁止行驶的其他机动车被多次转让，并发生交通事故造成损害，当事人请求由所有的转让人和受让人承担连带责任的，人民法院应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13D73929"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第五条　接受机动车驾驶培训的人员，在培训活动中驾驶机动车发生交通事故造成损害，属于该机动车一方责任，当事人请求驾驶培训单位承担赔偿责任的，人民法院应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42B8A26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第六条　机动车试乘过程中发生交通事故造成试乘人损害，当事人请求提供试乘服务者承担赔偿责任的，人民法院应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持。试乘人有过错的，应当减轻提供试乘服务者的赔偿责任。</w:t>
      </w:r>
    </w:p>
    <w:p w14:paraId="403C02D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第七条　因道路管理维护缺陷导致机动车发生交通事故造成损害，当事人请求道路管理者承担相应赔偿责任的，人民法院应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持。但道路管理者能够证明已经依照法律、法规、规章的规定，或者按照国家标准、行业标准、地方标准的要求尽到安全防护、警示等管理维护义务的除外。</w:t>
      </w:r>
    </w:p>
    <w:p w14:paraId="5945EAB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依法不得进入高速公路的车辆、行人，进入高速公路发生交通事故造成自身损害，当事人请求高速公路管理者承担赔偿责任的，适用民法典第一千二百四十三条的规定。</w:t>
      </w:r>
    </w:p>
    <w:p w14:paraId="6A4B3F6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第八条　未按照法律、法规、规章或者国家标准、行业标准、地方标准的强制性规定设计、施工，致使道路存在缺陷并造成交通事故，当事人请求建设单位与施工单位承担相应赔偿责任的，人民法院应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63CD58F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第九条　机动车存在产品缺陷导致交通事故造成损害，当事人请求生产者或者销售者依照民法典第七编第四章的规定承担赔偿责任的，人民法院应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57DA0AA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第十条　多辆机动车发生交通事故造成第三人损害，当事人请求多个侵权人承担赔偿责</w:t>
      </w:r>
      <w:r w:rsidRPr="006F01FC">
        <w:rPr>
          <w:rFonts w:ascii="Times New Roman" w:eastAsia="宋体" w:hAnsi="Times New Roman" w:cs="Times New Roman"/>
        </w:rPr>
        <w:lastRenderedPageBreak/>
        <w:t>任的，人民法院应当区分不同情况，依照民法典第一千一百七十条、第一千一百七十一条、第一千一百七十二条的规定，确定侵权人承担连带责任或者按份责任。</w:t>
      </w:r>
    </w:p>
    <w:p w14:paraId="62D7F1EC" w14:textId="01A0EC6B" w:rsidR="006F01FC" w:rsidRPr="006F01FC" w:rsidRDefault="006F01FC" w:rsidP="006F01FC">
      <w:pPr>
        <w:jc w:val="center"/>
        <w:rPr>
          <w:rFonts w:ascii="微软雅黑" w:eastAsia="微软雅黑" w:hAnsi="微软雅黑" w:cs="Times New Roman"/>
          <w:b/>
          <w:bCs/>
        </w:rPr>
      </w:pPr>
      <w:r w:rsidRPr="006F01FC">
        <w:rPr>
          <w:rFonts w:ascii="微软雅黑" w:eastAsia="微软雅黑" w:hAnsi="微软雅黑" w:cs="Times New Roman"/>
          <w:b/>
          <w:bCs/>
        </w:rPr>
        <w:t>二、关于赔偿范围的认定</w:t>
      </w:r>
    </w:p>
    <w:p w14:paraId="1168E69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第十一条　道路交通安全法第七十六条规定的</w:t>
      </w:r>
      <w:r w:rsidRPr="006F01FC">
        <w:rPr>
          <w:rFonts w:ascii="Times New Roman" w:eastAsia="宋体" w:hAnsi="Times New Roman" w:cs="Times New Roman"/>
        </w:rPr>
        <w:t>“</w:t>
      </w:r>
      <w:r w:rsidRPr="006F01FC">
        <w:rPr>
          <w:rFonts w:ascii="Times New Roman" w:eastAsia="宋体" w:hAnsi="Times New Roman" w:cs="Times New Roman"/>
        </w:rPr>
        <w:t>人身伤亡</w:t>
      </w:r>
      <w:r w:rsidRPr="006F01FC">
        <w:rPr>
          <w:rFonts w:ascii="Times New Roman" w:eastAsia="宋体" w:hAnsi="Times New Roman" w:cs="Times New Roman"/>
        </w:rPr>
        <w:t>”</w:t>
      </w:r>
      <w:r w:rsidRPr="006F01FC">
        <w:rPr>
          <w:rFonts w:ascii="Times New Roman" w:eastAsia="宋体" w:hAnsi="Times New Roman" w:cs="Times New Roman"/>
        </w:rPr>
        <w:t>，是指机动车发生交通事故侵害被侵权人的生命权、身体权、健康权等人身权益所造成的损害，包括民法典第一千一百七十九条和第一千一百八十三条规定的各项损害。</w:t>
      </w:r>
    </w:p>
    <w:p w14:paraId="0063125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道路交通安全法第七十六条规定的</w:t>
      </w:r>
      <w:r w:rsidRPr="006F01FC">
        <w:rPr>
          <w:rFonts w:ascii="Times New Roman" w:eastAsia="宋体" w:hAnsi="Times New Roman" w:cs="Times New Roman"/>
        </w:rPr>
        <w:t>“</w:t>
      </w:r>
      <w:r w:rsidRPr="006F01FC">
        <w:rPr>
          <w:rFonts w:ascii="Times New Roman" w:eastAsia="宋体" w:hAnsi="Times New Roman" w:cs="Times New Roman"/>
        </w:rPr>
        <w:t>财产损失</w:t>
      </w:r>
      <w:r w:rsidRPr="006F01FC">
        <w:rPr>
          <w:rFonts w:ascii="Times New Roman" w:eastAsia="宋体" w:hAnsi="Times New Roman" w:cs="Times New Roman"/>
        </w:rPr>
        <w:t>”</w:t>
      </w:r>
      <w:r w:rsidRPr="006F01FC">
        <w:rPr>
          <w:rFonts w:ascii="Times New Roman" w:eastAsia="宋体" w:hAnsi="Times New Roman" w:cs="Times New Roman"/>
        </w:rPr>
        <w:t>，是指因机动车发生交通事故侵害被侵权人的财产权益所造成的损失。</w:t>
      </w:r>
    </w:p>
    <w:p w14:paraId="73C435A6"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第十二条　因道路交通事故造成下列财产损失，当事人请求侵权人赔偿的，人民法院应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494B2687"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（一）维修被损坏车辆所支出的费用、车辆所载物品的损失、车辆施救费用；</w:t>
      </w:r>
    </w:p>
    <w:p w14:paraId="6311EF9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（二）因车辆灭失或者无法修复，为购买交通事故发生时与被损坏车辆价值相当的车辆重置费用；</w:t>
      </w:r>
    </w:p>
    <w:p w14:paraId="422273C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（三）依法从事货物运输、旅客运输等经营性活动的车辆，因无法从事相应经营活动所产生的合理停运损失；</w:t>
      </w:r>
    </w:p>
    <w:p w14:paraId="3EC0DBBB"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（四）非经营性车辆因无法继续使用，所产生的通常替代性交通工具的合理费用。</w:t>
      </w:r>
    </w:p>
    <w:p w14:paraId="07BA7C7D" w14:textId="77777777" w:rsidR="006F01FC" w:rsidRPr="006F01FC" w:rsidRDefault="006F01FC" w:rsidP="006F01FC">
      <w:pPr>
        <w:jc w:val="cente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微软雅黑" w:eastAsia="微软雅黑" w:hAnsi="微软雅黑" w:cs="Times New Roman"/>
          <w:b/>
          <w:bCs/>
        </w:rPr>
        <w:t>三、关于责任承担的认定</w:t>
      </w:r>
    </w:p>
    <w:p w14:paraId="18467BF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第十三条　同时投保机动车第三者责任强制保险（以下简称</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）和第三者责任商业保险（以下简称商业三者险）的机动车发生交通事故造成损害，当事人同时起诉侵权人和保险公司的，人民法院应当依照民法典第一千二百一十三条的规定，确定赔偿责任。</w:t>
      </w:r>
    </w:p>
    <w:p w14:paraId="630D6653"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被侵权人或者其近亲属请求</w:t>
      </w:r>
      <w:proofErr w:type="gramStart"/>
      <w:r w:rsidRPr="006F01FC">
        <w:rPr>
          <w:rFonts w:ascii="Times New Roman" w:eastAsia="宋体" w:hAnsi="Times New Roman" w:cs="Times New Roman"/>
        </w:rPr>
        <w:t>承保交强险的</w:t>
      </w:r>
      <w:proofErr w:type="gramEnd"/>
      <w:r w:rsidRPr="006F01FC">
        <w:rPr>
          <w:rFonts w:ascii="Times New Roman" w:eastAsia="宋体" w:hAnsi="Times New Roman" w:cs="Times New Roman"/>
        </w:rPr>
        <w:t>保险公司优先赔偿精神损害的，人民法院应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141B6A94"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第十四条　投保人允许的驾驶人驾驶机动车致使投保人遭受损害，当事人请求</w:t>
      </w:r>
      <w:proofErr w:type="gramStart"/>
      <w:r w:rsidRPr="006F01FC">
        <w:rPr>
          <w:rFonts w:ascii="Times New Roman" w:eastAsia="宋体" w:hAnsi="Times New Roman" w:cs="Times New Roman"/>
        </w:rPr>
        <w:t>承保交强险的</w:t>
      </w:r>
      <w:proofErr w:type="gramEnd"/>
      <w:r w:rsidRPr="006F01FC">
        <w:rPr>
          <w:rFonts w:ascii="Times New Roman" w:eastAsia="宋体" w:hAnsi="Times New Roman" w:cs="Times New Roman"/>
        </w:rPr>
        <w:t>保险公司在责任限额范围内予以赔偿的，人民法院应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持，但投保人为本车上人员的除外。</w:t>
      </w:r>
    </w:p>
    <w:p w14:paraId="7AD45CD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第十五条　有下列情形之一导致第三人人身损害，当事人请求保险公司在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责任限额范围内予以赔偿，人民法院应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3FFBBE3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（一）驾驶人未取得驾驶资格或者未取得相应驾驶资格的；</w:t>
      </w:r>
    </w:p>
    <w:p w14:paraId="37BC15EC"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（二）醉酒、服用国家管制的精神药品或者麻醉药品后驾驶机动车发生交通事故的；</w:t>
      </w:r>
    </w:p>
    <w:p w14:paraId="45A1DA7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（三）驾驶人故意制造交通事故的。</w:t>
      </w:r>
    </w:p>
    <w:p w14:paraId="6D462DD7"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保险公司在赔偿范围内向侵权人主张追偿权的，人民法院应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持。追偿权的诉讼时效期间自保险公司实际赔偿之日起计算。</w:t>
      </w:r>
    </w:p>
    <w:p w14:paraId="3859768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第十六条　未依法投保</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的机动车发生交通事故造成损害，当事人请求投保义务人在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责任限额范围内予以赔偿的，人民法院应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5B2623B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投保义务人和侵权人不是同一人，当事人请求投保义务人和侵权人在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责任限额范围内承担相应责任的，人民法院应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61340BAD"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第十七条　具有从事</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业务资格的保险公司违法拒绝承保、拖延承保或者违法解除</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合同，投保义务人在向第三人承担赔偿责任后，请求该保险公司在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责任限额范围内承担相应赔偿责任的，人民法院应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24B0C58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第十八条　多辆机动车发生交通事故造成第三人损害，损失超出各机动车</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责任限额之和的，由各保险公司在各自责任限额范围内承担赔偿责任；损失未超出各机动车</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责任限额之和，当事人请求由各保险公司按照其责任限额与责任限额之和的比例承担赔偿责</w:t>
      </w:r>
      <w:r w:rsidRPr="006F01FC">
        <w:rPr>
          <w:rFonts w:ascii="Times New Roman" w:eastAsia="宋体" w:hAnsi="Times New Roman" w:cs="Times New Roman"/>
        </w:rPr>
        <w:lastRenderedPageBreak/>
        <w:t>任的，人民法院应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2C9702D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依法分别投保</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的牵引车和挂车连接使用时发生交通事故造成第三人损害，当事人请求由各保险公司在各自的责任限额范围内平均赔偿的，人民法院应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3855E048"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多辆机动车发生交通事故造成第三人损害，其中部分机动车未投保</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，当事人请求先由已</w:t>
      </w:r>
      <w:proofErr w:type="gramStart"/>
      <w:r w:rsidRPr="006F01FC">
        <w:rPr>
          <w:rFonts w:ascii="Times New Roman" w:eastAsia="宋体" w:hAnsi="Times New Roman" w:cs="Times New Roman"/>
        </w:rPr>
        <w:t>承保交强险的</w:t>
      </w:r>
      <w:proofErr w:type="gramEnd"/>
      <w:r w:rsidRPr="006F01FC">
        <w:rPr>
          <w:rFonts w:ascii="Times New Roman" w:eastAsia="宋体" w:hAnsi="Times New Roman" w:cs="Times New Roman"/>
        </w:rPr>
        <w:t>保险公司在责任限额范围内予以赔偿的，人民法院应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持。保险公司就超出其应承担的部分向未投保</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的投保义务人或者侵权人行使追偿权的，人民法院应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5189F7A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第十九条　同一交通事故的多个被侵权人同时起诉的，人民法院应当按照各被侵权人的损失比例确定</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的赔偿数额。</w:t>
      </w:r>
    </w:p>
    <w:p w14:paraId="34EDD4A6"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第二十条　机动车所有权在</w:t>
      </w:r>
      <w:proofErr w:type="gramStart"/>
      <w:r w:rsidRPr="006F01FC">
        <w:rPr>
          <w:rFonts w:ascii="Times New Roman" w:eastAsia="宋体" w:hAnsi="Times New Roman" w:cs="Times New Roman"/>
        </w:rPr>
        <w:t>交强险合同</w:t>
      </w:r>
      <w:proofErr w:type="gramEnd"/>
      <w:r w:rsidRPr="006F01FC">
        <w:rPr>
          <w:rFonts w:ascii="Times New Roman" w:eastAsia="宋体" w:hAnsi="Times New Roman" w:cs="Times New Roman"/>
        </w:rPr>
        <w:t>有效期内发生变动，保险公司在交通事故发生后，以该机动车未办理</w:t>
      </w:r>
      <w:proofErr w:type="gramStart"/>
      <w:r w:rsidRPr="006F01FC">
        <w:rPr>
          <w:rFonts w:ascii="Times New Roman" w:eastAsia="宋体" w:hAnsi="Times New Roman" w:cs="Times New Roman"/>
        </w:rPr>
        <w:t>交强险合同</w:t>
      </w:r>
      <w:proofErr w:type="gramEnd"/>
      <w:r w:rsidRPr="006F01FC">
        <w:rPr>
          <w:rFonts w:ascii="Times New Roman" w:eastAsia="宋体" w:hAnsi="Times New Roman" w:cs="Times New Roman"/>
        </w:rPr>
        <w:t>变更手续为由主张免除赔偿责任的，人民法院不予支持。</w:t>
      </w:r>
    </w:p>
    <w:p w14:paraId="2303B322"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机动车在</w:t>
      </w:r>
      <w:proofErr w:type="gramStart"/>
      <w:r w:rsidRPr="006F01FC">
        <w:rPr>
          <w:rFonts w:ascii="Times New Roman" w:eastAsia="宋体" w:hAnsi="Times New Roman" w:cs="Times New Roman"/>
        </w:rPr>
        <w:t>交强险合同</w:t>
      </w:r>
      <w:proofErr w:type="gramEnd"/>
      <w:r w:rsidRPr="006F01FC">
        <w:rPr>
          <w:rFonts w:ascii="Times New Roman" w:eastAsia="宋体" w:hAnsi="Times New Roman" w:cs="Times New Roman"/>
        </w:rPr>
        <w:t>有效期内发生改装、使用性质改变等导致危险程度增加的情形，发生交通事故后，当事人请求保险公司在责任限额范围内予以赔偿的，人民法院应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5FFBD61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前款情形下，保险公司另行起诉请求投保义务人按照重新核定后的保险费标准补足当期保险费的，人民法院应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5B525AFF"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第二十一条　当事人主张</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人身伤亡保险金请求权转让或者设定担保的行为无效的，人民法院应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0179CC85" w14:textId="77777777" w:rsidR="006F01FC" w:rsidRPr="006F01FC" w:rsidRDefault="006F01FC" w:rsidP="006F01FC">
      <w:pPr>
        <w:jc w:val="center"/>
        <w:rPr>
          <w:rFonts w:ascii="Times New Roman" w:eastAsia="宋体" w:hAnsi="Times New Roman" w:cs="Times New Roman"/>
        </w:rPr>
      </w:pPr>
      <w:r w:rsidRPr="006F01FC">
        <w:rPr>
          <w:rFonts w:ascii="Times New Roman" w:eastAsia="宋体" w:hAnsi="Times New Roman" w:cs="Times New Roman"/>
        </w:rPr>
        <w:t xml:space="preserve">　　</w:t>
      </w:r>
      <w:r w:rsidRPr="006F01FC">
        <w:rPr>
          <w:rFonts w:ascii="微软雅黑" w:eastAsia="微软雅黑" w:hAnsi="微软雅黑" w:cs="Times New Roman"/>
          <w:b/>
          <w:bCs/>
        </w:rPr>
        <w:t>四、关于诉讼程序的规定</w:t>
      </w:r>
    </w:p>
    <w:p w14:paraId="38A7C2AA"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第二十二条　人民法院审理道路交通事故损害赔偿案件，应当将</w:t>
      </w:r>
      <w:proofErr w:type="gramStart"/>
      <w:r w:rsidRPr="006F01FC">
        <w:rPr>
          <w:rFonts w:ascii="Times New Roman" w:eastAsia="宋体" w:hAnsi="Times New Roman" w:cs="Times New Roman"/>
        </w:rPr>
        <w:t>承保交强险的</w:t>
      </w:r>
      <w:proofErr w:type="gramEnd"/>
      <w:r w:rsidRPr="006F01FC">
        <w:rPr>
          <w:rFonts w:ascii="Times New Roman" w:eastAsia="宋体" w:hAnsi="Times New Roman" w:cs="Times New Roman"/>
        </w:rPr>
        <w:t>保险公司列为共同被告。但该保险公司已经在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责任限额范围内予以赔偿且当事人无异议的除外。</w:t>
      </w:r>
    </w:p>
    <w:p w14:paraId="16E3BE04"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人民法院审理道路交通事故损害赔偿案件，当事人请求将承保商业</w:t>
      </w:r>
      <w:proofErr w:type="gramStart"/>
      <w:r w:rsidRPr="006F01FC">
        <w:rPr>
          <w:rFonts w:ascii="Times New Roman" w:eastAsia="宋体" w:hAnsi="Times New Roman" w:cs="Times New Roman"/>
        </w:rPr>
        <w:t>三者险的</w:t>
      </w:r>
      <w:proofErr w:type="gramEnd"/>
      <w:r w:rsidRPr="006F01FC">
        <w:rPr>
          <w:rFonts w:ascii="Times New Roman" w:eastAsia="宋体" w:hAnsi="Times New Roman" w:cs="Times New Roman"/>
        </w:rPr>
        <w:t>保险公司列为共同被告的，人民法院应予准许。</w:t>
      </w:r>
    </w:p>
    <w:p w14:paraId="39FD5E9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第二十三条　被侵权人因道路交通事故死亡，无近亲属或者近亲属不明，未经法律授权的机关或者有关组织向人民法院起诉主张死亡赔偿金的，人民法院不予受理。</w:t>
      </w:r>
    </w:p>
    <w:p w14:paraId="4823B1F5"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侵权人以已向未经法律授权的机关或者有关组织支付死亡赔偿金为理由，请求保险公司在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责任限额范围内予以赔偿的，人民法院不予支持。</w:t>
      </w:r>
    </w:p>
    <w:p w14:paraId="1C6EE6B0"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被侵权人因道路交通事故死亡，无近亲属或者近亲属不明，支付被侵权人医疗费、丧葬费等合理费用的单位或者个人，请求保险公司在</w:t>
      </w:r>
      <w:proofErr w:type="gramStart"/>
      <w:r w:rsidRPr="006F01FC">
        <w:rPr>
          <w:rFonts w:ascii="Times New Roman" w:eastAsia="宋体" w:hAnsi="Times New Roman" w:cs="Times New Roman"/>
        </w:rPr>
        <w:t>交强险</w:t>
      </w:r>
      <w:proofErr w:type="gramEnd"/>
      <w:r w:rsidRPr="006F01FC">
        <w:rPr>
          <w:rFonts w:ascii="Times New Roman" w:eastAsia="宋体" w:hAnsi="Times New Roman" w:cs="Times New Roman"/>
        </w:rPr>
        <w:t>责任限额范围内予以赔偿的，人民法院应</w:t>
      </w:r>
      <w:proofErr w:type="gramStart"/>
      <w:r w:rsidRPr="006F01FC">
        <w:rPr>
          <w:rFonts w:ascii="Times New Roman" w:eastAsia="宋体" w:hAnsi="Times New Roman" w:cs="Times New Roman"/>
        </w:rPr>
        <w:t>予支</w:t>
      </w:r>
      <w:proofErr w:type="gramEnd"/>
      <w:r w:rsidRPr="006F01FC">
        <w:rPr>
          <w:rFonts w:ascii="Times New Roman" w:eastAsia="宋体" w:hAnsi="Times New Roman" w:cs="Times New Roman"/>
        </w:rPr>
        <w:t>持。</w:t>
      </w:r>
    </w:p>
    <w:p w14:paraId="6594A9E1"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第二十四条　公安机关交通管理部门制作的交通事故认定书，人民法院应依法审查并确认其相应的证明力，但有相反证据推翻的除外。</w:t>
      </w:r>
    </w:p>
    <w:p w14:paraId="13460292" w14:textId="77777777" w:rsidR="006F01FC" w:rsidRPr="006F01FC" w:rsidRDefault="006F01FC" w:rsidP="006F01FC">
      <w:pPr>
        <w:jc w:val="center"/>
        <w:rPr>
          <w:rFonts w:ascii="微软雅黑" w:eastAsia="微软雅黑" w:hAnsi="微软雅黑" w:cs="Times New Roman"/>
          <w:b/>
          <w:bCs/>
        </w:rPr>
      </w:pPr>
      <w:r w:rsidRPr="006F01FC">
        <w:rPr>
          <w:rFonts w:ascii="微软雅黑" w:eastAsia="微软雅黑" w:hAnsi="微软雅黑" w:cs="Times New Roman"/>
          <w:b/>
          <w:bCs/>
        </w:rPr>
        <w:t xml:space="preserve">　　五、关于适用范围的规定</w:t>
      </w:r>
    </w:p>
    <w:p w14:paraId="7FDD48BE"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第二十五条　机动车在道路以外的地方通行时引发的损害赔偿案件，可以参照适用本解释的规定。</w:t>
      </w:r>
    </w:p>
    <w:p w14:paraId="673C9995" w14:textId="77777777" w:rsidR="006F01FC"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第二十六条　本解释施行后尚未终审的案件，适用本解释；本解释施行前已经终审，当事人申请再审或者按照审判监督程序决定再审的案件，不适用本解释。</w:t>
      </w:r>
    </w:p>
    <w:p w14:paraId="6876DA51" w14:textId="1ADCCD03" w:rsidR="006B41BB" w:rsidRPr="006F01FC" w:rsidRDefault="006F01FC" w:rsidP="006F01FC">
      <w:pPr>
        <w:rPr>
          <w:rFonts w:ascii="Times New Roman" w:eastAsia="宋体" w:hAnsi="Times New Roman" w:cs="Times New Roman"/>
        </w:rPr>
      </w:pPr>
      <w:r w:rsidRPr="006F01FC">
        <w:rPr>
          <w:rFonts w:ascii="Times New Roman" w:eastAsia="宋体" w:hAnsi="Times New Roman" w:cs="Times New Roman"/>
        </w:rPr>
        <w:t xml:space="preserve">        </w:t>
      </w:r>
    </w:p>
    <w:sectPr w:rsidR="006B41BB" w:rsidRPr="006F01F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44EE3" w14:textId="77777777" w:rsidR="009457FC" w:rsidRDefault="009457FC" w:rsidP="006F01FC">
      <w:pPr>
        <w:rPr>
          <w:rFonts w:hint="eastAsia"/>
        </w:rPr>
      </w:pPr>
      <w:r>
        <w:separator/>
      </w:r>
    </w:p>
  </w:endnote>
  <w:endnote w:type="continuationSeparator" w:id="0">
    <w:p w14:paraId="5280C17C" w14:textId="77777777" w:rsidR="009457FC" w:rsidRDefault="009457FC" w:rsidP="006F01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7F70F" w14:textId="77777777" w:rsidR="006F01FC" w:rsidRDefault="006F01FC">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3267449"/>
      <w:docPartObj>
        <w:docPartGallery w:val="Page Numbers (Bottom of Page)"/>
        <w:docPartUnique/>
      </w:docPartObj>
    </w:sdtPr>
    <w:sdtContent>
      <w:p w14:paraId="6DFFE4B4" w14:textId="4AA3F71C" w:rsidR="006F01FC" w:rsidRDefault="006F01FC">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0DE2D0A0" w14:textId="77777777" w:rsidR="006F01FC" w:rsidRDefault="006F01FC">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44962" w14:textId="77777777" w:rsidR="006F01FC" w:rsidRDefault="006F01F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9DCBB" w14:textId="77777777" w:rsidR="009457FC" w:rsidRDefault="009457FC" w:rsidP="006F01FC">
      <w:pPr>
        <w:rPr>
          <w:rFonts w:hint="eastAsia"/>
        </w:rPr>
      </w:pPr>
      <w:r>
        <w:separator/>
      </w:r>
    </w:p>
  </w:footnote>
  <w:footnote w:type="continuationSeparator" w:id="0">
    <w:p w14:paraId="1D008A42" w14:textId="77777777" w:rsidR="009457FC" w:rsidRDefault="009457FC" w:rsidP="006F01F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63041" w14:textId="77777777" w:rsidR="006F01FC" w:rsidRDefault="006F01FC">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26DE4" w14:textId="77777777" w:rsidR="006F01FC" w:rsidRDefault="006F01FC">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DDCD7" w14:textId="77777777" w:rsidR="006F01FC" w:rsidRDefault="006F01FC">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1FC"/>
    <w:rsid w:val="006B41BB"/>
    <w:rsid w:val="006F01FC"/>
    <w:rsid w:val="009457FC"/>
    <w:rsid w:val="009632A4"/>
    <w:rsid w:val="00A20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80A8A93"/>
  <w15:chartTrackingRefBased/>
  <w15:docId w15:val="{497C818E-8B5D-4F84-AAB2-1CE33425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1FC"/>
    <w:pPr>
      <w:tabs>
        <w:tab w:val="center" w:pos="4153"/>
        <w:tab w:val="right" w:pos="8306"/>
      </w:tabs>
      <w:snapToGrid w:val="0"/>
      <w:jc w:val="center"/>
    </w:pPr>
    <w:rPr>
      <w:sz w:val="18"/>
      <w:szCs w:val="18"/>
    </w:rPr>
  </w:style>
  <w:style w:type="character" w:customStyle="1" w:styleId="a4">
    <w:name w:val="页眉 字符"/>
    <w:basedOn w:val="a0"/>
    <w:link w:val="a3"/>
    <w:uiPriority w:val="99"/>
    <w:rsid w:val="006F01FC"/>
    <w:rPr>
      <w:sz w:val="18"/>
      <w:szCs w:val="18"/>
    </w:rPr>
  </w:style>
  <w:style w:type="paragraph" w:styleId="a5">
    <w:name w:val="footer"/>
    <w:basedOn w:val="a"/>
    <w:link w:val="a6"/>
    <w:uiPriority w:val="99"/>
    <w:unhideWhenUsed/>
    <w:rsid w:val="006F01FC"/>
    <w:pPr>
      <w:tabs>
        <w:tab w:val="center" w:pos="4153"/>
        <w:tab w:val="right" w:pos="8306"/>
      </w:tabs>
      <w:snapToGrid w:val="0"/>
      <w:jc w:val="left"/>
    </w:pPr>
    <w:rPr>
      <w:sz w:val="18"/>
      <w:szCs w:val="18"/>
    </w:rPr>
  </w:style>
  <w:style w:type="character" w:customStyle="1" w:styleId="a6">
    <w:name w:val="页脚 字符"/>
    <w:basedOn w:val="a0"/>
    <w:link w:val="a5"/>
    <w:uiPriority w:val="99"/>
    <w:rsid w:val="006F01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565</Words>
  <Characters>3225</Characters>
  <Application>Microsoft Office Word</Application>
  <DocSecurity>0</DocSecurity>
  <Lines>26</Lines>
  <Paragraphs>7</Paragraphs>
  <ScaleCrop>false</ScaleCrop>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1</cp:revision>
  <dcterms:created xsi:type="dcterms:W3CDTF">2024-09-05T05:20:00Z</dcterms:created>
  <dcterms:modified xsi:type="dcterms:W3CDTF">2024-09-05T05:21:00Z</dcterms:modified>
</cp:coreProperties>
</file>