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383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rPr>
        <w:t>最高人民法院 最高人民检察院关于办理侵犯知识产权刑事案件适用法律若干问题的解释</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最高人民法院、最高人民检察院关于办理侵犯知识产权刑事案件适用法律若干问题的解释》已于2025年4月7日由最高人民法院审判委员会第1947次会议、2025年4月11日由最高人民检察院第十四届检察委员会第五十一次会议通过，现予公布，自2025年4月26日起施行。</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bookmarkStart w:id="0" w:name="_GoBack"/>
      <w:bookmarkEnd w:id="0"/>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最高人民法院　最高人民检察院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2025年4月23日</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法释〔2025〕5号</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最高人民法院 最高人民检察院关于办理侵犯知识产权刑事案件适用法律若干问题的解释</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（2025年4月7日最高人民法院审判委员会第1947次会议、2025年4月11日最高人民检察院第十四届检察委员会第五十一次会议通过，自2025年4月26日起施行）</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为依法惩治侵犯知识产权犯罪，维护社会主义市场经济秩序，根据《中华人民共和国刑法》《中华人民共和国刑事诉讼法》等法律的有关规定，结合司法实践，现就办理侵犯知识产权刑事案件适用法律的若干问题解释如下：</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第一条 未经注册商标所有人许可，在同一种商品、服务上使用与其注册商标相同的商标，具有下列情形之一的，应当认定为刑法第二百一十三条规定的“同一种商品、服务”：</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（一）行为人实际生产销售的商品名称、实际提供的服务名称与权利人注册商标核定使用的商品、服务名称相同的；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（二）商品名称不同，但在功能、用途、主要原料、消费对象、销售渠道等方面相同或者基本相同，相关公众一般认为是同种商品的；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（三）服务名称不同，但在服务的目的、内容、方式、对象、场所等方面相同或者基本相同，相关公众一般认为是同种服务的。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认定“同一种商品、服务”，应当在权利人注册商标核定使用的商品、服务和行为人实际生产销售的商品、实际提供的服务之间进行比较。</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第二条 与被假冒的注册商标完全相同，或者与被假冒的注册商标基本无差别、足以对相关公众产生误导的商标，应当认定为刑法第二百一十三条规定的“与其注册商标相同的商标”。具有下列情形之一的，应当认定为与被假冒的注册商标基本无差别、足以对相关公众产生误导的商标：</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（一）改变注册商标的字体、字母大小写或者文字横竖排列，与注册商标基本无差别的；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（二）改变注册商标的文字、字母、数字等之间的间距，与注册商标基本无差别的；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（三）改变注册商标颜色，不影响体现注册商标显著特征的；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（四）在注册商标上仅增加商品通用名称、型号等缺乏显著特征要素，不影响体现注册商标显著特征的；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（五）与立体注册商标的三维标志及平面要素基本无差别的；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（六）其他与注册商标基本无差别、足以对相关公众产生误导的。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第三条　未经注册商标所有人许可，在同一种商品上使用与其注册商标相同的商标，具有下列情形之一的，应当认定为刑法第二百一十三条规定的“情节严重”：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（一）违法所得数额在三万元以上或者非法经营数额在五万元以上的；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（二）假冒两种以上注册商标，违法所得数额在二万元以上或者非法经营数额在三万元以上的；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（三）二年内因实施刑法第二百一十三条至第二百一十五条规定的行为受过刑事处罚或者行政处罚后再次实施，违法所得数额在二万元以上或者非法经营数额在三万元以上的；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（四）其他情节严重的情形。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未经注册商标所有人许可，在同一种服务上使用与其注册商标相同的商标，具有下列情形之一的，应当认定为刑法第二百一十三条规定的“情节严重”：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（一）违法所得数额在五万元以上的；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（二）假冒两种以上注册商标，违法所得数额在三万元以上的；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（三）二年内因实施刑法第二百一十三条至第二百一十五条规定的行为受过刑事处罚或者行政处罚后再次实施，违法所得数额在三万元以上的；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（四）其他情节严重的情形。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既假冒商品注册商标，又假冒服务注册商标，假冒商品注册商标的违法所得数额不足本条第一款规定标准，但与假冒服务注册商标的违法所得数额合计达到本条第二款规定标准的，应当认定为刑法第二百一十三条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违法所得数额、非法经营数额达到本条前三款相应规定标准十倍以上的，应当认定为刑法第二百一十三条规定的“情节特别严重”。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第四条 销售假冒注册商标的商品，具有下列情形之一的，可以认定为刑法第二百一十四条规定的“明知”，但有证据证明确实不知道的除外：</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（一）知道自己销售的商品上的注册商标被涂改、调换或者覆盖的；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（二）伪造、涂改商标注册人授权文件或者知道该文件被伪造、涂改的；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（三）因销售假冒注册商标的商品受过刑事处罚或者行政处罚，又销售同一种假冒注册商标的商品的；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（四）无正当理由以明显低于市场价格进货或者销售的；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（五）被行政执法机关、司法机关发现销售假冒注册商标的商品后，转移、销毁侵权商品、会计凭证等证据或者提供虚假证明的；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（六）其他可以认定为明知是假冒注册商标的商品的情形。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第五条 销售明知是假冒注册商标的商品，违法所得数额在三万元以上的，应当认定为刑法第二百一十四条规定的“违法所得数额较大”；具有下列情形之一的，应当认定为刑法第二百一十四条规定的“其他严重情节”：</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（一）销售金额在五万元以上的；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（二）二年内因实施刑法第二百一十三条至第二百一十五条规定的行为受过刑事处罚或者行政处罚后再次实施，违法所得数额在二万元以上或者销售金额在三万元以上的；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假冒注册商标的商品尚未销售，货值金额达到本款前两项规定的销售金额标准三倍以上，或者已销售商品的销售金额不足本款前两项标准，但与尚未销售商品的货值金额合计达到本款前两项规定的销售金额标准三倍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违法所得数额、销售金额、货值金额或者销售金额与货值金额合计达到本条前款相应规定标准十倍以上的，应当认定为刑法第二百一十四条规定的“违法所得数额巨大或者有其他特别严重情节”。</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第六条 伪造、擅自制造他人注册商标标识或者销售伪造、擅自制造的注册商标标识，具有下列情形之一的，应当认定为刑法第二百一十五条规定的“情节严重”：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（一）标识数量在一万件以上，或者违法所得数额在二万元以上，或者非法经营数额在三万元以上的；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（二）伪造、擅自制造或者销售伪造、擅自制造两种以上注册商标标识，标识数量在五千件以上，或者违法所得数额在一万元以上，或者非法经营数额在二万元以上的；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（三）二年内因实施刑法第二百一十三条至第二百一十五条规定的行为受过刑事处罚或者行政处罚后再次实施，标识数量在五千件以上，或者违法所得数额在一万元以上，或者非法经营数额在二万元以上的；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销售他人非法制造的注册商标标识，尚未销售的标识数量达到本款前三项规定标准三倍以上，或者已销售的标识数量不足本款前三项标准，但与尚未销售的标识数量合计达到本款前三项规定标准三倍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（五）其他情节严重的情形。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标识数量、违法所得数额、非法经营数额达到本条前款相应规定标准五倍以上的，应当认定为刑法第二百一十五条规定的“情节特别严重”。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第七条 本解释所称“两种以上注册商标”，是指识别商品、服务不同来源的两种以上注册商标。虽然注册商标不同，但在同一种商品、服务上使用，均指向同一商品、服务来源的，不应当认定为“两种以上注册商标”。</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本解释所称注册商标标识“件”，一般是指标有完整商标图样的一份标识。对于在一件有形载体上印制数个标识图样，该标识图样不能脱离有形载体单独使用的，应当认定为一件标识。</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第八条 实施刑法第二百一十三条规定的假冒注册商标犯罪，又销售该假冒注册商标的商品，构成犯罪的，应当依照刑法第二百一十三条的规定，以假冒注册商标罪定罪处罚。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实施刑法第二百一十三条规定的假冒注册商标犯罪，又销售明知是他人的假冒注册商标的商品，构成犯罪的，应当实行数罪并罚。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第九条 具有下列情形之一的，应当认定为刑法第二百一十六条规定的“假冒他人专利”：</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（一）伪造或者变造他人的专利证书、专利文件或者专利申请文件的；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（二）未经许可，在其制造或者销售的产品、产品包装上标注他人专利号的；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（三）未经许可，在合同、产品说明书或者广告等宣传材料中使用他人的专利号，使人误认为是他人发明、实用新型或者外观设计的。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第十条 假冒他人专利，具有下列情形之一的，应当认定为刑法第二百一十六条规定的“情节严重”: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（一）违法所得数额在十万元以上或者非法经营数额在二十万元以上的；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（二）给专利权人造成直接经济损失三十万元以上的；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（三）假冒两项以上他人专利，违法所得数额在五万元以上或者非法经营数额在十万元以上的；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（四）二年内因实施假冒他人专利的行为受过刑事处罚或者行政处罚后再次实施，违法所得数额在五万元以上或者非法经营数额在十万元以上的；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（五）其他情节严重的情形。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第十一条 实施侵犯著作权或者与著作权有关的权利的行为，没有取得著作权人、录音录像制作者、表演者授权，或者伪造、涂改授权许可文件，或者超出授权许可范围，应当认定为刑法第二百一十七条规定的“未经著作权人许可”、“未经录音录像制作者许可”、“未经表演者许可”。</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在刑法第二百一十七条规定的作品、录音录像制品上以通常方式署名的自然人、法人或者非法人组织，应当推定为著作权人或者录音录像制作者，且该作品、录音录像制品上存在着相应权利，但有相反证据的除外。</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在涉案作品、录音录像制品种类众多且权利人分散的案件中，有证据证明涉案作品、录音录像制品系非法出版、复制发行、通过信息网络向公众传播，且出版者、复制发行者、信息网络传播者不能提供获得著作权人、录音录像制作者、表演者许可的相关证据材料的，可以认定为刑法第二百一十七条规定的“未经著作权人许可”、“未经录音录像制作者许可”、“未经表演者许可”。但是，有证据证明权利人放弃权利、涉案作品的著作权或者录音录像制品、表演者的有关权利不受我国著作权法保护、权利保护期限已经届满等情形除外。</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第十二条 未经著作权人或者与著作权有关的权利人许可，既复制又发行或者为发行而复制作品、录音录像制品的行为，应当认定为刑法第二百一十七条规定的“复制发行”。</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未经著作权人或者与著作权有关的权利人许可，以有线或者无线的方式向公众提供，使公众可以在其选定的时间和地点获得作品、录音录像制品、表演的，应当认定为刑法第二百一十七条规定的“通过信息网络向公众传播”。</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第十三条 实施刑法第二百一十七条规定的侵犯著作权或者与著作权有关的权利的行为，违法所得数额在三万元以上的，应当认定为刑法第二百一十七条规定的“违法所得数额较大”；具有下列情形之一的，应当认定为刑法第二百一十七条规定的“其他严重情节”:</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（一）非法经营数额在五万元以上的；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（二）二年内因实施刑法第二百一十七条、第二百一十八条规定的行为受过刑事处罚或者行政处罚后再次实施，违法所得数额在二万元以上或者非法经营数额在三万元以上的；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（三）复制发行他人作品或者录音录像制品，复制件数量合计在五百份（张）以上的;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通过信息网络向公众传播他人作品、录音录像制品或者表演，数量合计在五百件（部）以上的，或者下载数量达到一万次以上的，或者被点击数量达到十万次以上的，或者以会员制方式传播，注册会员数量达到一千人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（五）数额或者数量虽未达到本款第一项至第四项规定标准，但分别达到其中两项以上标准一半以上的。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明知他人实施侵犯著作权犯罪，而向他人提供主要用于避开、破坏技术措施的装置或者部件，或者为他人避开、破坏技术措施提供技术服务，违法所得数额、非法经营数额达到前款规定标准的，应当以侵犯著作权罪追究刑事责任。</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数额、数量达到本条前两款相应规定标准十倍以上的，应当认定为刑法第二百一十七条规定的“违法所得数额巨大或者有其他特别严重情节”。</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第十四条 销售明知是刑法第二百一十七条规定的侵权复制品，违法所得数额在五万元以上的，应当认定为刑法第二百一十八条规定的“违法所得数额巨大”；具有下列情形之一的，应当认定为刑法第二百一十八条规定的“其他严重情节”:</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（一）销售金额在十万元以上的；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（二）二年内因实施刑法第二百一十七条、第二百一十八条规定的行为受过刑事处罚或者行政处罚后再次实施，违法所得数额在三万元以上或者销售金额在五万元以上的；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（三）销售他人作品或者录音录像制品，复制件数量合计在一千份（张）以上的；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侵权复制品尚未销售，货值金额或者侵权复制品数量达到本款前三项规定标准三倍以上，或者已销售侵权复制品的销售金额、数量不足本款前三项标准，但与尚未销售的侵权复制品的货值金额、数量合计达到本款前三项规定标准三倍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第十五条 实施刑法第二百一十七条规定的侵犯著作权犯罪，又销售该侵权复制品，构成犯罪的，应当依照刑法第二百一十七条的规定，以侵犯著作权罪定罪处罚。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实施刑法第二百一十七条规定的侵犯著作权犯罪，又销售明知是他人的侵权复制品，构成犯罪的，应当实行数罪并罚。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第十六条 采取非法复制等方式获取商业秘密的，应当认定为刑法第二百一十九条第一款第一项规定的“盗窃”；未经授权或者超越授权使用计算机信息系统等方式获取商业秘密的，应当认定为刑法第二百一十九条第一款第一项规定的“电子侵入”。</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第十七条 侵犯商业秘密，具有下列情形之一的，应当认定为刑法第二百一十九条规定的“情节严重”：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（一）给商业秘密的权利人造成损失数额在三十万元以上的；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（二）因侵犯商业秘密违法所得数额在三十万元以上的；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（三）二年内因实施刑法第二百一十九条、第二百一十九条之一规定的行为受过刑事处罚或者行政处罚后再次实施，造成损失数额或者违法所得数额在十万元以上的；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（四）其他情节严重的情形。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侵犯商业秘密，直接导致商业秘密的权利人因重大经营困难而破产、倒闭的，或者数额达到本条前款相应规定标准十倍以上的，应当认定为刑法第二百一十九条规定的“情节特别严重”。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第十八条 本解释规定的侵犯商业秘密“损失数额”，按照下列方式予以认定：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（一）以不正当手段获取权利人的商业秘密，尚未披露、使用或者允许他人使用的，损失数额可以根据该项商业秘密的合理许可使用费确定；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以不正当手段获取权利人的商业秘密后，披露、使用或者允许他人使用的，损失数额可以根据权利人因被侵权造成利润的损失确定，但该损失数额低于商业秘密合理许可使用费的，根据合理许可使用费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（三）违反保密义务或者权利人有关保守商业秘密的要求，披露、使用或者允许他人使用其所掌握的商业秘密的，损失数额可以根据权利人因被侵权造成利润的损失确定；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明知商业秘密是不正当手段获取或者是违反保密义务、权利人有关保守商业秘密的要求披露、使用、允许使用，仍获取、披露、使用或者允许他人使用的，损失数额可以根据权利人因被侵权造成利润的损失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因侵犯商业秘密行为导致商业秘密已为公众所知悉或者灭失的，损失数额可以根据该项商业秘密的商业价值确定。商业秘密的商业价值，可以根据该项商业秘密的研究开发成本、实施该项商业秘密的收益等因素综合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前款第二项至第四项规定的权利人因被侵权造成利润的损失，可以根据权利人因被侵权造成产品销售量减少的总数乘以权利人每件产品的合理利润确定；产品销售量减少的总数无法确定的，可以根据侵权产品销售量乘以权利人每件产品的合理利润确定。商业秘密系用于服务等其他经营活动的，损失数额可以根据权利人因被侵权而减少的合理利润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商业秘密的权利人为减轻对商业运营、商业计划的损失或者重新恢复计算机信息系统安全、其他系统安全而支出的补救费用，应当计入给商业秘密的权利人造成的损失。</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第十九条 本解释规定的侵犯商业秘密“违法所得数额”，是指因披露、允许他人使用商业秘密而获得的财物或者其他财产性利益的价值，或者因使用商业秘密所获得的利润。该利润可以根据侵权产品销售量乘以每件侵权产品的合理利润确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第二十条 为境外机构、组织、人员窃取、刺探、收买、非法提供商业秘密，具有本解释第十七条规定情形的，应当认定为刑法第二百一十九条之一规定的“情节严重”。</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第二十一条 在刑事诉讼程序中，当事人、辩护人、诉讼代理人或者案外人书面申请对有关商业秘密或者其他需要保密的商业信息的证据、材料采取保密措施的，应当根据案件情况采取组织诉讼参与人签署保密承诺书等必要的保密措施。</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违反前款有关保密措施的要求或者法律法规规定的保密义务的，依法承担相应责任。擅自披露、使用或者允许他人使用在刑事诉讼程序中接触、获取的商业秘密，构成犯罪的，依法追究刑事责任。</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第二十二条 明知他人实施侵犯知识产权犯罪，具有下列行为之一的，以共同犯罪论处，但法律和司法解释另有规定的除外：</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（一）提供生产、制造侵权产品的主要原材料、辅助材料、半成品、包装材料、机械设备、标签标识、生产技术、配方等帮助的；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（二）提供贷款、资金、账号、许可证件、支付结算等服务的；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（三）提供生产、经营场所或者运输、仓储、保管、快递、邮寄等服务的；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（四）提供互联网接入、服务器托管、网络存储、通讯传输等技术支持的；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（五）其他帮助侵犯知识产权犯罪的情形。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第二十三条 实施侵犯知识产权犯罪，具有下列情形之一的，一般酌情从重处罚：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（一）主要以侵犯知识产权为业的；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（二）在重大自然灾害、事故灾难、公共卫生事件期间,假冒抢险救灾、防疫物资等商品或者服务注册商标的；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（三）拒不交出违法所得的。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第二十四条 实施侵犯知识产权犯罪，具有下列情形之一的，可以依法从轻处罚：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（一）认罪认罚的；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（二）取得权利人谅解的；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（三）以不正当手段获取权利人的商业秘密后尚未披露、使用或者允许他人使用的。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犯罪情节轻微的，可以依法不起诉或者免予刑事处罚。情节显著轻微危害不大的，不以犯罪论处。</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第二十五条 实施侵犯知识产权犯罪的，应当综合考虑犯罪违法所得数额、非法经营数额、给权利人造成的损失数额、侵权假冒物品数量及社会危害性等情节，依法判处罚金。</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罚金数额一般在违法所得数额的一倍以上十倍以下确定。违法所得数额无法查清的，罚金数额一般按照非法经营数额的百分之五十以上一倍以下确定。违法所得数额和非法经营数额均无法查清，判处三年以下有期徒刑、拘役或者单处罚金的，一般在三万元以上一百万元以下确定罚金数额；判处三年以上有期徒刑的，一般在十五万元以上五百万元以下确定罚金数额。</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第二十六条 单位实施刑法第二百一十三条至第二百一十九条之一行为的，对单位判处罚金，并对其直接负责的主管人员和其他直接责任人员，依照本解释规定的定罪量刑标准处罚。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第二十七条 除特殊情况外，假冒注册商标的商品、非法制造的注册商标标识、侵犯著作权的复制品、主要用于制造假冒注册商标的商品、注册商标标识或者侵权复制品的材料和工具，应当依法予以没收和销毁。</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上述物品需要作为民事、行政案件的证据使用的，经权利人申请，可以在民事、行政案件终结后或者采取取样、拍照等方式对证据固定后予以销毁。</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第二十八条 本解释所称“非法经营数额”，是指行为人在实施侵犯知识产权行为过程中，制造、储存、运输、销售侵权产品的价值。已销售侵权产品的价值，按照实际销售的价格计算。尚未销售侵权产品的价值，按照已经查清的侵权产品实际销售平均价格计算。实际销售平均价格无法查清的，按照侵权产品的标价计算。无法查清实际销售价格或者侵权产品没有标价的，按照被侵权产品的市场中间价格计算。</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本解释所称“货值金额”，依照前款规定的尚未销售的侵犯知识产权的产品价值认定。</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本解释所称“销售金额”，是指行为人在实施侵犯知识产权行为过程中，出售侵权产品后所得和应得的全部违法收入。</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本解释所称“违法所得数额”，是指行为人出售侵犯知识产权的产品后所得和应得的全部违法收入扣除原材料、所售产品的购进价款；提供服务的，扣除该项服务中所使用产品的购进价款。通过收取服务费、会员费或者广告费等方式营利的，收取的费用应当认定为“违法所得”。</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第二十九条 多次实施侵犯知识产权行为，未经处理且依法应当追诉的，定罪量刑所涉数额、数量等分别累计计算。</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对于已经制作完成但尚未附着或者尚未全部附着假冒注册商标标识的产品，有证据证明该产品将假冒他人注册商标的，其价值计入非法经营数额。</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第三十条 人民法院依法受理侵犯知识产权刑事自诉案件，对于当事人因客观原因不能取得的证据，在提起自诉时能够提供有关线索，申请人民法院调取的，人民法院应当依法调取。</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第三十一条 本解释自2025年4月26日起施行。</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本解释施行后，《最高人民法院、最高人民检察院关于办理侵犯知识产权刑事案件具体应用法律若干问题的解释》（法释〔2004〕19号）、《最高人民法院、最高人民检察院关于办理侵犯知识产权刑事案件具体应用法律若干问题的解释（二）》（法释〔2007〕6号）、《最高人民法院、最高人民检察院关于办理侵犯知识产权刑事案件具体应用法律若干问题的解释（三）》（法释〔2020〕10号）及《最高人民法院、最高人民检察院关于办理侵犯著作权刑事案件中涉及录音录像制品有关问题的批复》（法释〔2005〕12号）同时废止。</w:t>
      </w:r>
      <w:r>
        <w:rPr>
          <w:rFonts w:hint="eastAsia" w:ascii="宋体" w:hAnsi="宋体" w:eastAsia="宋体" w:cs="宋体"/>
          <w:i w:val="0"/>
          <w:iCs w:val="0"/>
          <w:caps w:val="0"/>
          <w:color w:val="000000"/>
          <w:spacing w:val="0"/>
          <w:sz w:val="21"/>
          <w:szCs w:val="21"/>
        </w:rPr>
        <w:br w:type="textWrapping"/>
      </w:r>
      <w:r>
        <w:rPr>
          <w:rFonts w:hint="eastAsia" w:ascii="宋体" w:hAnsi="宋体" w:eastAsia="宋体" w:cs="宋体"/>
          <w:i w:val="0"/>
          <w:iCs w:val="0"/>
          <w:caps w:val="0"/>
          <w:color w:val="000000"/>
          <w:spacing w:val="0"/>
          <w:sz w:val="21"/>
          <w:szCs w:val="21"/>
        </w:rPr>
        <w:t>　　本解释施行后，之前发布的司法解释和规范性文件与本解释不一致的，以本解释为准。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AA4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2025-06-30T08:09:22Z</dcterms:created>
  <dc:creator>31220</dc:creator>
  <cp:lastModifiedBy>法考崔老师</cp:lastModifiedBy>
  <dcterms:modified xsi:type="dcterms:W3CDTF">2025-06-30T08:10:12Z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CEBBD4A10FC54F6593C7CD1490E3ED87_12</vt:lpwstr>
  </property>
</Properties>
</file>