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519CB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Regular" w:hAnsi="Times New Roman Regular" w:cs="Times New Roman Regular"/>
          <w:sz w:val="21"/>
          <w:szCs w:val="21"/>
          <w:u w:val="none"/>
          <w:lang w:val="en-US" w:eastAsia="zh-CN"/>
        </w:rPr>
      </w:pPr>
      <w:r>
        <w:rPr>
          <w:rFonts w:hint="eastAsia"/>
          <w:b/>
          <w:bCs/>
          <w:sz w:val="28"/>
          <w:szCs w:val="28"/>
          <w:lang w:val="en-US" w:eastAsia="zh-CN"/>
        </w:rPr>
        <w:t>商法主观冲刺第一讲课堂笔记</w:t>
      </w:r>
    </w:p>
    <w:p w14:paraId="334F860F">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ascii="Times New Roman Regular" w:hAnsi="Times New Roman Regular" w:cs="Times New Roman Regular"/>
          <w:sz w:val="21"/>
          <w:szCs w:val="21"/>
          <w:u w:val="none"/>
          <w:lang w:val="en-US" w:eastAsia="zh-CN"/>
        </w:rPr>
      </w:pPr>
    </w:p>
    <w:p w14:paraId="40A227BA">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eastAsia" w:ascii="Times New Roman Regular" w:hAnsi="Times New Roman Regular" w:cs="Times New Roman Regular"/>
          <w:b/>
          <w:bCs/>
          <w:sz w:val="21"/>
          <w:szCs w:val="21"/>
          <w:u w:val="none"/>
          <w:lang w:val="en-US" w:eastAsia="zh-CN"/>
        </w:rPr>
      </w:pPr>
      <w:r>
        <w:rPr>
          <w:rFonts w:hint="eastAsia" w:ascii="Times New Roman Regular" w:hAnsi="Times New Roman Regular" w:cs="Times New Roman Regular"/>
          <w:b/>
          <w:bCs/>
          <w:sz w:val="21"/>
          <w:szCs w:val="21"/>
          <w:u w:val="none"/>
          <w:lang w:val="en-US" w:eastAsia="zh-CN"/>
        </w:rPr>
        <w:t>【预测考点1：股东出资制度】</w:t>
      </w:r>
    </w:p>
    <w:p w14:paraId="754E4769">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一、出资形式法定标准（可估价+可依法转让双重硬性要件）</w:t>
      </w:r>
    </w:p>
    <w:p w14:paraId="349C6343">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1．合法出资财产范围</w:t>
      </w:r>
    </w:p>
    <w:p w14:paraId="4217BAD4">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合法出资的财产范围包括货币、实物、知识产权、土地使用权、股权、债权等）。</w:t>
      </w:r>
    </w:p>
    <w:p w14:paraId="476BE17E">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股权出资四项生效要件：①出资人合法持有；②无权利负担；③可对外转让；④依法评估作价。缺一则认定出资瑕疵。</w:t>
      </w:r>
    </w:p>
    <w:p w14:paraId="5D63A4D7">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债权出资两类情形：①股东对本公司债权（债转股，直接抵销认缴出资，无需额外对价）；②股东对第三人债权（债权转让生效时视为完成出资）。</w:t>
      </w:r>
    </w:p>
    <w:p w14:paraId="69916611">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2．绝对禁止的出资类型</w:t>
      </w:r>
    </w:p>
    <w:p w14:paraId="1159C5BE">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包括劳务、信用、自然人姓名、商誉、特许经营权、设定担保的财产等。</w:t>
      </w:r>
    </w:p>
    <w:p w14:paraId="34493DC5">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例外：合伙企业允许劳务出资。有限公司、股份公司一律禁止。</w:t>
      </w:r>
    </w:p>
    <w:p w14:paraId="01D4742B">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3．货币出资特殊规则</w:t>
      </w:r>
    </w:p>
    <w:p w14:paraId="524099A9">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（1）必须足额存入公司对公账户，转入个人账户不视为完成出资。</w:t>
      </w:r>
    </w:p>
    <w:p w14:paraId="7857E965">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（2）出资货币为贪污、受贿、挪用财产等违法犯罪赃款：出资行为有效，公司合法取得货币所有权，仅能拍卖、变卖该股东名下股权追缴赃款。</w:t>
      </w:r>
    </w:p>
    <w:p w14:paraId="116A0C96">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二、非货币出资的完整履行标准：交付+权属变更双重生效</w:t>
      </w:r>
    </w:p>
    <w:p w14:paraId="34F9CA81">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1．仅交付、未办理过户登记：法院指定合理期限补办过户，补办完成后，自实际交付之日起享有对应股权；逾期未补办，认定未全面履行出资义务。</w:t>
      </w:r>
    </w:p>
    <w:p w14:paraId="0E1CE235">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2．仅过户、未实际交付公司使用：即使完成权属登记，股东也不得主张分红等股东权利，直至实际交付。</w:t>
      </w:r>
    </w:p>
    <w:p w14:paraId="00090612">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3．出资后客观贬值规则：出资人已依法评估、完整履行出资义务，后续仅因市场行情、行业波动导致财产价值下跌，公司、其他股东、债权人无权要求补足出资。仅当事人事前书面约定出资贬值补足义务除外。</w:t>
      </w:r>
    </w:p>
    <w:p w14:paraId="2DC009B8">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三、新《公司法》出资期限与加速到期完整规则</w:t>
      </w:r>
    </w:p>
    <w:p w14:paraId="1D4946D9">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1．基础期限规则：有限责任公司全体股东认缴出资，公司成立之日起5年内足额缴清；股份公司募集设立实行实缴制，发起设立按章程约定执行。</w:t>
      </w:r>
    </w:p>
    <w:p w14:paraId="64927939">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2．三类法定加速到期（股东不得主张期限利益抗辩）</w:t>
      </w:r>
    </w:p>
    <w:p w14:paraId="139E44C4">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eastAsia"/>
          <w:lang w:val="en-US" w:eastAsia="zh-CN"/>
        </w:rPr>
        <w:t>（1）</w:t>
      </w:r>
      <w:r>
        <w:rPr>
          <w:rFonts w:hint="default"/>
          <w:lang w:val="en-US" w:eastAsia="zh-CN"/>
        </w:rPr>
        <w:t>公司进入破产程序</w:t>
      </w:r>
      <w:r>
        <w:rPr>
          <w:rFonts w:hint="eastAsia"/>
          <w:lang w:val="en-US" w:eastAsia="zh-CN"/>
        </w:rPr>
        <w:t>：</w:t>
      </w:r>
      <w:r>
        <w:rPr>
          <w:rFonts w:hint="default"/>
          <w:lang w:val="en-US" w:eastAsia="zh-CN"/>
        </w:rPr>
        <w:t>管理人可直接要求股东一次性缴清全部认缴出资，不受5年期限限制，出资义务无诉讼时效抗辩</w:t>
      </w:r>
    </w:p>
    <w:p w14:paraId="245786C8">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eastAsia"/>
          <w:lang w:val="en-US" w:eastAsia="zh-CN"/>
        </w:rPr>
        <w:t>（2）</w:t>
      </w:r>
      <w:r>
        <w:rPr>
          <w:rFonts w:hint="default"/>
          <w:lang w:val="en-US" w:eastAsia="zh-CN"/>
        </w:rPr>
        <w:t>公司解散清算</w:t>
      </w:r>
      <w:r>
        <w:rPr>
          <w:rFonts w:hint="eastAsia"/>
          <w:lang w:val="en-US" w:eastAsia="zh-CN"/>
        </w:rPr>
        <w:t>：</w:t>
      </w:r>
      <w:r>
        <w:rPr>
          <w:rFonts w:hint="default"/>
          <w:lang w:val="en-US" w:eastAsia="zh-CN"/>
        </w:rPr>
        <w:t>清算组有权追缴全部未缴出资，纳入清算财产分配债权人</w:t>
      </w:r>
    </w:p>
    <w:p w14:paraId="228B54EC">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eastAsia"/>
          <w:lang w:val="en-US" w:eastAsia="zh-CN"/>
        </w:rPr>
        <w:t>（3）</w:t>
      </w:r>
      <w:r>
        <w:rPr>
          <w:rFonts w:hint="default"/>
          <w:lang w:val="en-US" w:eastAsia="zh-CN"/>
        </w:rPr>
        <w:t>公司不能清偿到期债务</w:t>
      </w:r>
      <w:r>
        <w:rPr>
          <w:rFonts w:hint="eastAsia"/>
          <w:lang w:val="en-US" w:eastAsia="zh-CN"/>
        </w:rPr>
        <w:t>：</w:t>
      </w:r>
      <w:r>
        <w:rPr>
          <w:rFonts w:hint="default"/>
          <w:lang w:val="en-US" w:eastAsia="zh-CN"/>
        </w:rPr>
        <w:t>公司、到期债权人无需等到5年期满，均可直接起诉股东提前缴纳出资，用于清偿到期债务</w:t>
      </w:r>
    </w:p>
    <w:p w14:paraId="01D1E472">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四、无权处分出资（结合《民法典》善意取得）</w:t>
      </w:r>
    </w:p>
    <w:p w14:paraId="1F78746F">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出资人以第三人所有财产出资，属于无权处分，分两种裁判结果：</w:t>
      </w:r>
    </w:p>
    <w:p w14:paraId="38D3D2DA">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1．公司善意（订立出资合同时不知处分瑕疵、完成交付/过户、财产合理评估作价）：公司善意取得财产，出资人承担补足出资义务，原所有权人仅能向无权处分股东主张侵权赔偿。</w:t>
      </w:r>
    </w:p>
    <w:p w14:paraId="50D5D1AF">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2．公司恶意（法定代表人、发起人明知财产不属于出资人）：无法善意取得，原所有权人有权取回标的物，直接认定出资人出资无效，必须重新补足出资。</w:t>
      </w:r>
    </w:p>
    <w:p w14:paraId="4B97FFD8">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五、股东失权完整法定程序</w:t>
      </w:r>
    </w:p>
    <w:p w14:paraId="090FF8C2">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1．前置核查：公司成立后董事会负有出资核查义务，发现股东逾期未出资，出具书面催缴通知书，宽限期不得少于60日。</w:t>
      </w:r>
    </w:p>
    <w:p w14:paraId="29426EA4">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2．决议程序：宽限期届满仍未足额出资，仅董事会有权作出失权决议，股东会无权直接作出失权决定。</w:t>
      </w:r>
    </w:p>
    <w:p w14:paraId="1C07BE56">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3．失权效力：自书面失权</w:t>
      </w:r>
      <w:r>
        <w:rPr>
          <w:rFonts w:hint="eastAsia"/>
          <w:lang w:val="en-US" w:eastAsia="zh-CN"/>
        </w:rPr>
        <w:t>通知发出之日</w:t>
      </w:r>
      <w:r>
        <w:rPr>
          <w:rFonts w:hint="default"/>
          <w:lang w:val="en-US" w:eastAsia="zh-CN"/>
        </w:rPr>
        <w:t>起，股东丧失全部未缴纳出资对应的股权，免除对应出资义务。</w:t>
      </w:r>
    </w:p>
    <w:p w14:paraId="77ABBFC8">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4．失权后6个月处置要求：（1）对外转让该库存股权；（2）办理减资注销；（3）6个月未处置完毕，由其他股东按出资比例足额补缴该部分认缴出资。</w:t>
      </w:r>
    </w:p>
    <w:p w14:paraId="1FDE4E7A">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5．股东救济：收到失权通知30日内可向法院起诉，主张失权决议无效。</w:t>
      </w:r>
    </w:p>
    <w:p w14:paraId="61FFF353">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六、违反出资义务的多层法律责任体系</w:t>
      </w:r>
    </w:p>
    <w:p w14:paraId="7690F2C7">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（一）对内责任（公司、已足额出资股东）</w:t>
      </w:r>
    </w:p>
    <w:p w14:paraId="4F5DE581">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1．瑕疵股东主责任：向公司足额补足出资，并赔偿公司因资金缺口产生的全部经营损失。</w:t>
      </w:r>
    </w:p>
    <w:p w14:paraId="30CAD9C4">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2．设立时其他股东连带责任：公司设立阶段股东出资不足，全体发起人在出资瑕疵范围内承担连带责任，发起人承担后可向瑕疵股东追偿。</w:t>
      </w:r>
    </w:p>
    <w:p w14:paraId="59D4A0B1">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3．董事会过错赔偿责任：董事会明知股东逾期出资，拒不履行催缴核查义务，给公司造成损失，负有责任董事承担赔偿。</w:t>
      </w:r>
    </w:p>
    <w:p w14:paraId="5F9F8858">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（二）对外责任（公司到期债权人）</w:t>
      </w:r>
    </w:p>
    <w:p w14:paraId="29A7B416">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公司财产不足以清偿全部债务时，未全面履行出资、抽逃出资的股东，在未出资本息范围内对公司不能清偿债务承担补充赔偿责任。协助出资瑕疵的董监高、实际控制人、其他股东承担连带责任。</w:t>
      </w:r>
    </w:p>
    <w:p w14:paraId="2218D0A6">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七、瑕疵股权转让的责任划分</w:t>
      </w:r>
    </w:p>
    <w:p w14:paraId="05013CD4">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1．股权出资期限尚未届满即转让：出资义务由受让股东承担；受让股东到期不缴，转让股东承担补充责任。</w:t>
      </w:r>
    </w:p>
    <w:p w14:paraId="5ED87F5F">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2．股权出资已到期、存在瑕疵转让：</w:t>
      </w:r>
    </w:p>
    <w:p w14:paraId="5EFB7628">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受让人明知/应知出资瑕疵：转让人与受让人承担连带责任。</w:t>
      </w:r>
    </w:p>
    <w:p w14:paraId="69D173FB">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受让人善意不知情（不知道且不应当知道）：仅由原转让股东独立承担补足、补充赔偿责任。</w:t>
      </w:r>
    </w:p>
    <w:p w14:paraId="58403F0B">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八、抽逃出资认定与责任</w:t>
      </w:r>
    </w:p>
    <w:p w14:paraId="5C0446BC">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1．四类法定抽逃行为（未经法定程序转出出资）：（1）制作虚假财务报表虚增利润分配；（2）虚构债权债务转出出资；（3）利用关联交易无偿转移公司资产；（4）其他非法转出出资行为。</w:t>
      </w:r>
    </w:p>
    <w:p w14:paraId="31EDCD9E">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2．抽逃出资责任：股东返还抽逃出资本息，协助抽逃的董监高、实控人连带，债权人可主张补充赔偿责任。</w:t>
      </w:r>
    </w:p>
    <w:p w14:paraId="79149471">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p>
    <w:p w14:paraId="76E0C739">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eastAsia"/>
          <w:b/>
          <w:bCs/>
          <w:lang w:val="en-US" w:eastAsia="zh-CN"/>
        </w:rPr>
      </w:pPr>
      <w:r>
        <w:rPr>
          <w:rFonts w:hint="eastAsia"/>
          <w:b/>
          <w:bCs/>
          <w:lang w:val="en-US" w:eastAsia="zh-CN"/>
        </w:rPr>
        <w:t>【预测考点2：股权代持与股东资格确认】</w:t>
      </w:r>
    </w:p>
    <w:p w14:paraId="3E366D0E">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eastAsia"/>
          <w:lang w:val="en-US" w:eastAsia="zh-CN"/>
        </w:rPr>
        <w:t>一、</w:t>
      </w:r>
      <w:r>
        <w:rPr>
          <w:rFonts w:hint="default"/>
          <w:lang w:val="en-US" w:eastAsia="zh-CN"/>
        </w:rPr>
        <w:t>证明文件</w:t>
      </w:r>
    </w:p>
    <w:p w14:paraId="7E75D207">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有限责任公司成立后，应当向股东签发出资证明书。有限责任公司应当置备股东名册，记载于股东名册的股东，可以依股东名册主张行使股东权利。公司应当将股东的姓名或者名称及其出资额向公司登记机关登记；登记事项发生变更的，应当办理变更登记。未经登记或者变更登记的，不得对抗第三人。（还有公司章程）</w:t>
      </w:r>
    </w:p>
    <w:p w14:paraId="0D154A02">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总结：股东名册是取得股权的生效要件，工商登记是取得股权的对抗要件。</w:t>
      </w:r>
    </w:p>
    <w:p w14:paraId="6AD30472">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eastAsia"/>
          <w:lang w:val="en-US" w:eastAsia="zh-CN"/>
        </w:rPr>
        <w:t>二、</w:t>
      </w:r>
      <w:r>
        <w:rPr>
          <w:rFonts w:hint="default"/>
          <w:lang w:val="en-US" w:eastAsia="zh-CN"/>
        </w:rPr>
        <w:t>代持股协议</w:t>
      </w:r>
    </w:p>
    <w:p w14:paraId="41080742">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1.有限责任公司的实际出资人可以与名义出资人订立合同，约定由实际出资人出资并享有投资权益，以名义出资人为名义股东，公司股东名册记载、公司登记机关登记均不能推翻。</w:t>
      </w:r>
    </w:p>
    <w:p w14:paraId="4520AFA6">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2.股权代持协议的效力：一般有效，除非违反法律、行政法规的强制性规定。</w:t>
      </w:r>
    </w:p>
    <w:p w14:paraId="43AAD389">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3.名义股东处分股权的处理：是有权处分，受让人的权利参照《民法典》第311条关于善意取得的规定处理。</w:t>
      </w:r>
    </w:p>
    <w:p w14:paraId="00A1346F">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4.瑕疵出资问题：公司债权人以登记于公司登记机关的股东未履行出资义务为由，请求其对公司债务不能清偿的部分在未出资本息范围内承担补充赔偿责任，股东不能以其仅为名义股东而非实际出资人为由进行抗辩。就对外责任而言，名义股东应当先承担出资不足或者出资不实的赔偿责任。名义股东承担上述赔偿责任后，有权向实际出资人追偿。</w:t>
      </w:r>
    </w:p>
    <w:p w14:paraId="68881D1D">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eastAsia"/>
          <w:lang w:val="en-US" w:eastAsia="zh-CN"/>
        </w:rPr>
        <w:t>三、</w:t>
      </w:r>
      <w:r>
        <w:rPr>
          <w:rFonts w:hint="default"/>
          <w:lang w:val="en-US" w:eastAsia="zh-CN"/>
        </w:rPr>
        <w:t>冒名股东</w:t>
      </w:r>
    </w:p>
    <w:p w14:paraId="3D1D202A">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1.冒名登记行为人是股东，应当承担相应责任。</w:t>
      </w:r>
    </w:p>
    <w:p w14:paraId="55A48CF6">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2.被冒名者不是公司股东，既不享有股东权利，也不承担股东责任。</w:t>
      </w:r>
    </w:p>
    <w:p w14:paraId="1CCDFC28">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3.冒名股东与名义股东的主要区别在于：冒名股东的冒名登记行为未经被冒名人同意，名义股东则对登记行为是知情的</w:t>
      </w:r>
    </w:p>
    <w:p w14:paraId="65D296ED">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p>
    <w:p w14:paraId="58F9760B">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eastAsia"/>
          <w:b/>
          <w:bCs/>
          <w:lang w:val="en-US" w:eastAsia="zh-CN"/>
        </w:rPr>
      </w:pPr>
      <w:r>
        <w:rPr>
          <w:rFonts w:hint="eastAsia"/>
          <w:b/>
          <w:bCs/>
          <w:lang w:val="en-US" w:eastAsia="zh-CN"/>
        </w:rPr>
        <w:t>【考点3:有限公司股权转让与优先购买权】</w:t>
      </w:r>
    </w:p>
    <w:p w14:paraId="4DEA6844">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一、对内股权转让（股东之间互相转让）</w:t>
      </w:r>
    </w:p>
    <w:p w14:paraId="34B7ADD0">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1．规则：完全自由，无需通知其他股东，无优先购买权。</w:t>
      </w:r>
    </w:p>
    <w:p w14:paraId="126CF993">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2．程序要求：仅需书面通知公司，由公司变更股东名册、出资证明书。</w:t>
      </w:r>
    </w:p>
    <w:p w14:paraId="20C3D49C">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3．章程限制效力：章程禁止股东内部转让股权，约定无效，违反股权流通强制性规定。</w:t>
      </w:r>
    </w:p>
    <w:p w14:paraId="40DC181B">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二、对外股权转让（新《公司法》核心修改，无同意前置）</w:t>
      </w:r>
    </w:p>
    <w:p w14:paraId="03FA43E7">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1．法定前置义务：转让股东必须以书面形式，完整告知其他股东同等条件全部内容：转让数量、转让价格、支付方式、付款期限。仅口头通知、缺少核心条件，视为未履行通知义务。</w:t>
      </w:r>
    </w:p>
    <w:p w14:paraId="1790A644">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2．优先购买权行使期限：章程有约定从约定；无约定/约定短于30日，统一按30日计算，收到书面通知次日起起算；30日未答复，视为自动放弃优先购买权。</w:t>
      </w:r>
    </w:p>
    <w:p w14:paraId="161E524B">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3．多人同时主张优先购买：先协商各自受让比例，协商不成，按照各股东出资比例分配拟转让股权。</w:t>
      </w:r>
    </w:p>
    <w:p w14:paraId="5FAD3CC2">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4．转让股东反悔权：其他股东明确主张同等条件购买后，转让股东有权撤回转让，但需赔偿其他股东合理信赖损失；章程/全体股东书面约定禁止反悔除外。</w:t>
      </w:r>
    </w:p>
    <w:p w14:paraId="5F9FBCEE">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5．章程自治边界：章程可细化对外转让流程，但不得完全禁止股东对外转让股权，完全禁止条款无效。</w:t>
      </w:r>
    </w:p>
    <w:p w14:paraId="3E640D5F">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三、同等条件的完整认定标准</w:t>
      </w:r>
    </w:p>
    <w:p w14:paraId="26AFA8F6">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1．同等条件的核心是交易对价，综合考量要素：转让总价款、一次性/分期支付、付款期限、股权数量。</w:t>
      </w:r>
    </w:p>
    <w:p w14:paraId="27644CA3">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2．人身关系、合作背景、资源扶持不属于同等条件考量范围。</w:t>
      </w:r>
    </w:p>
    <w:p w14:paraId="449F6DE3">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3．阴阳合同低价转让：以双方真实交易价格认定同等条件，虚假低价不生效。</w:t>
      </w:r>
    </w:p>
    <w:p w14:paraId="2E4A8CE0">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四、三类不触发其他股东优先购买权的特殊股权变动</w:t>
      </w:r>
    </w:p>
    <w:p w14:paraId="23388FB8">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1．自然人股东死亡，股权由法定继承人继承：原则上其他股东无优先购买权；仅公司章程明文约定继承可优先购买时，其他股东才能行使。</w:t>
      </w:r>
    </w:p>
    <w:p w14:paraId="188A054A">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2．股权让与担保过户：并非真实股权转让，不产生优先购买权。</w:t>
      </w:r>
    </w:p>
    <w:p w14:paraId="0C38E7C9">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3．股东内部互相转让股权，无需外部股东行使优先购买权。</w:t>
      </w:r>
    </w:p>
    <w:p w14:paraId="5AF06947">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五、法院强制执行股权的特殊规则</w:t>
      </w:r>
    </w:p>
    <w:p w14:paraId="3CD96D69">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1．法院必须书面通知公司及全体股东。</w:t>
      </w:r>
    </w:p>
    <w:p w14:paraId="5EF0C7D9">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2．优先购买权除斥期间：收到法院通知之日起20日，逾期自动放弃。</w:t>
      </w:r>
    </w:p>
    <w:p w14:paraId="3100D941">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3．股东行使优先购买，向法院交付对应价款，执行款项用于清偿股东个人债务。</w:t>
      </w:r>
    </w:p>
    <w:p w14:paraId="4AF209A4">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六、股权变动的生效与对抗规则</w:t>
      </w:r>
    </w:p>
    <w:p w14:paraId="5337B943">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1．对内生效（取得股东权利）：股权转让后记载于股东名册，受让人自此可行使分红、表决、知情权。</w:t>
      </w:r>
    </w:p>
    <w:p w14:paraId="3FB424C1">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2．对外对抗效力：完成工商变更登记，未登记不得对抗善意第三人。</w:t>
      </w:r>
    </w:p>
    <w:p w14:paraId="7A7CC3BF">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3．公司拒不变更名册、登记：转让方、受让方均可起诉公司，请求履行变更义务。</w:t>
      </w:r>
    </w:p>
    <w:p w14:paraId="4C10883F">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p>
    <w:p w14:paraId="6E5E385E">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eastAsia"/>
          <w:b/>
          <w:bCs/>
          <w:lang w:val="en-US" w:eastAsia="zh-CN"/>
        </w:rPr>
      </w:pPr>
      <w:r>
        <w:rPr>
          <w:rFonts w:hint="eastAsia"/>
          <w:b/>
          <w:bCs/>
          <w:lang w:val="en-US" w:eastAsia="zh-CN"/>
        </w:rPr>
        <w:t>【预测考点4:股东三大核心权利：知情权、分红权、回购权】</w:t>
      </w:r>
    </w:p>
    <w:p w14:paraId="4B92E2B2">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一、知情权</w:t>
      </w:r>
    </w:p>
    <w:p w14:paraId="7D7E9865">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1．内容：</w:t>
      </w:r>
    </w:p>
    <w:p w14:paraId="403F875F">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有限责任公司的股东有权查阅、复制公司章程、股东名册、股东会会议记录、董事会会议决议、监事会会议决议和财务会计报告。股东可以要求查阅公司会计账簿、会计凭证。</w:t>
      </w:r>
    </w:p>
    <w:p w14:paraId="62A92480">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股份有限公司的原告资格：连续一百八十日以上单独或者合计持有公司百分之三以上股份的股东</w:t>
      </w:r>
    </w:p>
    <w:p w14:paraId="5D8D5BA9">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2．流程：</w:t>
      </w:r>
    </w:p>
    <w:p w14:paraId="5B366A8B">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股东要求查阅公司会计账簿、会计凭证的，应当向公司提出书面请求，说明目的。公司有合理根据认为股东查阅会计账簿、会计凭证有不正当目的，可能损害公司合法利益的，可以拒绝提供查阅，并应当自股东提出书面请求之日起15日内书面答复股东并说明理由。公司拒绝提供查阅的，股东可以向法院提起诉讼。</w:t>
      </w:r>
    </w:p>
    <w:p w14:paraId="4EC606EB">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3．机构：</w:t>
      </w:r>
    </w:p>
    <w:p w14:paraId="0ACC3686">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股东查阅前款规定的材料，可以委托会计师事务所、律师事务所等中介机构进行。股东及其委托的会计师事务所、律师事务所等中介机构查阅、复制有关材料，应当遵守有关保护国家秘密、商业秘密、个人隐私、个人信息等法律、行政法规的规定。</w:t>
      </w:r>
    </w:p>
    <w:p w14:paraId="57C6DB25">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二、利润分配请求权</w:t>
      </w:r>
    </w:p>
    <w:p w14:paraId="6696D63B">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1．法定分红前置顺序</w:t>
      </w:r>
    </w:p>
    <w:p w14:paraId="234D4FED">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当年税后利润→第一步弥补以前年度亏损→第二步提取10%法定公积金（累计达到公司注册资本50%可不再提取）→第三步股东会决议提取任意公积金→剩余利润向股东分配。</w:t>
      </w:r>
    </w:p>
    <w:p w14:paraId="5E946F86">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如跳过弥补亏损、提取法定公积金直接分红，属于违法分配，股东必须退还违规分得利润，董监高承担连带赔偿责任。</w:t>
      </w:r>
    </w:p>
    <w:p w14:paraId="409B0256">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2．分红比例规则</w:t>
      </w:r>
    </w:p>
    <w:p w14:paraId="2B56F1F2">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有限公司：按实缴出资比例分红；全体股东书面约定不按实缴比例分红，方可例外。</w:t>
      </w:r>
    </w:p>
    <w:p w14:paraId="632F5ADC">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股份公司：按持股比例，章程可另行约定。</w:t>
      </w:r>
    </w:p>
    <w:p w14:paraId="31AD40DE">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3．两类分红请求区分</w:t>
      </w:r>
    </w:p>
    <w:p w14:paraId="73003143">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（1）具体分红请求权（有生效股东会分红决议，载明分配时间、金额）：股东会决议作出6个月内公司必须完成分红，逾期股东可直接起诉强制分配。</w:t>
      </w:r>
    </w:p>
    <w:p w14:paraId="2B187AED">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（2）抽象分红请求权（无有效分红决议）：原则属于公司自治，法院不予干预。</w:t>
      </w:r>
    </w:p>
    <w:p w14:paraId="51BE8E81">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三、股权回购退出机制（两类完全独立的回购路径）</w:t>
      </w:r>
    </w:p>
    <w:p w14:paraId="0055E2F8">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（一）异议股东回购（投反对票为前提，三类法定情形）</w:t>
      </w:r>
    </w:p>
    <w:p w14:paraId="0BF39063">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1．公司连续5年盈利、完全符合分红条件，股东会连续决议不分配利润；</w:t>
      </w:r>
    </w:p>
    <w:p w14:paraId="7055F3D6">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2．股东会作出合并、分立、转让主要财产决议；</w:t>
      </w:r>
    </w:p>
    <w:p w14:paraId="407F2AEA">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3．营业期限届满/章程解散事由出现，股东会修改章程继续经营；</w:t>
      </w:r>
    </w:p>
    <w:p w14:paraId="2441F45F">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4．法定流程：决议作出60日内与公司协商回购价款；协商不成，90日内向法院起诉；。</w:t>
      </w:r>
    </w:p>
    <w:p w14:paraId="45689432">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（二）受压股东回购</w:t>
      </w:r>
    </w:p>
    <w:p w14:paraId="153CD5B9">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适用条件：控股股东滥用股东权利，严重损害中小股东合法利益（长期转移利润、关联输送、架空小股东、拒绝提供经营信息），受害股东可直接起诉，请求公司以合理价格回购股权。</w:t>
      </w:r>
    </w:p>
    <w:p w14:paraId="57622E3E">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（三）回购股权处置规则</w:t>
      </w:r>
    </w:p>
    <w:p w14:paraId="4641E6F1">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公司收购自身股权后，必须6个月内对外转让或办理减资注销，长期持有库存股权违法。</w:t>
      </w:r>
    </w:p>
    <w:p w14:paraId="40F22389">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p>
    <w:p w14:paraId="41C38944">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eastAsia"/>
          <w:b/>
          <w:bCs/>
          <w:lang w:val="en-US" w:eastAsia="zh-CN"/>
        </w:rPr>
      </w:pPr>
      <w:r>
        <w:rPr>
          <w:rFonts w:hint="eastAsia"/>
          <w:b/>
          <w:bCs/>
          <w:lang w:val="en-US" w:eastAsia="zh-CN"/>
        </w:rPr>
        <w:t>【预测考点5:股东诉讼】</w:t>
      </w:r>
    </w:p>
    <w:p w14:paraId="404F5E9D">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eastAsia"/>
          <w:lang w:val="en-US" w:eastAsia="zh-CN"/>
        </w:rPr>
        <w:t>一</w:t>
      </w:r>
      <w:r>
        <w:rPr>
          <w:rFonts w:hint="default"/>
          <w:lang w:val="en-US" w:eastAsia="zh-CN"/>
        </w:rPr>
        <w:t>、股东代表诉讼</w:t>
      </w:r>
    </w:p>
    <w:p w14:paraId="44CE0F55">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1．交叉请求：董事、高级管理人员执行公司职务时违反法律、行政法规或者公司章程的规定，给公司造成损失的，有限责任公司的股东、股份有限公司连续180日以上单独或者合计持有公司1%以上股份的股东，可以书面请求监事会向法院提起诉讼；监事有该种情形的，前述股东可以书面请求董事会向法院提起诉讼。</w:t>
      </w:r>
    </w:p>
    <w:p w14:paraId="011A4148">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2．监事会或者董事会收到上述规定的股东书面请求后拒绝提起诉讼，或者自收到请求之日起30内未提起诉讼，或者情况紧急、不立即提起诉讼将会使公司利益受到难以弥补的损害的，上述规定的股东有权为了公司的利益以自己的名义直接向法院提起诉讼。</w:t>
      </w:r>
    </w:p>
    <w:p w14:paraId="7F044A7E">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3．他人侵犯公司合法权益，给公司造成损失的，上述股东可以依照前述规定向法院提起诉讼。</w:t>
      </w:r>
    </w:p>
    <w:p w14:paraId="35EAC7C7">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4．公司全资子公司的董事、监事、高级管理人员有前条规定情形，或者他人侵犯公司全资子公司合法权益造成损失的，有限责任公司的股东、股份有限公司连续一百八十日以上单独或者合计持有公司百分之一以上股份的股东，可以依照前三款规定书面请求全资子公司的监事会、董事会向人民法院提起诉讼或者以自己的名义直接向人民法院提起诉讼。</w:t>
      </w:r>
    </w:p>
    <w:p w14:paraId="4D7656C5">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二、股东直接诉讼（股东个人权益受损）</w:t>
      </w:r>
    </w:p>
    <w:p w14:paraId="2FDD5229">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1．适用情形：董事、高管实施违法行为，直接侵害股东个人分红、表决、知情权。</w:t>
      </w:r>
    </w:p>
    <w:p w14:paraId="109E436A">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2．被告仅限董事、高级管理人员，公司不列为当事人。</w:t>
      </w:r>
    </w:p>
    <w:p w14:paraId="01934263">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3．无任何前置程序，股东可直接起诉。</w:t>
      </w:r>
    </w:p>
    <w:p w14:paraId="474428D0">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r>
        <w:rPr>
          <w:rFonts w:hint="default"/>
          <w:lang w:val="en-US" w:eastAsia="zh-CN"/>
        </w:rPr>
        <w:t>4．胜诉赔偿全部归起诉股东个人。</w:t>
      </w:r>
    </w:p>
    <w:p w14:paraId="01C6CBA4">
      <w:pPr>
        <w:keepNext w:val="0"/>
        <w:keepLines w:val="0"/>
        <w:pageBreakBefore w:val="0"/>
        <w:widowControl w:val="0"/>
        <w:kinsoku/>
        <w:wordWrap/>
        <w:overflowPunct/>
        <w:topLinePunct w:val="0"/>
        <w:autoSpaceDE/>
        <w:autoSpaceDN/>
        <w:bidi w:val="0"/>
        <w:adjustRightInd/>
        <w:snapToGrid/>
        <w:spacing w:line="240" w:lineRule="auto"/>
        <w:ind w:firstLine="420" w:firstLineChars="0"/>
        <w:textAlignment w:val="auto"/>
        <w:rPr>
          <w:rFonts w:hint="default"/>
          <w:lang w:val="en-US" w:eastAsia="zh-CN"/>
        </w:rPr>
      </w:pPr>
      <w:bookmarkStart w:id="0" w:name="_GoBack"/>
      <w:bookmarkEnd w:id="0"/>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汉仪书宋二简">
    <w:altName w:val="华文宋体"/>
    <w:panose1 w:val="02010600000101010101"/>
    <w:charset w:val="86"/>
    <w:family w:val="modern"/>
    <w:pitch w:val="default"/>
    <w:sig w:usb0="00000000" w:usb1="00000000" w:usb2="00000002" w:usb3="00000000" w:csb0="00040000" w:csb1="00000000"/>
  </w:font>
  <w:font w:name="华文宋体">
    <w:panose1 w:val="02010600040101010101"/>
    <w:charset w:val="86"/>
    <w:family w:val="auto"/>
    <w:pitch w:val="default"/>
    <w:sig w:usb0="80000287" w:usb1="280F3C52" w:usb2="00000016" w:usb3="00000000" w:csb0="0004001F" w:csb1="00000000"/>
  </w:font>
  <w:font w:name="Times New Roman Regular">
    <w:panose1 w:val="02020503050405090304"/>
    <w:charset w:val="00"/>
    <w:family w:val="auto"/>
    <w:pitch w:val="default"/>
    <w:sig w:usb0="E0000AFF" w:usb1="00007843" w:usb2="00000001" w:usb3="00000000" w:csb0="400001BF" w:csb1="DFF70000"/>
  </w:font>
  <w:font w:name="宋体-简">
    <w:panose1 w:val="02010800040101010101"/>
    <w:charset w:val="86"/>
    <w:family w:val="auto"/>
    <w:pitch w:val="default"/>
    <w:sig w:usb0="00000001" w:usb1="080F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CFBDAEF9"/>
    <w:rsid w:val="0D9A55A2"/>
    <w:rsid w:val="13EF1752"/>
    <w:rsid w:val="16EFD392"/>
    <w:rsid w:val="177DA370"/>
    <w:rsid w:val="17DFFA75"/>
    <w:rsid w:val="17EC0440"/>
    <w:rsid w:val="18BFC09B"/>
    <w:rsid w:val="1BC8E4F3"/>
    <w:rsid w:val="1BEF9C01"/>
    <w:rsid w:val="1BF5A75A"/>
    <w:rsid w:val="1BFB8A79"/>
    <w:rsid w:val="1F7AB460"/>
    <w:rsid w:val="1FFBBE3B"/>
    <w:rsid w:val="1FFDE82A"/>
    <w:rsid w:val="1FFE3DC8"/>
    <w:rsid w:val="1FFF9676"/>
    <w:rsid w:val="247E9EF9"/>
    <w:rsid w:val="25E4E361"/>
    <w:rsid w:val="26F6FA36"/>
    <w:rsid w:val="27CD9328"/>
    <w:rsid w:val="27FBB615"/>
    <w:rsid w:val="2FD9B963"/>
    <w:rsid w:val="2FF57ABD"/>
    <w:rsid w:val="33FD09F3"/>
    <w:rsid w:val="37F9300F"/>
    <w:rsid w:val="396C1DDF"/>
    <w:rsid w:val="39BBEE6C"/>
    <w:rsid w:val="39CD9E08"/>
    <w:rsid w:val="3AA211B0"/>
    <w:rsid w:val="3BFF0EB3"/>
    <w:rsid w:val="3C9B74B9"/>
    <w:rsid w:val="3CFA80C9"/>
    <w:rsid w:val="3D758D90"/>
    <w:rsid w:val="3DDD8785"/>
    <w:rsid w:val="3DEE2497"/>
    <w:rsid w:val="3EFF2196"/>
    <w:rsid w:val="3EFFCDE3"/>
    <w:rsid w:val="3F362571"/>
    <w:rsid w:val="3F7D6D90"/>
    <w:rsid w:val="3FCB058F"/>
    <w:rsid w:val="3FDF38B5"/>
    <w:rsid w:val="4BFDC25C"/>
    <w:rsid w:val="4D7AF3B1"/>
    <w:rsid w:val="4F7E5D39"/>
    <w:rsid w:val="4FEF7A7F"/>
    <w:rsid w:val="5AE7279B"/>
    <w:rsid w:val="5BF630B3"/>
    <w:rsid w:val="5CE74589"/>
    <w:rsid w:val="5D1E5E35"/>
    <w:rsid w:val="5D2F548A"/>
    <w:rsid w:val="5D9CC53C"/>
    <w:rsid w:val="5DBFD756"/>
    <w:rsid w:val="5E976ACE"/>
    <w:rsid w:val="5EF589B3"/>
    <w:rsid w:val="5F2FB4C6"/>
    <w:rsid w:val="5F67BE34"/>
    <w:rsid w:val="5F9FED60"/>
    <w:rsid w:val="5FDFC522"/>
    <w:rsid w:val="5FF291E1"/>
    <w:rsid w:val="63F79634"/>
    <w:rsid w:val="65A5B824"/>
    <w:rsid w:val="676B1FCF"/>
    <w:rsid w:val="67B1AAA9"/>
    <w:rsid w:val="67CF709D"/>
    <w:rsid w:val="67FD57E8"/>
    <w:rsid w:val="6BBF548D"/>
    <w:rsid w:val="6BEE3C17"/>
    <w:rsid w:val="6BFFAAB8"/>
    <w:rsid w:val="6CBFE13F"/>
    <w:rsid w:val="6CFC5835"/>
    <w:rsid w:val="6EBFFE06"/>
    <w:rsid w:val="6EDC6954"/>
    <w:rsid w:val="6F7FD66B"/>
    <w:rsid w:val="6FC75035"/>
    <w:rsid w:val="6FE9DFA5"/>
    <w:rsid w:val="6FF6B73E"/>
    <w:rsid w:val="6FF7B5C8"/>
    <w:rsid w:val="6FFF6B06"/>
    <w:rsid w:val="72B16660"/>
    <w:rsid w:val="72FEDFAF"/>
    <w:rsid w:val="737BF8B8"/>
    <w:rsid w:val="739F77BD"/>
    <w:rsid w:val="74D69F97"/>
    <w:rsid w:val="74EF0DAF"/>
    <w:rsid w:val="75FFDC8C"/>
    <w:rsid w:val="7617873E"/>
    <w:rsid w:val="76576194"/>
    <w:rsid w:val="7717A007"/>
    <w:rsid w:val="773E454F"/>
    <w:rsid w:val="777E0985"/>
    <w:rsid w:val="77BFCCB0"/>
    <w:rsid w:val="77FFAD7A"/>
    <w:rsid w:val="78FF9F1C"/>
    <w:rsid w:val="79B72732"/>
    <w:rsid w:val="7A8FECFA"/>
    <w:rsid w:val="7B57CDC4"/>
    <w:rsid w:val="7B6D3C00"/>
    <w:rsid w:val="7B77E946"/>
    <w:rsid w:val="7B9D44AF"/>
    <w:rsid w:val="7BAF28C8"/>
    <w:rsid w:val="7BBFDC3C"/>
    <w:rsid w:val="7BEF2CC8"/>
    <w:rsid w:val="7BFFD2F7"/>
    <w:rsid w:val="7C7DDD51"/>
    <w:rsid w:val="7C9D61C3"/>
    <w:rsid w:val="7D473A11"/>
    <w:rsid w:val="7D590658"/>
    <w:rsid w:val="7D6FDA1F"/>
    <w:rsid w:val="7D7FD33D"/>
    <w:rsid w:val="7DBDD90E"/>
    <w:rsid w:val="7DBFEFAD"/>
    <w:rsid w:val="7DDF254E"/>
    <w:rsid w:val="7DE7821D"/>
    <w:rsid w:val="7DE793DB"/>
    <w:rsid w:val="7DF9200D"/>
    <w:rsid w:val="7E3F6002"/>
    <w:rsid w:val="7E3F62EA"/>
    <w:rsid w:val="7E7F8525"/>
    <w:rsid w:val="7EFF1AA0"/>
    <w:rsid w:val="7EFFC158"/>
    <w:rsid w:val="7F398CB3"/>
    <w:rsid w:val="7F3B9F4C"/>
    <w:rsid w:val="7F3C3286"/>
    <w:rsid w:val="7F695405"/>
    <w:rsid w:val="7F6B748A"/>
    <w:rsid w:val="7F7D43B5"/>
    <w:rsid w:val="7FB49696"/>
    <w:rsid w:val="7FB797CE"/>
    <w:rsid w:val="7FBF0F91"/>
    <w:rsid w:val="7FDA4E5F"/>
    <w:rsid w:val="7FE7235C"/>
    <w:rsid w:val="7FE73308"/>
    <w:rsid w:val="7FFC098A"/>
    <w:rsid w:val="7FFCE884"/>
    <w:rsid w:val="7FFF4337"/>
    <w:rsid w:val="7FFF4515"/>
    <w:rsid w:val="7FFFA35D"/>
    <w:rsid w:val="8ABEE47C"/>
    <w:rsid w:val="8BFB340A"/>
    <w:rsid w:val="8FFFA2F5"/>
    <w:rsid w:val="957F8B5D"/>
    <w:rsid w:val="99FF3808"/>
    <w:rsid w:val="9FFBE20C"/>
    <w:rsid w:val="AEAF67DC"/>
    <w:rsid w:val="AECFAD74"/>
    <w:rsid w:val="AED07A5A"/>
    <w:rsid w:val="AEFFF231"/>
    <w:rsid w:val="AF7349BF"/>
    <w:rsid w:val="B1FDE468"/>
    <w:rsid w:val="B3FEA9EF"/>
    <w:rsid w:val="B61785CE"/>
    <w:rsid w:val="B7DF32CB"/>
    <w:rsid w:val="B7FEF551"/>
    <w:rsid w:val="BAEFC4F8"/>
    <w:rsid w:val="BB6B7E24"/>
    <w:rsid w:val="BBD68691"/>
    <w:rsid w:val="BDB79BEC"/>
    <w:rsid w:val="BE470E73"/>
    <w:rsid w:val="BF676BD5"/>
    <w:rsid w:val="BF9B9C9F"/>
    <w:rsid w:val="BFBFDDCC"/>
    <w:rsid w:val="BFD7C2A8"/>
    <w:rsid w:val="BFDF5E9D"/>
    <w:rsid w:val="BFE728A6"/>
    <w:rsid w:val="BFF7629B"/>
    <w:rsid w:val="BFFFC478"/>
    <w:rsid w:val="C2FF7057"/>
    <w:rsid w:val="C77B6513"/>
    <w:rsid w:val="C8EF4C66"/>
    <w:rsid w:val="CBDA46FA"/>
    <w:rsid w:val="CDF9AD73"/>
    <w:rsid w:val="CEAF22DB"/>
    <w:rsid w:val="CF1D91DB"/>
    <w:rsid w:val="CFABA3EB"/>
    <w:rsid w:val="CFBDAEF9"/>
    <w:rsid w:val="CFFF1593"/>
    <w:rsid w:val="D7F8DDAE"/>
    <w:rsid w:val="D7FD6CD4"/>
    <w:rsid w:val="D99D7B6E"/>
    <w:rsid w:val="DBF64670"/>
    <w:rsid w:val="DDFEDD95"/>
    <w:rsid w:val="DE4FF25C"/>
    <w:rsid w:val="DE5EFF5E"/>
    <w:rsid w:val="DFDD6831"/>
    <w:rsid w:val="DFFBC2DF"/>
    <w:rsid w:val="E5718167"/>
    <w:rsid w:val="E59B90E9"/>
    <w:rsid w:val="E5AB3AAB"/>
    <w:rsid w:val="E5DD9418"/>
    <w:rsid w:val="E787CCF8"/>
    <w:rsid w:val="E7BFCB01"/>
    <w:rsid w:val="E7EF776D"/>
    <w:rsid w:val="E8F744F0"/>
    <w:rsid w:val="E9F63188"/>
    <w:rsid w:val="EA3CD53D"/>
    <w:rsid w:val="EB6E8309"/>
    <w:rsid w:val="EBBA4173"/>
    <w:rsid w:val="EBD730EB"/>
    <w:rsid w:val="EC2D9E1A"/>
    <w:rsid w:val="EECA7655"/>
    <w:rsid w:val="EF06E542"/>
    <w:rsid w:val="EF73E6F1"/>
    <w:rsid w:val="EF7FB042"/>
    <w:rsid w:val="EFB7ADF2"/>
    <w:rsid w:val="EFCFFD3A"/>
    <w:rsid w:val="EFD78441"/>
    <w:rsid w:val="EFDF470A"/>
    <w:rsid w:val="EFDFF3E6"/>
    <w:rsid w:val="EFE712E6"/>
    <w:rsid w:val="EFE74EAF"/>
    <w:rsid w:val="EFF7C6A6"/>
    <w:rsid w:val="EFFC3132"/>
    <w:rsid w:val="F0D7EC59"/>
    <w:rsid w:val="F0DE3C2E"/>
    <w:rsid w:val="F1B927A4"/>
    <w:rsid w:val="F35C06BA"/>
    <w:rsid w:val="F3FF92B4"/>
    <w:rsid w:val="F54E1163"/>
    <w:rsid w:val="F56E2A6E"/>
    <w:rsid w:val="F5EEDA60"/>
    <w:rsid w:val="F5EFB180"/>
    <w:rsid w:val="F67BFBF1"/>
    <w:rsid w:val="F6DFFC0C"/>
    <w:rsid w:val="F6FFCA13"/>
    <w:rsid w:val="F73F225B"/>
    <w:rsid w:val="F7BF3A04"/>
    <w:rsid w:val="F7FFC103"/>
    <w:rsid w:val="F9B2A7D6"/>
    <w:rsid w:val="FAB7DA09"/>
    <w:rsid w:val="FABE4737"/>
    <w:rsid w:val="FB3760F9"/>
    <w:rsid w:val="FB3AB97D"/>
    <w:rsid w:val="FB3FDD72"/>
    <w:rsid w:val="FBDDE8B5"/>
    <w:rsid w:val="FBDF91EB"/>
    <w:rsid w:val="FBFB9313"/>
    <w:rsid w:val="FBFF7EF4"/>
    <w:rsid w:val="FCEF4E65"/>
    <w:rsid w:val="FD375179"/>
    <w:rsid w:val="FD6C9E97"/>
    <w:rsid w:val="FD6EB3EE"/>
    <w:rsid w:val="FDBDD900"/>
    <w:rsid w:val="FDEB36AE"/>
    <w:rsid w:val="FDF59568"/>
    <w:rsid w:val="FE7F8EB7"/>
    <w:rsid w:val="FEA64923"/>
    <w:rsid w:val="FED769C8"/>
    <w:rsid w:val="FEFE8315"/>
    <w:rsid w:val="FF257EA6"/>
    <w:rsid w:val="FF3362C6"/>
    <w:rsid w:val="FF6F6FFE"/>
    <w:rsid w:val="FF727295"/>
    <w:rsid w:val="FF7BF13D"/>
    <w:rsid w:val="FF7FC177"/>
    <w:rsid w:val="FF7FE6E5"/>
    <w:rsid w:val="FF943FE1"/>
    <w:rsid w:val="FF9F8E8F"/>
    <w:rsid w:val="FFCE1946"/>
    <w:rsid w:val="FFEFF665"/>
    <w:rsid w:val="FFF72BE1"/>
    <w:rsid w:val="FFFBE5A1"/>
    <w:rsid w:val="FFFD413B"/>
    <w:rsid w:val="FFFF099C"/>
    <w:rsid w:val="FFFF283E"/>
    <w:rsid w:val="FFFF3C31"/>
    <w:rsid w:val="FFFF8129"/>
    <w:rsid w:val="FFFF8783"/>
    <w:rsid w:val="FFFF91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unhideWhenUsed/>
    <w:qFormat/>
    <w:uiPriority w:val="99"/>
    <w:pPr>
      <w:widowControl/>
      <w:spacing w:before="100" w:beforeAutospacing="1" w:after="100" w:afterAutospacing="1" w:line="384" w:lineRule="exact"/>
      <w:ind w:firstLine="721" w:firstLineChars="200"/>
      <w:jc w:val="left"/>
    </w:pPr>
    <w:rPr>
      <w:rFonts w:ascii="宋体" w:hAnsi="宋体" w:eastAsia="汉仪书宋二简" w:cs="宋体"/>
      <w:color w:val="auto"/>
      <w:kern w:val="0"/>
      <w:sz w:val="24"/>
      <w:szCs w:val="24"/>
      <w:lang w:val="en-US" w:eastAsia="zh-CN" w:bidi="ar-SA"/>
    </w:rPr>
  </w:style>
  <w:style w:type="table" w:styleId="4">
    <w:name w:val="Table Gri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41</TotalTime>
  <ScaleCrop>false</ScaleCrop>
  <LinksUpToDate>false</LinksUpToDate>
  <CharactersWithSpaces>0</CharactersWithSpaces>
  <Application>WPS Office_12.1.25895.25895_F1E327BC-269C-435d-A152-05C5408002CA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2026-02-10T16:22:00Z</dcterms:created>
  <dc:creator>Arthur (Xiao) Dong</dc:creator>
  <cp:lastModifiedBy>zq</cp:lastModifiedBy>
  <dcterms:modified xsi:type="dcterms:W3CDTF">2026-10-07T17:34:24Z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2052-12.1.25895.25895</vt:lpwstr>
  </property>
  <property fmtid="{D5CDD505-2E9C-101B-9397-08002B2CF9AE}" pid="3" name="ICV">
    <vt:lpwstr>3A31E5C62E8666FD53247769E1688135_41</vt:lpwstr>
  </property>
</Properties>
</file>