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72E9D">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ascii="汉仪书宋二简" w:eastAsia="汉仪书宋二简"/>
        </w:rPr>
      </w:pPr>
      <w:bookmarkStart w:id="0" w:name="_Toc236829102"/>
      <w:r>
        <w:rPr>
          <w:rFonts w:hint="eastAsia" w:ascii="宋体" w:hAnsi="宋体" w:eastAsia="宋体" w:cs="宋体"/>
          <w:b/>
          <w:bCs/>
          <w:color w:val="auto"/>
          <w:sz w:val="21"/>
          <w:szCs w:val="21"/>
        </w:rPr>
        <w:t>预测考点1  著作权的客体、内容与利用</w:t>
      </w:r>
      <w:bookmarkEnd w:id="0"/>
    </w:p>
    <w:p w14:paraId="3F969916">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1．作品的概念与类型：</w:t>
      </w:r>
      <w:r>
        <w:rPr>
          <w:rFonts w:hint="eastAsia"/>
        </w:rPr>
        <w:t>（1）</w:t>
      </w:r>
      <w:r>
        <w:rPr>
          <w:rFonts w:hint="eastAsia"/>
          <w:b/>
          <w:bCs/>
          <w:color w:val="FF0000"/>
        </w:rPr>
        <w:t>重点结合作品的四要件</w:t>
      </w:r>
      <w:r>
        <w:rPr>
          <w:rFonts w:hint="eastAsia"/>
          <w:b/>
          <w:bCs/>
          <w:color w:val="0070C0"/>
          <w:lang w:eastAsia="zh-CN"/>
        </w:rPr>
        <w:t>（</w:t>
      </w:r>
      <w:r>
        <w:rPr>
          <w:rFonts w:hint="eastAsia"/>
          <w:b/>
          <w:bCs/>
          <w:color w:val="0070C0"/>
          <w:lang w:val="en-US" w:eastAsia="zh-CN"/>
        </w:rPr>
        <w:t>人类智力成果；文学、艺术、科学领域；外在表达；一定创作水准的独创性</w:t>
      </w:r>
      <w:r>
        <w:rPr>
          <w:rFonts w:hint="eastAsia"/>
          <w:b/>
          <w:bCs/>
          <w:color w:val="0070C0"/>
          <w:lang w:eastAsia="zh-CN"/>
        </w:rPr>
        <w:t>）</w:t>
      </w:r>
      <w:r>
        <w:rPr>
          <w:rFonts w:hint="eastAsia"/>
        </w:rPr>
        <w:t>，判断某一给定的对象是否为作品，以及属于何种作品。（2）不受著作权法保护的对象有：思想；操作方法、技术方案与实用功能；事实以及对事实无独创性的汇编；官方正式文件，包括法律、法规，国家机关的决议、决定、命令和其他具有立法、行政、司法性质的文件，及其</w:t>
      </w:r>
      <w:r>
        <w:rPr>
          <w:rFonts w:hint="eastAsia"/>
          <w:b/>
          <w:bCs/>
          <w:color w:val="FF0000"/>
        </w:rPr>
        <w:t>官方</w:t>
      </w:r>
      <w:r>
        <w:rPr>
          <w:rFonts w:hint="eastAsia"/>
        </w:rPr>
        <w:t>正式译文等。</w:t>
      </w:r>
    </w:p>
    <w:p w14:paraId="0F7BB30B">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2．著作权的内容：</w:t>
      </w:r>
      <w:r>
        <w:rPr>
          <w:rFonts w:hint="eastAsia"/>
        </w:rPr>
        <w:t>（1）重点掌握各个著作人身权</w:t>
      </w:r>
      <w:r>
        <w:rPr>
          <w:rFonts w:hint="eastAsia"/>
          <w:b/>
          <w:bCs/>
          <w:color w:val="0070C0"/>
          <w:lang w:val="en-US" w:eastAsia="zh-CN"/>
        </w:rPr>
        <w:t>(</w:t>
      </w:r>
      <w:r>
        <w:rPr>
          <w:rFonts w:hint="eastAsia"/>
          <w:b/>
          <w:bCs/>
          <w:color w:val="0070C0"/>
        </w:rPr>
        <w:t>发表权 署名权 修改权 保护作品完整权</w:t>
      </w:r>
      <w:r>
        <w:rPr>
          <w:rFonts w:hint="eastAsia"/>
          <w:b/>
          <w:bCs/>
          <w:color w:val="0070C0"/>
          <w:lang w:val="en-US" w:eastAsia="zh-CN"/>
        </w:rPr>
        <w:t>)</w:t>
      </w:r>
      <w:r>
        <w:rPr>
          <w:rFonts w:hint="eastAsia"/>
        </w:rPr>
        <w:t>与著作财产权</w:t>
      </w:r>
      <w:r>
        <w:rPr>
          <w:rFonts w:hint="eastAsia"/>
          <w:b/>
          <w:bCs/>
          <w:color w:val="0070C0"/>
          <w:lang w:eastAsia="zh-CN"/>
        </w:rPr>
        <w:t>（</w:t>
      </w:r>
      <w:r>
        <w:rPr>
          <w:rFonts w:hint="eastAsia"/>
          <w:b/>
          <w:bCs/>
          <w:color w:val="0070C0"/>
          <w:lang w:val="en-US" w:eastAsia="zh-CN"/>
        </w:rPr>
        <w:t>三大类：复制、传播、演绎）</w:t>
      </w:r>
      <w:r>
        <w:rPr>
          <w:rFonts w:hint="eastAsia"/>
          <w:b/>
          <w:bCs/>
          <w:color w:val="0070C0"/>
        </w:rPr>
        <w:t>，</w:t>
      </w:r>
      <w:r>
        <w:rPr>
          <w:rFonts w:hint="eastAsia"/>
        </w:rPr>
        <w:t>厘清每个著作权对应的受控行为，为著作权侵权的判断打基础。（2）注意出租权仅视听作品与计算机软件作品享有，展览权仅美术作品与摄影作品享有。</w:t>
      </w:r>
    </w:p>
    <w:p w14:paraId="0EB08561">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bookmarkStart w:id="1" w:name="_Toc236829103"/>
    </w:p>
    <w:p w14:paraId="02F326DC">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预测考点2  著作权的归属与行使</w:t>
      </w:r>
      <w:bookmarkEnd w:id="1"/>
    </w:p>
    <w:p w14:paraId="0B740181">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b/>
          <w:bCs/>
        </w:rPr>
      </w:pPr>
      <w:r>
        <w:rPr>
          <w:rFonts w:hint="eastAsia"/>
          <w:b/>
          <w:bCs/>
        </w:rPr>
        <w:t>1．报告、讲话作品以及自传体作品的著作权归属：</w:t>
      </w:r>
      <w:r>
        <w:rPr>
          <w:rFonts w:hint="eastAsia"/>
        </w:rPr>
        <w:t>（1）由他人执笔，本人审阅定稿并以本人名义发表的报告、讲话等作品，</w:t>
      </w:r>
      <w:r>
        <w:rPr>
          <w:rFonts w:hint="eastAsia"/>
          <w:b/>
          <w:bCs/>
        </w:rPr>
        <w:t>著作权归报告人或者讲话人享有</w:t>
      </w:r>
      <w:r>
        <w:rPr>
          <w:rFonts w:hint="eastAsia"/>
        </w:rPr>
        <w:t>；（2）当事人合意以特定人物经历为题材完成的自传体作品，当事人对著</w:t>
      </w:r>
      <w:bookmarkStart w:id="11" w:name="_GoBack"/>
      <w:bookmarkEnd w:id="11"/>
      <w:r>
        <w:rPr>
          <w:rFonts w:hint="eastAsia"/>
        </w:rPr>
        <w:t>作权权属有约定的，依其约定；没有约定的，</w:t>
      </w:r>
      <w:r>
        <w:rPr>
          <w:rFonts w:hint="eastAsia"/>
          <w:b/>
          <w:bCs/>
        </w:rPr>
        <w:t>著作权归该特定人物享有。</w:t>
      </w:r>
    </w:p>
    <w:p w14:paraId="7C6A6DCD">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2．职务作品的著作权归属与行使：</w:t>
      </w:r>
      <w:r>
        <w:rPr>
          <w:rFonts w:hint="eastAsia"/>
        </w:rPr>
        <w:t>（1）注意区分普通职务作品与特殊职务作品；（2）普通职务作品</w:t>
      </w:r>
      <w:r>
        <w:rPr>
          <w:rFonts w:hint="eastAsia"/>
          <w:b/>
          <w:bCs/>
        </w:rPr>
        <w:t>著作权由作者享有</w:t>
      </w:r>
      <w:r>
        <w:rPr>
          <w:rFonts w:hint="eastAsia"/>
        </w:rPr>
        <w:t>；（3）特殊职务作品</w:t>
      </w:r>
      <w:r>
        <w:rPr>
          <w:rFonts w:hint="eastAsia"/>
          <w:b/>
          <w:bCs/>
        </w:rPr>
        <w:t>作者享有署名权</w:t>
      </w:r>
      <w:r>
        <w:rPr>
          <w:rFonts w:hint="eastAsia"/>
        </w:rPr>
        <w:t>，其余</w:t>
      </w:r>
      <w:r>
        <w:rPr>
          <w:rFonts w:hint="eastAsia"/>
          <w:b/>
          <w:bCs/>
        </w:rPr>
        <w:t>著作权由法人或者非法人组织享有</w:t>
      </w:r>
      <w:r>
        <w:rPr>
          <w:rFonts w:hint="eastAsia"/>
        </w:rPr>
        <w:t>。</w:t>
      </w:r>
    </w:p>
    <w:p w14:paraId="1A035DAB">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3．委托作品的著作权归属与行使：</w:t>
      </w:r>
      <w:r>
        <w:rPr>
          <w:rFonts w:hint="eastAsia"/>
        </w:rPr>
        <w:t>无约定或约定不明时著作权属于</w:t>
      </w:r>
      <w:r>
        <w:rPr>
          <w:rFonts w:hint="eastAsia"/>
          <w:b/>
          <w:bCs/>
        </w:rPr>
        <w:t>受托人</w:t>
      </w:r>
      <w:r>
        <w:rPr>
          <w:rFonts w:hint="eastAsia"/>
        </w:rPr>
        <w:t>。</w:t>
      </w:r>
    </w:p>
    <w:p w14:paraId="0E2D16E8">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4．合作作品的著作权归属与行使：</w:t>
      </w:r>
      <w:r>
        <w:rPr>
          <w:rFonts w:hint="eastAsia"/>
        </w:rPr>
        <w:t>（1）归属：著作权由</w:t>
      </w:r>
      <w:r>
        <w:rPr>
          <w:rFonts w:hint="eastAsia"/>
          <w:b/>
          <w:bCs/>
        </w:rPr>
        <w:t>合作作者共同享有</w:t>
      </w:r>
      <w:r>
        <w:rPr>
          <w:rFonts w:hint="eastAsia"/>
        </w:rPr>
        <w:t>。（2）行使：</w:t>
      </w:r>
      <w:r>
        <w:rPr>
          <w:rFonts w:hint="eastAsia"/>
          <w:b/>
          <w:bCs/>
        </w:rPr>
        <w:t>取决于可否分割使用</w:t>
      </w:r>
      <w:r>
        <w:rPr>
          <w:rFonts w:hint="eastAsia"/>
          <w:b/>
          <w:bCs/>
          <w:color w:val="0070C0"/>
          <w:lang w:eastAsia="zh-CN"/>
        </w:rPr>
        <w:t>（转让、专有使用、质押</w:t>
      </w:r>
      <w:r>
        <w:rPr>
          <w:rFonts w:hint="eastAsia"/>
          <w:b/>
          <w:bCs/>
          <w:color w:val="0070C0"/>
          <w:lang w:val="en-US" w:eastAsia="zh-CN"/>
        </w:rPr>
        <w:t>等显然不能分割</w:t>
      </w:r>
      <w:r>
        <w:rPr>
          <w:rFonts w:hint="eastAsia"/>
          <w:b/>
          <w:bCs/>
          <w:color w:val="0070C0"/>
          <w:lang w:eastAsia="zh-CN"/>
        </w:rPr>
        <w:t>）</w:t>
      </w:r>
      <w:r>
        <w:rPr>
          <w:rFonts w:hint="eastAsia"/>
          <w:color w:val="0070C0"/>
        </w:rPr>
        <w:t>。</w:t>
      </w:r>
    </w:p>
    <w:p w14:paraId="72D47514">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5．演绎作品的著作权归属与行使：</w:t>
      </w:r>
      <w:r>
        <w:rPr>
          <w:rFonts w:hint="eastAsia"/>
        </w:rPr>
        <w:t>由演绎作品的作者享有，第三人使用时奉行多重许可。</w:t>
      </w:r>
    </w:p>
    <w:p w14:paraId="5B9C8650">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6．视听作品的著作权归属与行使：</w:t>
      </w:r>
      <w:r>
        <w:rPr>
          <w:rFonts w:hint="eastAsia"/>
        </w:rPr>
        <w:t>（1）电影、电视剧的著作权归制作者，电影、电视剧本身的使用无需多重许可；（2）其他视听作品：没有约定或者约定不明确的，由制作者享有，但作者享有署名权。</w:t>
      </w:r>
    </w:p>
    <w:p w14:paraId="1ED98341">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7．著作权的保护期限：</w:t>
      </w:r>
      <w:r>
        <w:rPr>
          <w:rFonts w:hint="eastAsia"/>
        </w:rPr>
        <w:t>著作人身权中的署名权、修改权与保护作品完整权具有鲜明的人身性，应永远受到保护而没有期限限制。著作财产权以及与著作财产权紧密相关的发表权，均受到期限限制。</w:t>
      </w:r>
    </w:p>
    <w:p w14:paraId="2F60B25A">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bookmarkStart w:id="2" w:name="_Toc236829104"/>
    </w:p>
    <w:p w14:paraId="774A0F59">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预测考点3  邻接权</w:t>
      </w:r>
      <w:bookmarkEnd w:id="2"/>
    </w:p>
    <w:p w14:paraId="7312A3AD">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1．表演者权：</w:t>
      </w:r>
      <w:r>
        <w:rPr>
          <w:rFonts w:hint="eastAsia"/>
        </w:rPr>
        <w:t>（1）权利归属：个人表演时表演者权归属于表演者。职务表演时人身权部分归属于演员，财产权部分无约定时归演出单位。（2）权利内容：人身权包括表明表演者身份的权利、保护表演形象不受歪曲的权利；财产权包括对表演的现场直播的许可权，对表演活动进行录音录像的许可权，音像制品复制、发行、出租的许可权，信息网络传播的许可权。（3）注意区分表演权与表演者权。</w:t>
      </w:r>
    </w:p>
    <w:p w14:paraId="2D1E2853">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2．广播组织权。</w:t>
      </w:r>
      <w:r>
        <w:rPr>
          <w:rFonts w:hint="eastAsia"/>
        </w:rPr>
        <w:t>（1）广播电台、电视台对其组织播放的节目信号所享有的专有权利。（2）权利内容：转播权、录制权、复制权、信息网络传播权。</w:t>
      </w:r>
    </w:p>
    <w:p w14:paraId="2B182AEA">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bookmarkStart w:id="3" w:name="_Toc236829105"/>
    </w:p>
    <w:p w14:paraId="160786BA">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预测考点4  著作权（邻接权）的限制</w:t>
      </w:r>
      <w:bookmarkEnd w:id="3"/>
    </w:p>
    <w:p w14:paraId="4DE02B24">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1．合理使用的具体情形及其法律效果：</w:t>
      </w:r>
      <w:r>
        <w:rPr>
          <w:rFonts w:hint="eastAsia"/>
        </w:rPr>
        <w:t>（1）注意结合《著作权法》第24条掌握合理使用的具体情形，尤其是往年常考的情形。（2）合理使用的法律效果：无需著作权人同意+不构成著作权侵权+无需支付费用。</w:t>
      </w:r>
    </w:p>
    <w:p w14:paraId="2BE3D4DA">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2．法定许可的具体情形及其法律效果：</w:t>
      </w:r>
      <w:r>
        <w:rPr>
          <w:rFonts w:hint="eastAsia"/>
        </w:rPr>
        <w:t>（1）注意掌握法定许可的具体情形，尤其是往年常考的情形。（2）法定许可的法律效果：无需著作权人同意+不构成著作权侵权+须支付合理的报酬。</w:t>
      </w:r>
    </w:p>
    <w:p w14:paraId="29FE2A6D">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bookmarkStart w:id="4" w:name="_Toc236829106"/>
    </w:p>
    <w:p w14:paraId="7BAAD181">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预测考点5  著作权侵权行为</w:t>
      </w:r>
      <w:bookmarkEnd w:id="4"/>
    </w:p>
    <w:p w14:paraId="63DF5F3D">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1．著作权（邻接权）侵权的判断：</w:t>
      </w:r>
      <w:r>
        <w:rPr>
          <w:rFonts w:hint="eastAsia"/>
        </w:rPr>
        <w:t>只要某行为落入某个著作权或邻接权对应的受控行为，且不属于合理使用或法定许可，就可以直接认定构成侵权。</w:t>
      </w:r>
    </w:p>
    <w:p w14:paraId="0B558BA4">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2．技术保护措施：</w:t>
      </w:r>
      <w:r>
        <w:rPr>
          <w:rFonts w:hint="eastAsia"/>
        </w:rPr>
        <w:t>重点注意可以避开技术保护措施的5种情形。</w:t>
      </w:r>
    </w:p>
    <w:p w14:paraId="61B64441">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bookmarkStart w:id="5" w:name="_Toc236829107"/>
    </w:p>
    <w:p w14:paraId="0DCB9E63">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预测考点6  专利权的客体</w:t>
      </w:r>
      <w:bookmarkEnd w:id="5"/>
    </w:p>
    <w:p w14:paraId="3359B367">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不得授予专利权的客体：</w:t>
      </w:r>
      <w:r>
        <w:rPr>
          <w:rFonts w:hint="eastAsia"/>
        </w:rPr>
        <w:t>（1）反法律、社会公德或者妨害公共利益的发明创造；（2）违反法律、行政法规的规定获取或者利用遗传资源，并依赖该遗传资源完成的发明创造；（3）科学发现；（4）智力活动的规则和方法；（5）疾病的诊断和治疗方法；（6）动植物品种；（7）原子核变换方法以及用原子核变换方法获得的物质；（8）对平面印刷品的图案、色彩或者二者的结合作出的主要起标识作用的设计。</w:t>
      </w:r>
    </w:p>
    <w:p w14:paraId="3FBEFA87">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p>
    <w:p w14:paraId="472C70BF">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ascii="汉仪大宋简" w:hAnsi="汉仪大宋简" w:eastAsia="汉仪大宋简" w:cs="汉仪大宋简"/>
          <w:sz w:val="26"/>
          <w:szCs w:val="24"/>
        </w:rPr>
      </w:pPr>
      <w:bookmarkStart w:id="6" w:name="_Toc236829108"/>
      <w:r>
        <w:rPr>
          <w:rFonts w:hint="eastAsia" w:ascii="宋体" w:hAnsi="宋体" w:eastAsia="宋体" w:cs="宋体"/>
          <w:b/>
          <w:bCs/>
          <w:color w:val="auto"/>
          <w:sz w:val="21"/>
          <w:szCs w:val="21"/>
        </w:rPr>
        <w:t>预测考点7  专利申请、审查与授权实质条件</w:t>
      </w:r>
      <w:bookmarkEnd w:id="6"/>
    </w:p>
    <w:p w14:paraId="0EEE3D29">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1．专利申请的基本原则：</w:t>
      </w:r>
      <w:r>
        <w:rPr>
          <w:rFonts w:hint="eastAsia"/>
        </w:rPr>
        <w:t>重点关注先申请原则与优先权原则。</w:t>
      </w:r>
    </w:p>
    <w:p w14:paraId="64AD0557">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2．发明专利的临时保护：</w:t>
      </w:r>
      <w:r>
        <w:rPr>
          <w:rFonts w:hint="eastAsia"/>
        </w:rPr>
        <w:t>发明专利申请公布后，申请人可以要求实施其发明的单位或者个人支付适当的费用（不是赔偿！）。该权利授权后才可行使。已经支付适当费用后，发明专利权人不得再阻止相关产品的流通，为生产经营目的使用、许诺销售、销售行为不构成专利权侵权。</w:t>
      </w:r>
    </w:p>
    <w:p w14:paraId="5CB2C454">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3．发明与实用新型授予的实质条件：</w:t>
      </w:r>
      <w:r>
        <w:rPr>
          <w:rFonts w:hint="eastAsia"/>
        </w:rPr>
        <w:t>重点关注新颖性</w:t>
      </w:r>
      <w:r>
        <w:rPr>
          <w:rFonts w:hint="eastAsia"/>
          <w:b/>
          <w:bCs/>
          <w:color w:val="0070C0"/>
          <w:lang w:eastAsia="zh-CN"/>
        </w:rPr>
        <w:t>（</w:t>
      </w:r>
      <w:r>
        <w:rPr>
          <w:rFonts w:hint="eastAsia"/>
          <w:b/>
          <w:bCs/>
          <w:color w:val="0070C0"/>
        </w:rPr>
        <w:t>不属于现有技术+不存在抵触申请</w:t>
      </w:r>
      <w:r>
        <w:rPr>
          <w:rFonts w:hint="eastAsia"/>
          <w:b/>
          <w:bCs/>
          <w:color w:val="0070C0"/>
          <w:lang w:eastAsia="zh-CN"/>
        </w:rPr>
        <w:t>）</w:t>
      </w:r>
      <w:r>
        <w:rPr>
          <w:rFonts w:hint="eastAsia"/>
        </w:rPr>
        <w:t>，尤其是新颖性丧失的例外：（1）申请日以前6个月+国家出现紧急状态或者非常情况+为公共利益目的首次公开；（2）申请日以前6个月+在中国政府主办或者承认的国际展览会上首次展出；（3）申请日以前6个月+在规定的学术会议或者技术会议上首次发表；（4）申请日以前6个月+他人未经申请人同意而泄露其内容。</w:t>
      </w:r>
    </w:p>
    <w:p w14:paraId="3C95F77C">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bookmarkStart w:id="7" w:name="_Toc236829109"/>
    </w:p>
    <w:p w14:paraId="704C681F">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预测考点8  专利权的主体、内容、利用、消灭与保护期限</w:t>
      </w:r>
      <w:bookmarkEnd w:id="7"/>
    </w:p>
    <w:p w14:paraId="5C4108DD">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1．职务发明创造、委托发明创造与合作发明创造的专利申请权归属：</w:t>
      </w:r>
      <w:r>
        <w:rPr>
          <w:rFonts w:hint="eastAsia"/>
        </w:rPr>
        <w:t>（1）执行本单位的任务所完成的发明创造，专利申请权归单位，主要利用本单位的物质技术条件所完成的发明创造，约定优先，没有约定时归单位。（2）委托发明创造无约定时归受托人。（3）合作发明创造无约定时属于合作开发的当事人共有。一方转让，他方享有优先受让权。</w:t>
      </w:r>
    </w:p>
    <w:p w14:paraId="45FDF8B3">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eastAsia="宋体"/>
          <w:b/>
          <w:bCs/>
          <w:lang w:eastAsia="zh-CN"/>
        </w:rPr>
      </w:pPr>
      <w:r>
        <w:rPr>
          <w:rFonts w:hint="eastAsia"/>
          <w:b/>
          <w:bCs/>
        </w:rPr>
        <w:t>2．专利权的内容：</w:t>
      </w:r>
      <w:r>
        <w:rPr>
          <w:rFonts w:hint="eastAsia"/>
          <w:b/>
          <w:bCs/>
          <w:lang w:eastAsia="zh-CN"/>
        </w:rPr>
        <w:t>（</w:t>
      </w:r>
      <w:r>
        <w:rPr>
          <w:rFonts w:hint="eastAsia"/>
          <w:b/>
          <w:bCs/>
        </w:rPr>
        <w:t>制造、使用、销售、许诺、进口</w:t>
      </w:r>
      <w:r>
        <w:rPr>
          <w:rFonts w:hint="eastAsia"/>
          <w:b/>
          <w:bCs/>
          <w:lang w:eastAsia="zh-CN"/>
        </w:rPr>
        <w:t>）</w:t>
      </w:r>
    </w:p>
    <w:p w14:paraId="3B3AD2E1">
      <w:pPr>
        <w:keepNext w:val="0"/>
        <w:keepLines w:val="0"/>
        <w:pageBreakBefore w:val="0"/>
        <w:widowControl w:val="0"/>
        <w:kinsoku/>
        <w:wordWrap/>
        <w:overflowPunct/>
        <w:topLinePunct w:val="0"/>
        <w:autoSpaceDE/>
        <w:autoSpaceDN/>
        <w:bidi w:val="0"/>
        <w:spacing w:after="0" w:line="384" w:lineRule="exact"/>
        <w:ind w:firstLine="420" w:firstLineChars="200"/>
        <w:textAlignment w:val="auto"/>
        <w:rPr>
          <w:rFonts w:hint="eastAsia"/>
        </w:rPr>
      </w:pPr>
      <w:r>
        <w:rPr>
          <w:rFonts w:hint="eastAsia"/>
        </w:rPr>
        <w:t>产品发明的专利权内容：（1）专利产品制造权；（2）专利产品使用权；（3）专利产品销售权；（4）专利产品许诺销售权；（5）专利产品进口权。</w:t>
      </w:r>
    </w:p>
    <w:p w14:paraId="5AB8D223">
      <w:pPr>
        <w:keepNext w:val="0"/>
        <w:keepLines w:val="0"/>
        <w:pageBreakBefore w:val="0"/>
        <w:widowControl w:val="0"/>
        <w:kinsoku/>
        <w:wordWrap/>
        <w:overflowPunct/>
        <w:topLinePunct w:val="0"/>
        <w:autoSpaceDE/>
        <w:autoSpaceDN/>
        <w:bidi w:val="0"/>
        <w:spacing w:after="0" w:line="384" w:lineRule="exact"/>
        <w:ind w:firstLine="420" w:firstLineChars="200"/>
        <w:textAlignment w:val="auto"/>
        <w:rPr>
          <w:rFonts w:hint="eastAsia"/>
        </w:rPr>
      </w:pPr>
      <w:r>
        <w:rPr>
          <w:rFonts w:hint="eastAsia"/>
        </w:rPr>
        <w:t>方法发明的专利权内容：（1）专利方法使用权；（2）针对直接产品的权利：使用权、销售权、许诺销售权、进口权。</w:t>
      </w:r>
    </w:p>
    <w:p w14:paraId="7F625EBB">
      <w:pPr>
        <w:keepNext w:val="0"/>
        <w:keepLines w:val="0"/>
        <w:pageBreakBefore w:val="0"/>
        <w:widowControl w:val="0"/>
        <w:kinsoku/>
        <w:wordWrap/>
        <w:overflowPunct/>
        <w:topLinePunct w:val="0"/>
        <w:autoSpaceDE/>
        <w:autoSpaceDN/>
        <w:bidi w:val="0"/>
        <w:spacing w:after="0" w:line="384" w:lineRule="exact"/>
        <w:ind w:firstLine="420" w:firstLineChars="200"/>
        <w:textAlignment w:val="auto"/>
        <w:rPr>
          <w:rFonts w:hint="eastAsia"/>
        </w:rPr>
      </w:pPr>
      <w:r>
        <w:rPr>
          <w:rFonts w:hint="eastAsia"/>
        </w:rPr>
        <w:t>实用新型的专利权内容：（1）专利产品制造权；（2）专利产品使用权；（3）专利产品销售权；（4）专利产品许诺销售权；（5）专利产品进口权。</w:t>
      </w:r>
    </w:p>
    <w:p w14:paraId="7BD919DA">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3．专利实施许可：</w:t>
      </w:r>
      <w:r>
        <w:rPr>
          <w:rFonts w:hint="eastAsia"/>
        </w:rPr>
        <w:t>注意区分独占实施许可、排他实施许可、普通实施许可。</w:t>
      </w:r>
    </w:p>
    <w:p w14:paraId="52C1AC04">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4．专利权的无效宣告：</w:t>
      </w:r>
      <w:r>
        <w:rPr>
          <w:rFonts w:hint="eastAsia"/>
        </w:rPr>
        <w:t>（1）自国务院专利行政部门公告授予专利权之日起，</w:t>
      </w:r>
      <w:r>
        <w:rPr>
          <w:rFonts w:hint="eastAsia"/>
          <w:b/>
          <w:bCs/>
        </w:rPr>
        <w:t>任何人</w:t>
      </w:r>
      <w:r>
        <w:rPr>
          <w:rFonts w:hint="eastAsia"/>
        </w:rPr>
        <w:t>均可向国务院专利行政部门请求宣告专利权无效。（2）宣告无效的专利权视为</w:t>
      </w:r>
      <w:r>
        <w:rPr>
          <w:rFonts w:hint="eastAsia"/>
          <w:b/>
          <w:bCs/>
        </w:rPr>
        <w:t>自始即不存在</w:t>
      </w:r>
      <w:r>
        <w:rPr>
          <w:rFonts w:hint="eastAsia"/>
        </w:rPr>
        <w:t>。</w:t>
      </w:r>
      <w:r>
        <w:rPr>
          <w:rFonts w:hint="eastAsia"/>
          <w:color w:val="FF0000"/>
        </w:rPr>
        <w:t>对此前已经执行的裁判文书和已经履行的专利实施许可合同、转让合同不具有追溯力</w:t>
      </w:r>
      <w:r>
        <w:rPr>
          <w:rFonts w:hint="eastAsia"/>
        </w:rPr>
        <w:t>，但是因专利权人的恶意给他人造成的损失，应当给予赔偿。</w:t>
      </w:r>
    </w:p>
    <w:p w14:paraId="26F766F6">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bookmarkStart w:id="8" w:name="_Toc236829110"/>
    </w:p>
    <w:p w14:paraId="73026B94">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预测考点9  专利权的限制与专利权侵权</w:t>
      </w:r>
      <w:bookmarkEnd w:id="8"/>
    </w:p>
    <w:p w14:paraId="086078DA">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1．不视为专利权侵权的行为：</w:t>
      </w:r>
      <w:r>
        <w:rPr>
          <w:rFonts w:hint="eastAsia"/>
          <w:b w:val="0"/>
          <w:bCs w:val="0"/>
        </w:rPr>
        <w:t>（</w:t>
      </w:r>
      <w:r>
        <w:rPr>
          <w:rFonts w:hint="eastAsia"/>
        </w:rPr>
        <w:t>1）</w:t>
      </w:r>
      <w:r>
        <w:rPr>
          <w:rFonts w:hint="eastAsia"/>
          <w:b/>
          <w:bCs/>
        </w:rPr>
        <w:t>专利权用尽：</w:t>
      </w:r>
      <w:r>
        <w:rPr>
          <w:rFonts w:hint="eastAsia"/>
        </w:rPr>
        <w:t>专利产品或者依照专利方法直接获得的产品，由专利权人或者经其许可的单位、个人售出后，使用、许诺销售、销售、进口该产品的；（2）</w:t>
      </w:r>
      <w:r>
        <w:rPr>
          <w:rFonts w:hint="eastAsia"/>
          <w:b/>
          <w:bCs/>
        </w:rPr>
        <w:t>先用权抗辩</w:t>
      </w:r>
      <w:r>
        <w:rPr>
          <w:rFonts w:hint="eastAsia"/>
        </w:rPr>
        <w:t>：在专利申请日前已经制造相同产品、使用相同方法或者已经做好制造、使用的必要准备，并且仅在原有范围内继续制造、使用的；（3）</w:t>
      </w:r>
      <w:r>
        <w:rPr>
          <w:rFonts w:hint="eastAsia"/>
          <w:b/>
          <w:bCs/>
        </w:rPr>
        <w:t>临时通过</w:t>
      </w:r>
      <w:r>
        <w:rPr>
          <w:rFonts w:hint="eastAsia"/>
        </w:rPr>
        <w:t>中国领陆、领水、领空的外国运输工具，依照其所属国同中国签订的协议或者共同参加的国际条约，或者依照互惠原则，为运输工具自身需要而在其装置和设备中使用有关专利的；（4）专</w:t>
      </w:r>
      <w:r>
        <w:rPr>
          <w:rFonts w:hint="eastAsia"/>
          <w:b/>
          <w:bCs/>
        </w:rPr>
        <w:t>为科学研究和实验而使用</w:t>
      </w:r>
      <w:r>
        <w:rPr>
          <w:rFonts w:hint="eastAsia"/>
        </w:rPr>
        <w:t>有关专利的</w:t>
      </w:r>
      <w:r>
        <w:rPr>
          <w:rFonts w:hint="eastAsia"/>
          <w:lang w:eastAsia="zh-CN"/>
        </w:rPr>
        <w:t>（是对象而非工具）</w:t>
      </w:r>
      <w:r>
        <w:rPr>
          <w:rFonts w:hint="eastAsia"/>
        </w:rPr>
        <w:t>；（5）为提供行政审批所需要的信息，制造、使用、进口专利药品或者专利医疗器械的，以及专门为其制造、进口专利药品或者专利医疗器械的；（6）实施现有技术或现有设计。</w:t>
      </w:r>
    </w:p>
    <w:p w14:paraId="7808FC83">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2．发明与实用新型专利权侵权：</w:t>
      </w:r>
      <w:r>
        <w:rPr>
          <w:rFonts w:hint="eastAsia"/>
        </w:rPr>
        <w:t>（1）专利权保护范围以其权利要求的内容为准。（2）专利权侵权的判断奉行</w:t>
      </w:r>
      <w:r>
        <w:rPr>
          <w:rFonts w:hint="eastAsia"/>
          <w:b/>
          <w:bCs/>
          <w:color w:val="FF0000"/>
        </w:rPr>
        <w:t>全覆盖原则</w:t>
      </w:r>
      <w:r>
        <w:rPr>
          <w:rFonts w:hint="eastAsia"/>
        </w:rPr>
        <w:t>。（3）专利权侵权的主要类型：相同侵权与等同侵权。</w:t>
      </w:r>
    </w:p>
    <w:p w14:paraId="187D5B7E">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bookmarkStart w:id="9" w:name="_Toc236829111"/>
    </w:p>
    <w:p w14:paraId="47AA3F58">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ascii="汉仪大宋简" w:hAnsi="汉仪大宋简" w:eastAsia="汉仪大宋简" w:cs="汉仪大宋简"/>
          <w:sz w:val="26"/>
          <w:szCs w:val="24"/>
        </w:rPr>
      </w:pPr>
      <w:r>
        <w:rPr>
          <w:rFonts w:hint="eastAsia" w:ascii="宋体" w:hAnsi="宋体" w:eastAsia="宋体" w:cs="宋体"/>
          <w:b/>
          <w:bCs/>
          <w:color w:val="auto"/>
          <w:sz w:val="21"/>
          <w:szCs w:val="21"/>
        </w:rPr>
        <w:t>预测考点10  商标权的内容、利用与消灭</w:t>
      </w:r>
      <w:bookmarkEnd w:id="9"/>
    </w:p>
    <w:p w14:paraId="0B103547">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1．注册商标专用权的转让：</w:t>
      </w:r>
      <w:r>
        <w:rPr>
          <w:rFonts w:hint="eastAsia"/>
        </w:rPr>
        <w:t>（1）注册商标权转让时，受让人自公告之日起享有商标专用权。（2</w:t>
      </w:r>
      <w:r>
        <w:rPr>
          <w:rFonts w:hint="eastAsia"/>
        </w:rPr>
        <w:t>）商标注册人对其在同一种商品上注册的近似的商标，或者在类似商品上注册的相同或者近似的商标，应当一并转让。（3）注册商标的转让不影响转让前已经生效的商标使用许可合同的效力，但商标使用许可合同另有约定的除外。</w:t>
      </w:r>
    </w:p>
    <w:p w14:paraId="07D89B6B">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2．注册商标专用权的撤销：撤销事由：</w:t>
      </w:r>
      <w:r>
        <w:rPr>
          <w:rFonts w:hint="eastAsia"/>
        </w:rPr>
        <w:t>（1）商标注册人在使用注册商标的过程中，自行改变注册商标、注册人名义、地址或者其他注册事项。（2）注册商标成为其核定使用的商品的通用名称。（3）没有正当理由连续三年不使用。</w:t>
      </w:r>
    </w:p>
    <w:p w14:paraId="1BCF1B4F">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3．注册商标专用权的无效宣告：</w:t>
      </w:r>
      <w:r>
        <w:rPr>
          <w:rFonts w:hint="eastAsia"/>
        </w:rPr>
        <w:t>（1）基于不予注册的绝对理由，任何人均可向国务院商标管理部门请求宣告商标无效，没有期限限制。国务院商标管理部门也可以主动宣告。（2）基于不予注册的相对理由，在先权利人或利害关系人可以自商标注册之日起5年内向国务院商标管理部门请求宣告商标无效。国务院商标管理部门不得主动宣告。</w:t>
      </w:r>
      <w:r>
        <w:rPr>
          <w:rFonts w:hint="eastAsia"/>
          <w:b/>
          <w:bCs/>
        </w:rPr>
        <w:t>对恶意注册的，驰名商标所有人不受5年的时间限制</w:t>
      </w:r>
      <w:r>
        <w:rPr>
          <w:rFonts w:hint="eastAsia"/>
        </w:rPr>
        <w:t>。（3）宣告无效的法律效果：注册商标专用权自始即不存在；对已经执行的裁判或决定、已履行的商标转让或使用许可合同不具有追溯力。</w:t>
      </w:r>
    </w:p>
    <w:p w14:paraId="1DC64035">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hint="eastAsia" w:ascii="宋体" w:hAnsi="宋体" w:eastAsia="宋体" w:cs="宋体"/>
          <w:b/>
          <w:bCs/>
          <w:color w:val="auto"/>
          <w:sz w:val="21"/>
          <w:szCs w:val="21"/>
        </w:rPr>
      </w:pPr>
      <w:bookmarkStart w:id="10" w:name="_Toc236829112"/>
    </w:p>
    <w:p w14:paraId="5A778347">
      <w:pPr>
        <w:keepNext w:val="0"/>
        <w:keepLines w:val="0"/>
        <w:pageBreakBefore w:val="0"/>
        <w:widowControl w:val="0"/>
        <w:tabs>
          <w:tab w:val="left" w:pos="832"/>
        </w:tabs>
        <w:kinsoku/>
        <w:wordWrap/>
        <w:overflowPunct/>
        <w:topLinePunct w:val="0"/>
        <w:autoSpaceDE/>
        <w:autoSpaceDN/>
        <w:bidi w:val="0"/>
        <w:adjustRightInd w:val="0"/>
        <w:snapToGrid w:val="0"/>
        <w:spacing w:after="0" w:line="288" w:lineRule="auto"/>
        <w:ind w:firstLine="0" w:firstLineChars="0"/>
        <w:jc w:val="center"/>
        <w:textAlignment w:val="auto"/>
        <w:rPr>
          <w:rFonts w:ascii="汉仪书宋二简" w:eastAsia="汉仪书宋二简"/>
        </w:rPr>
      </w:pPr>
      <w:r>
        <w:rPr>
          <w:rFonts w:hint="eastAsia" w:ascii="宋体" w:hAnsi="宋体" w:eastAsia="宋体" w:cs="宋体"/>
          <w:b/>
          <w:bCs/>
          <w:color w:val="auto"/>
          <w:sz w:val="21"/>
          <w:szCs w:val="21"/>
        </w:rPr>
        <w:t>预测考点11  商标权侵权</w:t>
      </w:r>
      <w:bookmarkEnd w:id="10"/>
    </w:p>
    <w:p w14:paraId="46D18E48">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1．商标权侵权的判断：</w:t>
      </w:r>
      <w:r>
        <w:rPr>
          <w:rFonts w:hint="eastAsia"/>
        </w:rPr>
        <w:t>注意结合混淆理论。</w:t>
      </w:r>
    </w:p>
    <w:p w14:paraId="704C2BFB">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2．不构成商标权侵权的抗辩事由：（1）指示性合理使用：</w:t>
      </w:r>
      <w:r>
        <w:rPr>
          <w:rFonts w:hint="eastAsia"/>
        </w:rPr>
        <w:t>描述商品或服务的特征，说明商品或服务的用途；</w:t>
      </w:r>
      <w:r>
        <w:rPr>
          <w:rFonts w:hint="eastAsia"/>
          <w:b/>
          <w:bCs/>
        </w:rPr>
        <w:t>（2）在先使用抗辩：</w:t>
      </w:r>
      <w:r>
        <w:rPr>
          <w:rFonts w:hint="eastAsia"/>
        </w:rPr>
        <w:t>商标注册人申请商标注册前，他人已经在同一种商品或者类似商品上先于商标注册人使用与注册商标相同或者近似并有一定影响的商标的，注册商标专用权人无权禁止该使用人在原使用范围内继续使用该商标，但可以要求其附加适当区别标识</w:t>
      </w:r>
      <w:r>
        <w:rPr>
          <w:rFonts w:hint="eastAsia"/>
          <w:lang w:eastAsia="zh-CN"/>
        </w:rPr>
        <w:t>（</w:t>
      </w:r>
      <w:r>
        <w:rPr>
          <w:rFonts w:hint="eastAsia"/>
          <w:lang w:val="en-US" w:eastAsia="zh-CN"/>
        </w:rPr>
        <w:t>仅仅原店铺，不能开新店，不能扩大店铺范围</w:t>
      </w:r>
      <w:r>
        <w:rPr>
          <w:rFonts w:hint="eastAsia"/>
          <w:lang w:eastAsia="zh-CN"/>
        </w:rPr>
        <w:t>）</w:t>
      </w:r>
      <w:r>
        <w:rPr>
          <w:rFonts w:hint="eastAsia"/>
        </w:rPr>
        <w:t>；</w:t>
      </w:r>
      <w:r>
        <w:rPr>
          <w:rFonts w:hint="eastAsia"/>
          <w:b/>
          <w:bCs/>
        </w:rPr>
        <w:t>（3）商标权用尽：</w:t>
      </w:r>
      <w:r>
        <w:rPr>
          <w:rFonts w:hint="eastAsia"/>
        </w:rPr>
        <w:t>对于经商标权人许可或以其他合法方式投放市场的商品，他人在购买后无须经过商标权人许可，即可将带有该商标的商品再次投入流通，包括为此目的在广告宣传中使用该商标，均不构成对商标权的侵害。</w:t>
      </w:r>
    </w:p>
    <w:p w14:paraId="3540357E">
      <w:pPr>
        <w:keepNext w:val="0"/>
        <w:keepLines w:val="0"/>
        <w:pageBreakBefore w:val="0"/>
        <w:widowControl w:val="0"/>
        <w:kinsoku/>
        <w:wordWrap/>
        <w:overflowPunct/>
        <w:topLinePunct w:val="0"/>
        <w:autoSpaceDE/>
        <w:autoSpaceDN/>
        <w:bidi w:val="0"/>
        <w:spacing w:after="0" w:line="384" w:lineRule="exact"/>
        <w:ind w:firstLine="422" w:firstLineChars="200"/>
        <w:textAlignment w:val="auto"/>
        <w:rPr>
          <w:rFonts w:hint="eastAsia"/>
        </w:rPr>
      </w:pPr>
      <w:r>
        <w:rPr>
          <w:rFonts w:hint="eastAsia"/>
          <w:b/>
          <w:bCs/>
        </w:rPr>
        <w:t>3．成立商标权侵权但无需赔偿的抗辩事由：</w:t>
      </w:r>
      <w:r>
        <w:rPr>
          <w:rFonts w:hint="eastAsia"/>
        </w:rPr>
        <w:t>（1）注册商标专用权人请求赔偿，被控侵权人以注册商标专用权人未使用注册商标提出抗辩的，人民法院可以要求注册商标专用权人提供此前三年内实际使用该注册商标的证据。注册商标专用权人不能证明此前三年内实际使用过该注册商标，也不能证明因侵权行为受到其他损失的，被控侵权人不承担赔偿责任；</w:t>
      </w:r>
      <w:r>
        <w:rPr>
          <w:rFonts w:hint="eastAsia"/>
          <w:b/>
          <w:bCs/>
        </w:rPr>
        <w:t>（2）合法来源抗辩：</w:t>
      </w:r>
      <w:r>
        <w:rPr>
          <w:rFonts w:hint="eastAsia"/>
        </w:rPr>
        <w:t>销售不知道是侵犯注册商标专用权的商品，能证明该商品是自己合法取得并说明提供者的，不承担赔偿责任；（3）复制、摹仿、翻译他人未在中国注册的驰名商标或其主要部分，在相同或者类似商品上作为商标使用，容易导致混淆的，应当承担停止侵害的民事法律责任。</w:t>
      </w:r>
    </w:p>
    <w:p w14:paraId="0086F88E">
      <w:pPr>
        <w:spacing w:after="0" w:line="384" w:lineRule="exact"/>
        <w:ind w:firstLine="420" w:firstLineChars="200"/>
        <w:rPr>
          <w:rFonts w:hint="eastAsia"/>
        </w:rPr>
      </w:pPr>
    </w:p>
    <w:sectPr>
      <w:headerReference r:id="rId5" w:type="default"/>
      <w:footerReference r:id="rId7" w:type="default"/>
      <w:headerReference r:id="rId6" w:type="even"/>
      <w:footerReference r:id="rId8" w:type="even"/>
      <w:pgSz w:w="11900" w:h="16840"/>
      <w:pgMar w:top="1701" w:right="1588" w:bottom="1247" w:left="1588" w:header="851" w:footer="709" w:gutter="0"/>
      <w:pgNumType w:start="2"/>
      <w:cols w:space="425" w:num="1"/>
      <w:docGrid w:type="lines" w:linePitch="42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474B394-8C17-4B72-9F28-ABE446C9A4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embedRegular r:id="rId2" w:fontKey="{B5147F49-9C63-4A3A-83F1-96379EE48FDD}"/>
  </w:font>
  <w:font w:name="ACADEMY ENGRAVED LET PLAIN:1.0">
    <w:altName w:val="Wide Latin"/>
    <w:panose1 w:val="00000000000000000000"/>
    <w:charset w:val="00"/>
    <w:family w:val="auto"/>
    <w:pitch w:val="default"/>
    <w:sig w:usb0="00000000" w:usb1="00000000" w:usb2="00000000" w:usb3="00000000" w:csb0="00000001" w:csb1="00000000"/>
  </w:font>
  <w:font w:name="Wide Latin">
    <w:panose1 w:val="020A0A07050505020404"/>
    <w:charset w:val="00"/>
    <w:family w:val="auto"/>
    <w:pitch w:val="default"/>
    <w:sig w:usb0="00000003" w:usb1="00000000" w:usb2="00000000" w:usb3="00000000" w:csb0="20000001" w:csb1="00000000"/>
  </w:font>
  <w:font w:name="Arial Unicode MS">
    <w:altName w:val="宋体"/>
    <w:panose1 w:val="020B0604020202020204"/>
    <w:charset w:val="86"/>
    <w:family w:val="swiss"/>
    <w:pitch w:val="default"/>
    <w:sig w:usb0="00000000" w:usb1="00000000" w:usb2="0000003F" w:usb3="00000000" w:csb0="003F01FF" w:csb1="00000000"/>
  </w:font>
  <w:font w:name="汉仪中黑简">
    <w:panose1 w:val="02010600000101010101"/>
    <w:charset w:val="86"/>
    <w:family w:val="modern"/>
    <w:pitch w:val="default"/>
    <w:sig w:usb0="00000001" w:usb1="080E0800" w:usb2="00000002" w:usb3="00000000" w:csb0="00040000" w:csb1="00000000"/>
    <w:embedRegular r:id="rId3" w:fontKey="{0025DA3E-83AF-401F-BB1E-8FB51EC4B089}"/>
  </w:font>
  <w:font w:name="汉仪书宋二简">
    <w:altName w:val="微软雅黑"/>
    <w:panose1 w:val="02010609000101010101"/>
    <w:charset w:val="86"/>
    <w:family w:val="modern"/>
    <w:pitch w:val="default"/>
    <w:sig w:usb0="00000000" w:usb1="00000000" w:usb2="00000012" w:usb3="00000000" w:csb0="00040000" w:csb1="00000000"/>
    <w:embedRegular r:id="rId4" w:fontKey="{5EC6A6FB-8437-41BD-A9A0-853A26DA393D}"/>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embedRegular r:id="rId5" w:fontKey="{B080F10E-F4D6-4CCB-8186-9884FF6CB576}"/>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汉仪大宋简">
    <w:altName w:val="宋体"/>
    <w:panose1 w:val="02010609000101010101"/>
    <w:charset w:val="86"/>
    <w:family w:val="modern"/>
    <w:pitch w:val="default"/>
    <w:sig w:usb0="00000000" w:usb1="00000000" w:usb2="00000012" w:usb3="00000000" w:csb0="00040000" w:csb1="00000000"/>
    <w:embedRegular r:id="rId6" w:fontKey="{B9154F05-9909-4C61-AE9A-E0743F68D057}"/>
  </w:font>
  <w:font w:name="汉仪大黑简">
    <w:altName w:val="黑体"/>
    <w:panose1 w:val="02010609000101010101"/>
    <w:charset w:val="86"/>
    <w:family w:val="modern"/>
    <w:pitch w:val="default"/>
    <w:sig w:usb0="00000000" w:usb1="00000000" w:usb2="00000012" w:usb3="00000000" w:csb0="00040000" w:csb1="00000000"/>
  </w:font>
  <w:font w:name="汉仪中等线简">
    <w:altName w:val="宋体"/>
    <w:panose1 w:val="02010609000101010101"/>
    <w:charset w:val="86"/>
    <w:family w:val="modern"/>
    <w:pitch w:val="default"/>
    <w:sig w:usb0="00000000" w:usb1="00000000" w:usb2="00000012" w:usb3="00000000" w:csb0="00040000" w:csb1="00000000"/>
    <w:embedRegular r:id="rId7" w:fontKey="{CE11CAF1-6A68-4776-9675-41D1ADF84AAC}"/>
  </w:font>
  <w:font w:name="MS Mincho">
    <w:altName w:val="Yu Gothic UI"/>
    <w:panose1 w:val="02020609040205080304"/>
    <w:charset w:val="80"/>
    <w:family w:val="modern"/>
    <w:pitch w:val="default"/>
    <w:sig w:usb0="00000000" w:usb1="00000000" w:usb2="00000012" w:usb3="00000000" w:csb0="0002009F" w:csb1="00000000"/>
    <w:embedRegular r:id="rId8" w:fontKey="{BCA61155-3522-4D8F-9B71-F545262C33E5}"/>
  </w:font>
  <w:font w:name="ＭＳ 明朝">
    <w:altName w:val="Segoe Print"/>
    <w:panose1 w:val="00000000000000000000"/>
    <w:charset w:val="00"/>
    <w:family w:val="auto"/>
    <w:pitch w:val="default"/>
    <w:sig w:usb0="00000000" w:usb1="00000000" w:usb2="00000000" w:usb3="00000000" w:csb0="00000000" w:csb1="00000000"/>
  </w:font>
  <w:font w:name="汉仪粗黑简">
    <w:altName w:val="微软雅黑"/>
    <w:panose1 w:val="02010609000101010101"/>
    <w:charset w:val="86"/>
    <w:family w:val="modern"/>
    <w:pitch w:val="default"/>
    <w:sig w:usb0="00000000" w:usb1="00000000" w:usb2="00000012" w:usb3="00000000" w:csb0="00040000" w:csb1="00000000"/>
    <w:embedRegular r:id="rId9" w:fontKey="{60C3696D-038B-4579-987C-50EB2627D3EB}"/>
  </w:font>
  <w:font w:name="Yu Gothic UI">
    <w:panose1 w:val="020B0500000000000000"/>
    <w:charset w:val="80"/>
    <w:family w:val="auto"/>
    <w:pitch w:val="default"/>
    <w:sig w:usb0="E00002FF" w:usb1="2AC7FDFF" w:usb2="00000016" w:usb3="00000000" w:csb0="2002009F" w:csb1="00000000"/>
  </w:font>
  <w:font w:name="KSOF2A9ED157">
    <w:panose1 w:val="02010609060101010101"/>
    <w:charset w:val="86"/>
    <w:family w:val="auto"/>
    <w:pitch w:val="default"/>
    <w:sig w:usb0="00000001"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汉仪书宋二简" w:eastAsia="汉仪书宋二简"/>
      </w:rPr>
      <w:id w:val="1109088194"/>
    </w:sdtPr>
    <w:sdtEndPr>
      <w:rPr>
        <w:rFonts w:hint="eastAsia" w:ascii="汉仪书宋二简" w:eastAsia="汉仪书宋二简"/>
      </w:rPr>
    </w:sdtEndPr>
    <w:sdtContent>
      <w:p w14:paraId="4A9E174D">
        <w:pPr>
          <w:pStyle w:val="15"/>
          <w:spacing w:after="0" w:line="240" w:lineRule="auto"/>
          <w:jc w:val="right"/>
          <w:rPr>
            <w:rFonts w:hint="eastAsia" w:ascii="汉仪书宋二简" w:eastAsia="汉仪书宋二简"/>
          </w:rPr>
        </w:pPr>
        <w:r>
          <w:rPr>
            <w:rFonts w:hint="eastAsia" w:ascii="汉仪书宋二简" w:eastAsia="汉仪书宋二简"/>
          </w:rPr>
          <w:fldChar w:fldCharType="begin"/>
        </w:r>
        <w:r>
          <w:rPr>
            <w:rFonts w:hint="eastAsia" w:ascii="汉仪书宋二简" w:eastAsia="汉仪书宋二简"/>
          </w:rPr>
          <w:instrText xml:space="preserve">PAGE   \* MERGEFORMAT</w:instrText>
        </w:r>
        <w:r>
          <w:rPr>
            <w:rFonts w:hint="eastAsia" w:ascii="汉仪书宋二简" w:eastAsia="汉仪书宋二简"/>
          </w:rPr>
          <w:fldChar w:fldCharType="separate"/>
        </w:r>
        <w:r>
          <w:rPr>
            <w:rFonts w:hint="eastAsia" w:ascii="汉仪书宋二简" w:eastAsia="汉仪书宋二简"/>
            <w:lang w:val="zh-CN"/>
          </w:rPr>
          <w:t>2</w:t>
        </w:r>
        <w:r>
          <w:rPr>
            <w:rFonts w:hint="eastAsia" w:ascii="汉仪书宋二简" w:eastAsia="汉仪书宋二简"/>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汉仪书宋二简" w:eastAsia="汉仪书宋二简"/>
      </w:rPr>
      <w:id w:val="180933698"/>
    </w:sdtPr>
    <w:sdtEndPr>
      <w:rPr>
        <w:rFonts w:hint="eastAsia" w:ascii="汉仪书宋二简" w:eastAsia="汉仪书宋二简"/>
      </w:rPr>
    </w:sdtEndPr>
    <w:sdtContent>
      <w:p w14:paraId="0B632FBC">
        <w:pPr>
          <w:pStyle w:val="15"/>
          <w:spacing w:after="0" w:line="240" w:lineRule="auto"/>
          <w:rPr>
            <w:rFonts w:hint="eastAsia" w:ascii="汉仪书宋二简" w:eastAsia="汉仪书宋二简"/>
          </w:rPr>
        </w:pPr>
        <w:r>
          <w:rPr>
            <w:rFonts w:hint="eastAsia" w:ascii="汉仪书宋二简" w:eastAsia="汉仪书宋二简"/>
          </w:rPr>
          <w:fldChar w:fldCharType="begin"/>
        </w:r>
        <w:r>
          <w:rPr>
            <w:rFonts w:hint="eastAsia" w:ascii="汉仪书宋二简" w:eastAsia="汉仪书宋二简"/>
          </w:rPr>
          <w:instrText xml:space="preserve">PAGE   \* MERGEFORMAT</w:instrText>
        </w:r>
        <w:r>
          <w:rPr>
            <w:rFonts w:hint="eastAsia" w:ascii="汉仪书宋二简" w:eastAsia="汉仪书宋二简"/>
          </w:rPr>
          <w:fldChar w:fldCharType="separate"/>
        </w:r>
        <w:r>
          <w:rPr>
            <w:rFonts w:hint="eastAsia" w:ascii="汉仪书宋二简" w:eastAsia="汉仪书宋二简"/>
            <w:lang w:val="zh-CN"/>
          </w:rPr>
          <w:t>2</w:t>
        </w:r>
        <w:r>
          <w:rPr>
            <w:rFonts w:hint="eastAsia" w:ascii="汉仪书宋二简" w:eastAsia="汉仪书宋二简"/>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BEEE5">
    <w:pPr>
      <w:wordWrap w:val="0"/>
      <w:spacing w:after="0" w:line="207" w:lineRule="exact"/>
      <w:jc w:val="right"/>
      <w:rPr>
        <w:rFonts w:hint="eastAsia" w:ascii="黑体" w:hAnsi="黑体" w:eastAsia="黑体" w:cs="黑体"/>
      </w:rPr>
    </w:pPr>
    <w:r>
      <w:rPr>
        <w:rFonts w:hint="eastAsia" w:ascii="黑体" w:hAnsi="黑体" w:eastAsia="黑体" w:cs="黑体"/>
        <w:color w:val="FFFFFF"/>
        <w:sz w:val="17"/>
        <w:szCs w:val="17"/>
      </w:rPr>
      <mc:AlternateContent>
        <mc:Choice Requires="wps">
          <w:drawing>
            <wp:anchor distT="0" distB="0" distL="114300" distR="114300" simplePos="0" relativeHeight="251659264" behindDoc="1" locked="0" layoutInCell="1" allowOverlap="1">
              <wp:simplePos x="0" y="0"/>
              <wp:positionH relativeFrom="column">
                <wp:posOffset>4610100</wp:posOffset>
              </wp:positionH>
              <wp:positionV relativeFrom="paragraph">
                <wp:posOffset>-1270</wp:posOffset>
              </wp:positionV>
              <wp:extent cx="889000" cy="140335"/>
              <wp:effectExtent l="0" t="0" r="6350" b="0"/>
              <wp:wrapNone/>
              <wp:docPr id="588423896" name="矩形 2"/>
              <wp:cNvGraphicFramePr/>
              <a:graphic xmlns:a="http://schemas.openxmlformats.org/drawingml/2006/main">
                <a:graphicData uri="http://schemas.microsoft.com/office/word/2010/wordprocessingShape">
                  <wps:wsp>
                    <wps:cNvSpPr>
                      <a:spLocks noChangeArrowheads="1"/>
                    </wps:cNvSpPr>
                    <wps:spPr bwMode="auto">
                      <a:xfrm>
                        <a:off x="0" y="0"/>
                        <a:ext cx="889027" cy="140335"/>
                      </a:xfrm>
                      <a:prstGeom prst="rect">
                        <a:avLst/>
                      </a:prstGeom>
                      <a:solidFill>
                        <a:srgbClr val="FF0000"/>
                      </a:solidFill>
                      <a:ln>
                        <a:noFill/>
                      </a:ln>
                    </wps:spPr>
                    <wps:bodyPr rot="0" vert="horz" wrap="square" lIns="91440" tIns="45720" rIns="91440" bIns="45720" anchor="t" anchorCtr="0" upright="1">
                      <a:noAutofit/>
                    </wps:bodyPr>
                  </wps:wsp>
                </a:graphicData>
              </a:graphic>
            </wp:anchor>
          </w:drawing>
        </mc:Choice>
        <mc:Fallback>
          <w:pict>
            <v:rect id="矩形 2" o:spid="_x0000_s1026" o:spt="1" style="position:absolute;left:0pt;margin-left:363pt;margin-top:-0.1pt;height:11.05pt;width:70pt;z-index:-251657216;mso-width-relative:page;mso-height-relative:page;" fillcolor="#FF0000" filled="t" stroked="f" coordsize="21600,21600" o:gfxdata="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kUn+q&#10;1QAAAAgBAAAPAAAAAAAAAAEAIAAAACIAAABkcnMvZG93bnJldi54bWxQSwECFAAUAAAACACHTuJA&#10;NR1OeCQCAAAtBAAADgAAAAAAAAABACAAAAAkAQAAZHJzL2Uyb0RvYy54bWxQSwUGAAAAAAYABgBZ&#10;AQAAugUAAAAA&#10;">
              <v:fill on="t" focussize="0,0"/>
              <v:stroke on="f"/>
              <v:imagedata o:title=""/>
              <o:lock v:ext="edit" aspectratio="f"/>
            </v:rect>
          </w:pict>
        </mc:Fallback>
      </mc:AlternateContent>
    </w:r>
    <w:r>
      <w:rPr>
        <w:rFonts w:hint="eastAsia" w:ascii="黑体" w:hAnsi="黑体" w:eastAsia="黑体" w:cs="黑体"/>
        <w:color w:val="FF0000"/>
        <w:sz w:val="17"/>
        <w:szCs w:val="17"/>
      </w:rPr>
      <w:t>| 知识产权法 |</w:t>
    </w:r>
    <w:r>
      <w:rPr>
        <w:rFonts w:ascii="黑体" w:hAnsi="黑体" w:eastAsia="黑体" w:cs="黑体"/>
        <w:color w:val="FF0000"/>
        <w:sz w:val="17"/>
        <w:szCs w:val="17"/>
      </w:rPr>
      <w:t xml:space="preserve">  </w:t>
    </w:r>
    <w:r>
      <w:rPr>
        <w:rFonts w:ascii="黑体" w:hAnsi="黑体" w:eastAsia="黑体" w:cs="黑体"/>
        <w:sz w:val="17"/>
        <w:szCs w:val="17"/>
      </w:rPr>
      <w:t xml:space="preserve"> </w:t>
    </w:r>
    <w:r>
      <w:rPr>
        <w:rFonts w:hint="eastAsia" w:ascii="黑体" w:hAnsi="黑体" w:eastAsia="黑体" w:cs="黑体"/>
        <w:color w:val="FFFFFF"/>
        <w:spacing w:val="40"/>
        <w:sz w:val="17"/>
        <w:szCs w:val="17"/>
      </w:rPr>
      <w:t>预测</w:t>
    </w:r>
    <w:r>
      <w:rPr>
        <w:rFonts w:hint="eastAsia" w:ascii="汉仪粗黑简" w:hAnsi="黑体" w:eastAsia="汉仪粗黑简" w:cs="黑体"/>
        <w:color w:val="FFFFFF"/>
        <w:spacing w:val="40"/>
        <w:sz w:val="17"/>
        <w:szCs w:val="17"/>
      </w:rPr>
      <w:t>考点卷</w:t>
    </w:r>
    <w:r>
      <w:rPr>
        <w:rFonts w:ascii="黑体" w:hAnsi="黑体" w:eastAsia="黑体" w:cs="黑体"/>
        <w:color w:val="FFFFFF" w:themeColor="background1"/>
        <w:sz w:val="17"/>
        <w:szCs w:val="17"/>
        <w14:textFill>
          <w14:solidFill>
            <w14:schemeClr w14:val="bg1"/>
          </w14:solidFill>
        </w14:textFil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7CD3">
    <w:pPr>
      <w:spacing w:line="207" w:lineRule="exact"/>
      <w:rPr>
        <w:rFonts w:hint="eastAsia"/>
      </w:rPr>
    </w:pPr>
    <w:r>
      <w:rPr>
        <w:rFonts w:ascii="Arial" w:hAnsi="Arial" w:eastAsia="Arial" w:cs="Arial"/>
        <w:sz w:val="17"/>
        <w:szCs w:val="17"/>
      </w:rPr>
      <w:t>202</w:t>
    </w:r>
    <w:r>
      <w:rPr>
        <w:rFonts w:hint="eastAsia" w:ascii="Arial" w:hAnsi="Arial" w:cs="Arial" w:eastAsiaTheme="minorEastAsia"/>
        <w:sz w:val="17"/>
        <w:szCs w:val="17"/>
      </w:rPr>
      <w:t>6</w:t>
    </w:r>
    <w:r>
      <w:rPr>
        <w:rFonts w:hint="eastAsia" w:ascii="汉仪中等线简" w:hAnsi="汉仪中黑简" w:eastAsia="汉仪中等线简" w:cs="汉仪中黑简"/>
        <w:sz w:val="17"/>
        <w:szCs w:val="17"/>
      </w:rPr>
      <w:t>年</w:t>
    </w:r>
    <w:r>
      <w:rPr>
        <w:rFonts w:ascii="汉仪中黑简" w:hAnsi="汉仪中黑简" w:eastAsia="汉仪中黑简" w:cs="汉仪中黑简"/>
        <w:color w:val="FF0000"/>
        <w:sz w:val="17"/>
        <w:szCs w:val="17"/>
      </w:rPr>
      <w:t>桑磊法考</w:t>
    </w:r>
    <w:r>
      <w:rPr>
        <w:rFonts w:hint="eastAsia" w:ascii="汉仪中黑简" w:hAnsi="汉仪中黑简" w:eastAsia="汉仪中黑简" w:cs="汉仪中黑简"/>
        <w:color w:val="FF0000"/>
        <w:sz w:val="17"/>
        <w:szCs w:val="17"/>
      </w:rPr>
      <w:t xml:space="preserve"> </w:t>
    </w:r>
    <w:r>
      <w:rPr>
        <w:rFonts w:hint="eastAsia" w:ascii="MS Mincho" w:hAnsi="MS Mincho" w:eastAsia="MS Mincho" w:cs="MS Mincho"/>
        <w:color w:val="FF0000"/>
        <w:position w:val="-5"/>
        <w:sz w:val="28"/>
        <w:szCs w:val="28"/>
      </w:rPr>
      <w:t>✍</w:t>
    </w:r>
    <w:r>
      <w:rPr>
        <w:rFonts w:ascii="汉仪中黑简" w:hAnsi="汉仪中黑简" w:eastAsia="汉仪中黑简" w:cs="汉仪中黑简"/>
        <w:color w:val="FF0000"/>
        <w:sz w:val="17"/>
        <w:szCs w:val="17"/>
      </w:rPr>
      <w:t xml:space="preserve"> 客观</w:t>
    </w:r>
    <w:r>
      <w:rPr>
        <w:rFonts w:hint="eastAsia" w:ascii="汉仪中黑简" w:hAnsi="汉仪中黑简" w:eastAsia="汉仪中黑简" w:cs="汉仪中黑简"/>
        <w:color w:val="FF0000"/>
        <w:sz w:val="17"/>
        <w:szCs w:val="17"/>
      </w:rPr>
      <w:t>题</w:t>
    </w:r>
    <w:r>
      <w:rPr>
        <w:rFonts w:hint="eastAsia" w:ascii="汉仪粗黑简" w:hAnsi="汉仪中黑简" w:eastAsia="汉仪粗黑简" w:cs="汉仪中黑简"/>
        <w:sz w:val="17"/>
        <w:szCs w:val="17"/>
      </w:rPr>
      <w:t>冲刺密押</w:t>
    </w:r>
    <w:r>
      <w:rPr>
        <w:rFonts w:hint="eastAsia" w:ascii="汉仪中黑简" w:hAnsi="汉仪中黑简" w:eastAsia="汉仪中黑简" w:cs="汉仪中黑简"/>
        <w:color w:val="FF0000"/>
        <w:sz w:val="17"/>
        <w:szCs w:val="17"/>
      </w:rPr>
      <w:t>内部讲义</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embedTrueTypeFonts/>
  <w:saveSubsetFonts/>
  <w:bordersDoNotSurroundHeader w:val="0"/>
  <w:bordersDoNotSurroundFooter w:val="0"/>
  <w:hideSpellingErrors/>
  <w:documentProtection w:edit="readOnly" w:enforcement="0"/>
  <w:defaultTabStop w:val="420"/>
  <w:evenAndOddHeaders w:val="1"/>
  <w:drawingGridHorizontalSpacing w:val="105"/>
  <w:drawingGridVerticalSpacing w:val="42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CDC"/>
    <w:rsid w:val="0000041D"/>
    <w:rsid w:val="000007C3"/>
    <w:rsid w:val="00004337"/>
    <w:rsid w:val="000069E6"/>
    <w:rsid w:val="00007029"/>
    <w:rsid w:val="00007133"/>
    <w:rsid w:val="00007D20"/>
    <w:rsid w:val="00007E14"/>
    <w:rsid w:val="0001170A"/>
    <w:rsid w:val="00013C95"/>
    <w:rsid w:val="00017244"/>
    <w:rsid w:val="00020E34"/>
    <w:rsid w:val="00021506"/>
    <w:rsid w:val="00023716"/>
    <w:rsid w:val="00023DA1"/>
    <w:rsid w:val="00024324"/>
    <w:rsid w:val="00025C72"/>
    <w:rsid w:val="00030614"/>
    <w:rsid w:val="000307BB"/>
    <w:rsid w:val="000330D3"/>
    <w:rsid w:val="00033663"/>
    <w:rsid w:val="000344AC"/>
    <w:rsid w:val="0003575F"/>
    <w:rsid w:val="0003696A"/>
    <w:rsid w:val="000416F3"/>
    <w:rsid w:val="00041CDA"/>
    <w:rsid w:val="000454DB"/>
    <w:rsid w:val="00045BED"/>
    <w:rsid w:val="00051110"/>
    <w:rsid w:val="00051B03"/>
    <w:rsid w:val="000520D9"/>
    <w:rsid w:val="000561B1"/>
    <w:rsid w:val="0005705F"/>
    <w:rsid w:val="00057389"/>
    <w:rsid w:val="00057796"/>
    <w:rsid w:val="00060D7C"/>
    <w:rsid w:val="00061303"/>
    <w:rsid w:val="000618E9"/>
    <w:rsid w:val="00062462"/>
    <w:rsid w:val="00062B02"/>
    <w:rsid w:val="0006444A"/>
    <w:rsid w:val="00064FAF"/>
    <w:rsid w:val="00065CDC"/>
    <w:rsid w:val="000721BA"/>
    <w:rsid w:val="00075EFD"/>
    <w:rsid w:val="00076E30"/>
    <w:rsid w:val="00080B5C"/>
    <w:rsid w:val="0008138B"/>
    <w:rsid w:val="0008155F"/>
    <w:rsid w:val="00084DD5"/>
    <w:rsid w:val="00090A70"/>
    <w:rsid w:val="00091026"/>
    <w:rsid w:val="00091F2D"/>
    <w:rsid w:val="000923CF"/>
    <w:rsid w:val="0009695B"/>
    <w:rsid w:val="000A0B59"/>
    <w:rsid w:val="000A17DE"/>
    <w:rsid w:val="000B0D14"/>
    <w:rsid w:val="000B146C"/>
    <w:rsid w:val="000B3EEE"/>
    <w:rsid w:val="000B4132"/>
    <w:rsid w:val="000B41AA"/>
    <w:rsid w:val="000B591E"/>
    <w:rsid w:val="000B5C75"/>
    <w:rsid w:val="000B615F"/>
    <w:rsid w:val="000B69C5"/>
    <w:rsid w:val="000B701B"/>
    <w:rsid w:val="000C0AD8"/>
    <w:rsid w:val="000C143C"/>
    <w:rsid w:val="000C29E2"/>
    <w:rsid w:val="000C4BF7"/>
    <w:rsid w:val="000C689C"/>
    <w:rsid w:val="000C6D88"/>
    <w:rsid w:val="000D2CF9"/>
    <w:rsid w:val="000D3147"/>
    <w:rsid w:val="000D44D5"/>
    <w:rsid w:val="000D56C5"/>
    <w:rsid w:val="000D56E5"/>
    <w:rsid w:val="000D6328"/>
    <w:rsid w:val="000D6B00"/>
    <w:rsid w:val="000D6D82"/>
    <w:rsid w:val="000D7674"/>
    <w:rsid w:val="000D7B61"/>
    <w:rsid w:val="000D7CD4"/>
    <w:rsid w:val="000D7E08"/>
    <w:rsid w:val="000E01C1"/>
    <w:rsid w:val="000E0250"/>
    <w:rsid w:val="000E0BCF"/>
    <w:rsid w:val="000E30E1"/>
    <w:rsid w:val="000E686F"/>
    <w:rsid w:val="000E6C3C"/>
    <w:rsid w:val="000F04EC"/>
    <w:rsid w:val="000F139E"/>
    <w:rsid w:val="000F2150"/>
    <w:rsid w:val="000F2D94"/>
    <w:rsid w:val="000F313E"/>
    <w:rsid w:val="000F3220"/>
    <w:rsid w:val="000F4068"/>
    <w:rsid w:val="000F4105"/>
    <w:rsid w:val="000F4984"/>
    <w:rsid w:val="000F5845"/>
    <w:rsid w:val="000F7E03"/>
    <w:rsid w:val="00101A07"/>
    <w:rsid w:val="0010245C"/>
    <w:rsid w:val="00103FAF"/>
    <w:rsid w:val="001041CA"/>
    <w:rsid w:val="001043C5"/>
    <w:rsid w:val="00104BD1"/>
    <w:rsid w:val="00105D3B"/>
    <w:rsid w:val="00106298"/>
    <w:rsid w:val="001070B9"/>
    <w:rsid w:val="00110ACD"/>
    <w:rsid w:val="00113096"/>
    <w:rsid w:val="001132EF"/>
    <w:rsid w:val="00114E60"/>
    <w:rsid w:val="0011516B"/>
    <w:rsid w:val="00117A62"/>
    <w:rsid w:val="0012151C"/>
    <w:rsid w:val="00122FF3"/>
    <w:rsid w:val="0012563A"/>
    <w:rsid w:val="00125ED0"/>
    <w:rsid w:val="00126916"/>
    <w:rsid w:val="001269BF"/>
    <w:rsid w:val="00130E71"/>
    <w:rsid w:val="00131558"/>
    <w:rsid w:val="001332A1"/>
    <w:rsid w:val="00133BBA"/>
    <w:rsid w:val="00134033"/>
    <w:rsid w:val="0013470C"/>
    <w:rsid w:val="001356F0"/>
    <w:rsid w:val="00135A24"/>
    <w:rsid w:val="00135C9D"/>
    <w:rsid w:val="001363A1"/>
    <w:rsid w:val="00136E54"/>
    <w:rsid w:val="00137ABD"/>
    <w:rsid w:val="0014014C"/>
    <w:rsid w:val="00141873"/>
    <w:rsid w:val="001418E9"/>
    <w:rsid w:val="00141A50"/>
    <w:rsid w:val="0014386A"/>
    <w:rsid w:val="00146796"/>
    <w:rsid w:val="00146BF2"/>
    <w:rsid w:val="00147E74"/>
    <w:rsid w:val="00150C06"/>
    <w:rsid w:val="0015119E"/>
    <w:rsid w:val="00152335"/>
    <w:rsid w:val="00152AAE"/>
    <w:rsid w:val="00162C62"/>
    <w:rsid w:val="0016379D"/>
    <w:rsid w:val="00166735"/>
    <w:rsid w:val="00167640"/>
    <w:rsid w:val="00170421"/>
    <w:rsid w:val="0017078E"/>
    <w:rsid w:val="0017085B"/>
    <w:rsid w:val="00170907"/>
    <w:rsid w:val="00170C5F"/>
    <w:rsid w:val="00170CC5"/>
    <w:rsid w:val="00172109"/>
    <w:rsid w:val="00174370"/>
    <w:rsid w:val="00174B1F"/>
    <w:rsid w:val="00177320"/>
    <w:rsid w:val="00177C41"/>
    <w:rsid w:val="00180017"/>
    <w:rsid w:val="00180423"/>
    <w:rsid w:val="00180579"/>
    <w:rsid w:val="0018095A"/>
    <w:rsid w:val="00183BEB"/>
    <w:rsid w:val="001877D0"/>
    <w:rsid w:val="00192304"/>
    <w:rsid w:val="00192A1C"/>
    <w:rsid w:val="00193237"/>
    <w:rsid w:val="00194DED"/>
    <w:rsid w:val="001964CC"/>
    <w:rsid w:val="001A0538"/>
    <w:rsid w:val="001A090E"/>
    <w:rsid w:val="001A11C5"/>
    <w:rsid w:val="001A33A3"/>
    <w:rsid w:val="001A405E"/>
    <w:rsid w:val="001A416B"/>
    <w:rsid w:val="001A421E"/>
    <w:rsid w:val="001A4351"/>
    <w:rsid w:val="001A6D73"/>
    <w:rsid w:val="001A6DD4"/>
    <w:rsid w:val="001B05EE"/>
    <w:rsid w:val="001B1109"/>
    <w:rsid w:val="001B1191"/>
    <w:rsid w:val="001B22F6"/>
    <w:rsid w:val="001B353D"/>
    <w:rsid w:val="001B4007"/>
    <w:rsid w:val="001B6C99"/>
    <w:rsid w:val="001B7367"/>
    <w:rsid w:val="001C13EF"/>
    <w:rsid w:val="001C2052"/>
    <w:rsid w:val="001C32F6"/>
    <w:rsid w:val="001C3CBB"/>
    <w:rsid w:val="001C596B"/>
    <w:rsid w:val="001C6D78"/>
    <w:rsid w:val="001C7326"/>
    <w:rsid w:val="001D322F"/>
    <w:rsid w:val="001D52D4"/>
    <w:rsid w:val="001E0DC3"/>
    <w:rsid w:val="001E1CA9"/>
    <w:rsid w:val="001E2526"/>
    <w:rsid w:val="001E3CE3"/>
    <w:rsid w:val="001F2063"/>
    <w:rsid w:val="001F3F62"/>
    <w:rsid w:val="001F4545"/>
    <w:rsid w:val="001F4B5F"/>
    <w:rsid w:val="001F4D13"/>
    <w:rsid w:val="001F4F9B"/>
    <w:rsid w:val="001F61E9"/>
    <w:rsid w:val="001F6802"/>
    <w:rsid w:val="00202F07"/>
    <w:rsid w:val="00203C17"/>
    <w:rsid w:val="00204D44"/>
    <w:rsid w:val="00210F7F"/>
    <w:rsid w:val="00212232"/>
    <w:rsid w:val="002127C3"/>
    <w:rsid w:val="00213812"/>
    <w:rsid w:val="00217BC4"/>
    <w:rsid w:val="00217FAD"/>
    <w:rsid w:val="0022032E"/>
    <w:rsid w:val="002208DA"/>
    <w:rsid w:val="002222AE"/>
    <w:rsid w:val="00224832"/>
    <w:rsid w:val="0022570E"/>
    <w:rsid w:val="00225BD4"/>
    <w:rsid w:val="002266A1"/>
    <w:rsid w:val="0022795E"/>
    <w:rsid w:val="002306E1"/>
    <w:rsid w:val="00230BB8"/>
    <w:rsid w:val="002334CD"/>
    <w:rsid w:val="0023547C"/>
    <w:rsid w:val="00236797"/>
    <w:rsid w:val="00237481"/>
    <w:rsid w:val="00237A5A"/>
    <w:rsid w:val="00240282"/>
    <w:rsid w:val="002422D7"/>
    <w:rsid w:val="0024573C"/>
    <w:rsid w:val="002463BF"/>
    <w:rsid w:val="00246E42"/>
    <w:rsid w:val="0024755F"/>
    <w:rsid w:val="002477E2"/>
    <w:rsid w:val="00247F31"/>
    <w:rsid w:val="00251584"/>
    <w:rsid w:val="00254628"/>
    <w:rsid w:val="002555F1"/>
    <w:rsid w:val="002649B8"/>
    <w:rsid w:val="00264C37"/>
    <w:rsid w:val="00265BD2"/>
    <w:rsid w:val="00266E58"/>
    <w:rsid w:val="0027016E"/>
    <w:rsid w:val="002705E7"/>
    <w:rsid w:val="002706F6"/>
    <w:rsid w:val="0027404F"/>
    <w:rsid w:val="00277C55"/>
    <w:rsid w:val="00277DDE"/>
    <w:rsid w:val="00282EBD"/>
    <w:rsid w:val="0028378F"/>
    <w:rsid w:val="00284147"/>
    <w:rsid w:val="002841F4"/>
    <w:rsid w:val="00284B78"/>
    <w:rsid w:val="00286A61"/>
    <w:rsid w:val="00291A83"/>
    <w:rsid w:val="00292C23"/>
    <w:rsid w:val="00292DA8"/>
    <w:rsid w:val="00293587"/>
    <w:rsid w:val="00295D1E"/>
    <w:rsid w:val="002A5887"/>
    <w:rsid w:val="002A6559"/>
    <w:rsid w:val="002B2715"/>
    <w:rsid w:val="002B55DF"/>
    <w:rsid w:val="002C0157"/>
    <w:rsid w:val="002C0255"/>
    <w:rsid w:val="002C1A5A"/>
    <w:rsid w:val="002C2E70"/>
    <w:rsid w:val="002C2FFC"/>
    <w:rsid w:val="002D2EBA"/>
    <w:rsid w:val="002D3D1C"/>
    <w:rsid w:val="002D47BE"/>
    <w:rsid w:val="002D5615"/>
    <w:rsid w:val="002D5A27"/>
    <w:rsid w:val="002D73B3"/>
    <w:rsid w:val="002D7DE3"/>
    <w:rsid w:val="002E0E7B"/>
    <w:rsid w:val="002E2477"/>
    <w:rsid w:val="002E25BA"/>
    <w:rsid w:val="002E30AC"/>
    <w:rsid w:val="002E3B4F"/>
    <w:rsid w:val="002E4658"/>
    <w:rsid w:val="002E4965"/>
    <w:rsid w:val="002E5D78"/>
    <w:rsid w:val="002F3792"/>
    <w:rsid w:val="002F48B1"/>
    <w:rsid w:val="002F70A7"/>
    <w:rsid w:val="003012CE"/>
    <w:rsid w:val="003014F0"/>
    <w:rsid w:val="00301565"/>
    <w:rsid w:val="00301A1F"/>
    <w:rsid w:val="00306526"/>
    <w:rsid w:val="00313A7B"/>
    <w:rsid w:val="00314DF0"/>
    <w:rsid w:val="00315DFF"/>
    <w:rsid w:val="0032038C"/>
    <w:rsid w:val="00320F85"/>
    <w:rsid w:val="003212E2"/>
    <w:rsid w:val="00322577"/>
    <w:rsid w:val="003238F4"/>
    <w:rsid w:val="00323E79"/>
    <w:rsid w:val="00324172"/>
    <w:rsid w:val="00325D88"/>
    <w:rsid w:val="00326198"/>
    <w:rsid w:val="00330620"/>
    <w:rsid w:val="00330C05"/>
    <w:rsid w:val="00331CE2"/>
    <w:rsid w:val="00333AC8"/>
    <w:rsid w:val="003364AD"/>
    <w:rsid w:val="00336B60"/>
    <w:rsid w:val="00341BB9"/>
    <w:rsid w:val="00342880"/>
    <w:rsid w:val="00346E53"/>
    <w:rsid w:val="0034709E"/>
    <w:rsid w:val="003518D7"/>
    <w:rsid w:val="00351FF4"/>
    <w:rsid w:val="00352F10"/>
    <w:rsid w:val="0035316A"/>
    <w:rsid w:val="00355353"/>
    <w:rsid w:val="003553E6"/>
    <w:rsid w:val="00355944"/>
    <w:rsid w:val="00355E2E"/>
    <w:rsid w:val="00355F20"/>
    <w:rsid w:val="003602CB"/>
    <w:rsid w:val="00360619"/>
    <w:rsid w:val="00360E84"/>
    <w:rsid w:val="00366702"/>
    <w:rsid w:val="00367F8D"/>
    <w:rsid w:val="003703C4"/>
    <w:rsid w:val="00371BDD"/>
    <w:rsid w:val="00371C97"/>
    <w:rsid w:val="003725C1"/>
    <w:rsid w:val="00372920"/>
    <w:rsid w:val="00374E59"/>
    <w:rsid w:val="003773DD"/>
    <w:rsid w:val="0038107D"/>
    <w:rsid w:val="0038290F"/>
    <w:rsid w:val="00385036"/>
    <w:rsid w:val="00386FC6"/>
    <w:rsid w:val="00387515"/>
    <w:rsid w:val="00393EFC"/>
    <w:rsid w:val="00394026"/>
    <w:rsid w:val="003950D5"/>
    <w:rsid w:val="003957B0"/>
    <w:rsid w:val="003A10C3"/>
    <w:rsid w:val="003A2558"/>
    <w:rsid w:val="003A2662"/>
    <w:rsid w:val="003A359A"/>
    <w:rsid w:val="003A439C"/>
    <w:rsid w:val="003A48A4"/>
    <w:rsid w:val="003A4CD8"/>
    <w:rsid w:val="003A5272"/>
    <w:rsid w:val="003A6063"/>
    <w:rsid w:val="003A630C"/>
    <w:rsid w:val="003A681E"/>
    <w:rsid w:val="003A7BDD"/>
    <w:rsid w:val="003B01EB"/>
    <w:rsid w:val="003B375D"/>
    <w:rsid w:val="003B5BCC"/>
    <w:rsid w:val="003B662E"/>
    <w:rsid w:val="003B7B0C"/>
    <w:rsid w:val="003C078D"/>
    <w:rsid w:val="003C184F"/>
    <w:rsid w:val="003C4143"/>
    <w:rsid w:val="003D2FB7"/>
    <w:rsid w:val="003D2FE7"/>
    <w:rsid w:val="003D5596"/>
    <w:rsid w:val="003E0B57"/>
    <w:rsid w:val="003E1C37"/>
    <w:rsid w:val="003E4942"/>
    <w:rsid w:val="003E6C50"/>
    <w:rsid w:val="003E7623"/>
    <w:rsid w:val="003F02EB"/>
    <w:rsid w:val="003F0F11"/>
    <w:rsid w:val="003F5548"/>
    <w:rsid w:val="003F743A"/>
    <w:rsid w:val="003F76FD"/>
    <w:rsid w:val="004001FC"/>
    <w:rsid w:val="00400FAC"/>
    <w:rsid w:val="004019BD"/>
    <w:rsid w:val="00403622"/>
    <w:rsid w:val="00403C26"/>
    <w:rsid w:val="004042BF"/>
    <w:rsid w:val="00411B27"/>
    <w:rsid w:val="00412D6A"/>
    <w:rsid w:val="004132C7"/>
    <w:rsid w:val="004142F3"/>
    <w:rsid w:val="004150C2"/>
    <w:rsid w:val="004201EC"/>
    <w:rsid w:val="00421446"/>
    <w:rsid w:val="00421D6A"/>
    <w:rsid w:val="0042301C"/>
    <w:rsid w:val="00424B49"/>
    <w:rsid w:val="00424B9D"/>
    <w:rsid w:val="004257B6"/>
    <w:rsid w:val="0042712F"/>
    <w:rsid w:val="00431A30"/>
    <w:rsid w:val="0043240A"/>
    <w:rsid w:val="00432C98"/>
    <w:rsid w:val="0043318C"/>
    <w:rsid w:val="00436CA1"/>
    <w:rsid w:val="00436EC3"/>
    <w:rsid w:val="00440310"/>
    <w:rsid w:val="00441ECB"/>
    <w:rsid w:val="00442A94"/>
    <w:rsid w:val="004430B6"/>
    <w:rsid w:val="00443692"/>
    <w:rsid w:val="00446585"/>
    <w:rsid w:val="004504BE"/>
    <w:rsid w:val="00452E65"/>
    <w:rsid w:val="00454BB4"/>
    <w:rsid w:val="00455EDC"/>
    <w:rsid w:val="004572AF"/>
    <w:rsid w:val="00457860"/>
    <w:rsid w:val="004602F3"/>
    <w:rsid w:val="00461C58"/>
    <w:rsid w:val="00461EC3"/>
    <w:rsid w:val="00461FE3"/>
    <w:rsid w:val="004622DF"/>
    <w:rsid w:val="00462957"/>
    <w:rsid w:val="00463604"/>
    <w:rsid w:val="00467715"/>
    <w:rsid w:val="00470975"/>
    <w:rsid w:val="00471604"/>
    <w:rsid w:val="00474C51"/>
    <w:rsid w:val="004765F4"/>
    <w:rsid w:val="004770DD"/>
    <w:rsid w:val="0048143B"/>
    <w:rsid w:val="00481D1F"/>
    <w:rsid w:val="0048299D"/>
    <w:rsid w:val="00483346"/>
    <w:rsid w:val="00485E95"/>
    <w:rsid w:val="00491101"/>
    <w:rsid w:val="00492729"/>
    <w:rsid w:val="00493699"/>
    <w:rsid w:val="004979B5"/>
    <w:rsid w:val="004A013B"/>
    <w:rsid w:val="004A13F9"/>
    <w:rsid w:val="004B2AEB"/>
    <w:rsid w:val="004B3CE2"/>
    <w:rsid w:val="004B4C6A"/>
    <w:rsid w:val="004B4D7F"/>
    <w:rsid w:val="004B5824"/>
    <w:rsid w:val="004B5B0E"/>
    <w:rsid w:val="004B628F"/>
    <w:rsid w:val="004B74DA"/>
    <w:rsid w:val="004C3678"/>
    <w:rsid w:val="004C4DC0"/>
    <w:rsid w:val="004C506F"/>
    <w:rsid w:val="004C5D6D"/>
    <w:rsid w:val="004D0A90"/>
    <w:rsid w:val="004D16BB"/>
    <w:rsid w:val="004D79F4"/>
    <w:rsid w:val="004E046A"/>
    <w:rsid w:val="004E2C23"/>
    <w:rsid w:val="004E4B69"/>
    <w:rsid w:val="004E4CAD"/>
    <w:rsid w:val="004E7918"/>
    <w:rsid w:val="004F1A62"/>
    <w:rsid w:val="004F1B4B"/>
    <w:rsid w:val="004F2A6B"/>
    <w:rsid w:val="004F2F1F"/>
    <w:rsid w:val="004F312C"/>
    <w:rsid w:val="004F35BE"/>
    <w:rsid w:val="004F49E7"/>
    <w:rsid w:val="004F4EA4"/>
    <w:rsid w:val="004F5424"/>
    <w:rsid w:val="004F6FEB"/>
    <w:rsid w:val="004F7247"/>
    <w:rsid w:val="005053EF"/>
    <w:rsid w:val="005105C8"/>
    <w:rsid w:val="00510CEE"/>
    <w:rsid w:val="00510F70"/>
    <w:rsid w:val="00511B64"/>
    <w:rsid w:val="00512F7C"/>
    <w:rsid w:val="005132D0"/>
    <w:rsid w:val="00517CE1"/>
    <w:rsid w:val="0052019C"/>
    <w:rsid w:val="005205B9"/>
    <w:rsid w:val="005214C9"/>
    <w:rsid w:val="00521FBD"/>
    <w:rsid w:val="0052223E"/>
    <w:rsid w:val="00523DD1"/>
    <w:rsid w:val="00525257"/>
    <w:rsid w:val="005259A7"/>
    <w:rsid w:val="00525A23"/>
    <w:rsid w:val="00525B89"/>
    <w:rsid w:val="00526A12"/>
    <w:rsid w:val="00527187"/>
    <w:rsid w:val="00527658"/>
    <w:rsid w:val="00527699"/>
    <w:rsid w:val="005305F7"/>
    <w:rsid w:val="00530CFB"/>
    <w:rsid w:val="00531BD3"/>
    <w:rsid w:val="00534B27"/>
    <w:rsid w:val="0054237D"/>
    <w:rsid w:val="00543048"/>
    <w:rsid w:val="00543953"/>
    <w:rsid w:val="00544A07"/>
    <w:rsid w:val="0054781B"/>
    <w:rsid w:val="005501D0"/>
    <w:rsid w:val="00550990"/>
    <w:rsid w:val="00551B35"/>
    <w:rsid w:val="0055481B"/>
    <w:rsid w:val="00555238"/>
    <w:rsid w:val="005555C0"/>
    <w:rsid w:val="00556C1C"/>
    <w:rsid w:val="0056086C"/>
    <w:rsid w:val="00560D31"/>
    <w:rsid w:val="005624B3"/>
    <w:rsid w:val="00562B89"/>
    <w:rsid w:val="00563DFA"/>
    <w:rsid w:val="005641D1"/>
    <w:rsid w:val="005643CB"/>
    <w:rsid w:val="005650C5"/>
    <w:rsid w:val="00565BA4"/>
    <w:rsid w:val="0056669F"/>
    <w:rsid w:val="00566CAF"/>
    <w:rsid w:val="00567BC4"/>
    <w:rsid w:val="00571D10"/>
    <w:rsid w:val="0057523B"/>
    <w:rsid w:val="0057567B"/>
    <w:rsid w:val="00576678"/>
    <w:rsid w:val="00583735"/>
    <w:rsid w:val="00584658"/>
    <w:rsid w:val="005856BE"/>
    <w:rsid w:val="005859EA"/>
    <w:rsid w:val="00590EF3"/>
    <w:rsid w:val="005924E7"/>
    <w:rsid w:val="005941DF"/>
    <w:rsid w:val="00594599"/>
    <w:rsid w:val="0059491D"/>
    <w:rsid w:val="00594D42"/>
    <w:rsid w:val="00595817"/>
    <w:rsid w:val="00596806"/>
    <w:rsid w:val="00596AD5"/>
    <w:rsid w:val="005A270D"/>
    <w:rsid w:val="005A44E1"/>
    <w:rsid w:val="005A76F4"/>
    <w:rsid w:val="005A7730"/>
    <w:rsid w:val="005A7FCE"/>
    <w:rsid w:val="005B15BE"/>
    <w:rsid w:val="005B38B1"/>
    <w:rsid w:val="005B6C7A"/>
    <w:rsid w:val="005B73EE"/>
    <w:rsid w:val="005C0E50"/>
    <w:rsid w:val="005C15E5"/>
    <w:rsid w:val="005C435C"/>
    <w:rsid w:val="005C601F"/>
    <w:rsid w:val="005C79C6"/>
    <w:rsid w:val="005D066F"/>
    <w:rsid w:val="005D0CE1"/>
    <w:rsid w:val="005D5DB5"/>
    <w:rsid w:val="005E0006"/>
    <w:rsid w:val="005E0780"/>
    <w:rsid w:val="005E106B"/>
    <w:rsid w:val="005E2686"/>
    <w:rsid w:val="005E3DAC"/>
    <w:rsid w:val="005E497C"/>
    <w:rsid w:val="005E5582"/>
    <w:rsid w:val="005E5E1E"/>
    <w:rsid w:val="005F3784"/>
    <w:rsid w:val="005F557F"/>
    <w:rsid w:val="005F7C47"/>
    <w:rsid w:val="00600E0F"/>
    <w:rsid w:val="0060111D"/>
    <w:rsid w:val="0060132A"/>
    <w:rsid w:val="00603EF1"/>
    <w:rsid w:val="00604876"/>
    <w:rsid w:val="00604F2A"/>
    <w:rsid w:val="00605688"/>
    <w:rsid w:val="00605B5F"/>
    <w:rsid w:val="00606AEC"/>
    <w:rsid w:val="0060718F"/>
    <w:rsid w:val="00607282"/>
    <w:rsid w:val="0061016A"/>
    <w:rsid w:val="0061466E"/>
    <w:rsid w:val="00617ED2"/>
    <w:rsid w:val="006234E4"/>
    <w:rsid w:val="006241E9"/>
    <w:rsid w:val="006244FE"/>
    <w:rsid w:val="00624BA0"/>
    <w:rsid w:val="0062683D"/>
    <w:rsid w:val="0062710B"/>
    <w:rsid w:val="00631C13"/>
    <w:rsid w:val="00631F1A"/>
    <w:rsid w:val="00632203"/>
    <w:rsid w:val="00632BB7"/>
    <w:rsid w:val="00633AF9"/>
    <w:rsid w:val="00633D8E"/>
    <w:rsid w:val="00634291"/>
    <w:rsid w:val="00635BE7"/>
    <w:rsid w:val="00635EB9"/>
    <w:rsid w:val="006427F7"/>
    <w:rsid w:val="00645737"/>
    <w:rsid w:val="006461A1"/>
    <w:rsid w:val="00647D5B"/>
    <w:rsid w:val="00651B09"/>
    <w:rsid w:val="00653601"/>
    <w:rsid w:val="00656365"/>
    <w:rsid w:val="006568AE"/>
    <w:rsid w:val="00660C31"/>
    <w:rsid w:val="00661361"/>
    <w:rsid w:val="0066191B"/>
    <w:rsid w:val="00662407"/>
    <w:rsid w:val="00663F84"/>
    <w:rsid w:val="00665145"/>
    <w:rsid w:val="00670C90"/>
    <w:rsid w:val="00670DDA"/>
    <w:rsid w:val="006718DD"/>
    <w:rsid w:val="00673628"/>
    <w:rsid w:val="00674B42"/>
    <w:rsid w:val="006762EE"/>
    <w:rsid w:val="0067727D"/>
    <w:rsid w:val="00680F17"/>
    <w:rsid w:val="00682A7A"/>
    <w:rsid w:val="00683E37"/>
    <w:rsid w:val="00684132"/>
    <w:rsid w:val="00684504"/>
    <w:rsid w:val="0068548B"/>
    <w:rsid w:val="006916C0"/>
    <w:rsid w:val="0069317A"/>
    <w:rsid w:val="00694270"/>
    <w:rsid w:val="00696ED9"/>
    <w:rsid w:val="00696EF8"/>
    <w:rsid w:val="00697270"/>
    <w:rsid w:val="006977BB"/>
    <w:rsid w:val="006A16C4"/>
    <w:rsid w:val="006A3CA3"/>
    <w:rsid w:val="006A5316"/>
    <w:rsid w:val="006A7BB0"/>
    <w:rsid w:val="006B13B0"/>
    <w:rsid w:val="006B280D"/>
    <w:rsid w:val="006B314A"/>
    <w:rsid w:val="006B35D1"/>
    <w:rsid w:val="006B3A00"/>
    <w:rsid w:val="006B47E2"/>
    <w:rsid w:val="006B5DFD"/>
    <w:rsid w:val="006B7E58"/>
    <w:rsid w:val="006C01BF"/>
    <w:rsid w:val="006C07D5"/>
    <w:rsid w:val="006C0E27"/>
    <w:rsid w:val="006C1C58"/>
    <w:rsid w:val="006C79CB"/>
    <w:rsid w:val="006D0B94"/>
    <w:rsid w:val="006D1475"/>
    <w:rsid w:val="006D1E92"/>
    <w:rsid w:val="006D425D"/>
    <w:rsid w:val="006D47F9"/>
    <w:rsid w:val="006D57EC"/>
    <w:rsid w:val="006D6D02"/>
    <w:rsid w:val="006D7085"/>
    <w:rsid w:val="006E0989"/>
    <w:rsid w:val="006E1140"/>
    <w:rsid w:val="006E25FC"/>
    <w:rsid w:val="006E2EE8"/>
    <w:rsid w:val="006E3A7D"/>
    <w:rsid w:val="006E45D9"/>
    <w:rsid w:val="006E6042"/>
    <w:rsid w:val="006E662A"/>
    <w:rsid w:val="006F0BEB"/>
    <w:rsid w:val="006F166F"/>
    <w:rsid w:val="006F1E62"/>
    <w:rsid w:val="006F24A8"/>
    <w:rsid w:val="006F314B"/>
    <w:rsid w:val="006F38AF"/>
    <w:rsid w:val="006F3E3B"/>
    <w:rsid w:val="006F4FDA"/>
    <w:rsid w:val="006F59BB"/>
    <w:rsid w:val="006F7C10"/>
    <w:rsid w:val="006F7D58"/>
    <w:rsid w:val="00701E37"/>
    <w:rsid w:val="00702FD4"/>
    <w:rsid w:val="0070361A"/>
    <w:rsid w:val="00704838"/>
    <w:rsid w:val="00704C3D"/>
    <w:rsid w:val="007053C2"/>
    <w:rsid w:val="00706502"/>
    <w:rsid w:val="007078FF"/>
    <w:rsid w:val="00707F33"/>
    <w:rsid w:val="007117B4"/>
    <w:rsid w:val="00712103"/>
    <w:rsid w:val="00712C80"/>
    <w:rsid w:val="00712DEC"/>
    <w:rsid w:val="00712E3E"/>
    <w:rsid w:val="007141AB"/>
    <w:rsid w:val="007141EB"/>
    <w:rsid w:val="007141F0"/>
    <w:rsid w:val="00716155"/>
    <w:rsid w:val="007164B3"/>
    <w:rsid w:val="007165E6"/>
    <w:rsid w:val="00717681"/>
    <w:rsid w:val="007176AA"/>
    <w:rsid w:val="007200A0"/>
    <w:rsid w:val="00720AE6"/>
    <w:rsid w:val="00720FAA"/>
    <w:rsid w:val="00721373"/>
    <w:rsid w:val="00721503"/>
    <w:rsid w:val="00721676"/>
    <w:rsid w:val="007217A3"/>
    <w:rsid w:val="00721981"/>
    <w:rsid w:val="00723866"/>
    <w:rsid w:val="00725C6F"/>
    <w:rsid w:val="00726300"/>
    <w:rsid w:val="00726594"/>
    <w:rsid w:val="00730FF1"/>
    <w:rsid w:val="007314E0"/>
    <w:rsid w:val="00732F6F"/>
    <w:rsid w:val="00733233"/>
    <w:rsid w:val="0073409C"/>
    <w:rsid w:val="00735C89"/>
    <w:rsid w:val="00736706"/>
    <w:rsid w:val="00737388"/>
    <w:rsid w:val="00740A13"/>
    <w:rsid w:val="00742EBE"/>
    <w:rsid w:val="007444BF"/>
    <w:rsid w:val="00744B92"/>
    <w:rsid w:val="007452F3"/>
    <w:rsid w:val="0074638E"/>
    <w:rsid w:val="0074784B"/>
    <w:rsid w:val="00754CD2"/>
    <w:rsid w:val="00756DF9"/>
    <w:rsid w:val="007610C6"/>
    <w:rsid w:val="00764E94"/>
    <w:rsid w:val="0076624C"/>
    <w:rsid w:val="00771AE7"/>
    <w:rsid w:val="00771C40"/>
    <w:rsid w:val="00771D59"/>
    <w:rsid w:val="007725F9"/>
    <w:rsid w:val="007727AA"/>
    <w:rsid w:val="00772DF4"/>
    <w:rsid w:val="00773327"/>
    <w:rsid w:val="00774241"/>
    <w:rsid w:val="0077444A"/>
    <w:rsid w:val="00774640"/>
    <w:rsid w:val="00774CC9"/>
    <w:rsid w:val="00774D23"/>
    <w:rsid w:val="0077596F"/>
    <w:rsid w:val="007766B3"/>
    <w:rsid w:val="00776A35"/>
    <w:rsid w:val="00780CE5"/>
    <w:rsid w:val="0078259E"/>
    <w:rsid w:val="00785CB8"/>
    <w:rsid w:val="00786235"/>
    <w:rsid w:val="0079054B"/>
    <w:rsid w:val="007918BF"/>
    <w:rsid w:val="007930D7"/>
    <w:rsid w:val="00793662"/>
    <w:rsid w:val="00793976"/>
    <w:rsid w:val="007946E2"/>
    <w:rsid w:val="00795B1F"/>
    <w:rsid w:val="007962E5"/>
    <w:rsid w:val="007A0798"/>
    <w:rsid w:val="007A201F"/>
    <w:rsid w:val="007A2557"/>
    <w:rsid w:val="007A34B5"/>
    <w:rsid w:val="007A4858"/>
    <w:rsid w:val="007A48B4"/>
    <w:rsid w:val="007A4E5B"/>
    <w:rsid w:val="007A643B"/>
    <w:rsid w:val="007B1DC2"/>
    <w:rsid w:val="007B3C02"/>
    <w:rsid w:val="007B4ADB"/>
    <w:rsid w:val="007B6FA1"/>
    <w:rsid w:val="007C243E"/>
    <w:rsid w:val="007C3192"/>
    <w:rsid w:val="007C41CF"/>
    <w:rsid w:val="007C4362"/>
    <w:rsid w:val="007D017B"/>
    <w:rsid w:val="007D3924"/>
    <w:rsid w:val="007D3D9D"/>
    <w:rsid w:val="007D5BB8"/>
    <w:rsid w:val="007D68E7"/>
    <w:rsid w:val="007E0027"/>
    <w:rsid w:val="007E026B"/>
    <w:rsid w:val="007E078F"/>
    <w:rsid w:val="007E1EED"/>
    <w:rsid w:val="007E359A"/>
    <w:rsid w:val="007E371E"/>
    <w:rsid w:val="007E44B7"/>
    <w:rsid w:val="007E50F4"/>
    <w:rsid w:val="007E64A7"/>
    <w:rsid w:val="007E72B2"/>
    <w:rsid w:val="007E7615"/>
    <w:rsid w:val="007F339D"/>
    <w:rsid w:val="007F3AD0"/>
    <w:rsid w:val="007F417B"/>
    <w:rsid w:val="007F54B6"/>
    <w:rsid w:val="007F78FE"/>
    <w:rsid w:val="007F7B99"/>
    <w:rsid w:val="008008E0"/>
    <w:rsid w:val="008009C6"/>
    <w:rsid w:val="00800BEA"/>
    <w:rsid w:val="00802F08"/>
    <w:rsid w:val="00803531"/>
    <w:rsid w:val="00803F9A"/>
    <w:rsid w:val="00805CCF"/>
    <w:rsid w:val="008071C7"/>
    <w:rsid w:val="00810771"/>
    <w:rsid w:val="00811753"/>
    <w:rsid w:val="00812A34"/>
    <w:rsid w:val="00815763"/>
    <w:rsid w:val="0082159B"/>
    <w:rsid w:val="00822102"/>
    <w:rsid w:val="008242A0"/>
    <w:rsid w:val="00824CC6"/>
    <w:rsid w:val="00826530"/>
    <w:rsid w:val="008274F8"/>
    <w:rsid w:val="00830071"/>
    <w:rsid w:val="00831613"/>
    <w:rsid w:val="00833280"/>
    <w:rsid w:val="00834025"/>
    <w:rsid w:val="00834878"/>
    <w:rsid w:val="00837753"/>
    <w:rsid w:val="00843679"/>
    <w:rsid w:val="008476EC"/>
    <w:rsid w:val="00852C34"/>
    <w:rsid w:val="00852E7A"/>
    <w:rsid w:val="00852E7C"/>
    <w:rsid w:val="008534EF"/>
    <w:rsid w:val="008539B7"/>
    <w:rsid w:val="00855CA5"/>
    <w:rsid w:val="00860948"/>
    <w:rsid w:val="00860BC5"/>
    <w:rsid w:val="00862027"/>
    <w:rsid w:val="00862BBF"/>
    <w:rsid w:val="00862EB3"/>
    <w:rsid w:val="00863EB6"/>
    <w:rsid w:val="00867D86"/>
    <w:rsid w:val="00870440"/>
    <w:rsid w:val="00870E9F"/>
    <w:rsid w:val="00873F29"/>
    <w:rsid w:val="00873F33"/>
    <w:rsid w:val="00874F8E"/>
    <w:rsid w:val="008751E3"/>
    <w:rsid w:val="00877FFE"/>
    <w:rsid w:val="0088076A"/>
    <w:rsid w:val="0088089C"/>
    <w:rsid w:val="00883C95"/>
    <w:rsid w:val="00884C1F"/>
    <w:rsid w:val="0088619A"/>
    <w:rsid w:val="008866A9"/>
    <w:rsid w:val="0088691B"/>
    <w:rsid w:val="0088718C"/>
    <w:rsid w:val="0089045B"/>
    <w:rsid w:val="008910A7"/>
    <w:rsid w:val="00891646"/>
    <w:rsid w:val="0089329A"/>
    <w:rsid w:val="00894BAC"/>
    <w:rsid w:val="0089633E"/>
    <w:rsid w:val="0089700D"/>
    <w:rsid w:val="008A1873"/>
    <w:rsid w:val="008A2395"/>
    <w:rsid w:val="008A4535"/>
    <w:rsid w:val="008A4FBD"/>
    <w:rsid w:val="008A5FCD"/>
    <w:rsid w:val="008A6625"/>
    <w:rsid w:val="008B15B3"/>
    <w:rsid w:val="008B2B62"/>
    <w:rsid w:val="008B3733"/>
    <w:rsid w:val="008B46D1"/>
    <w:rsid w:val="008B5201"/>
    <w:rsid w:val="008B5944"/>
    <w:rsid w:val="008B5B19"/>
    <w:rsid w:val="008B689C"/>
    <w:rsid w:val="008B6C0B"/>
    <w:rsid w:val="008B7AA4"/>
    <w:rsid w:val="008C00FC"/>
    <w:rsid w:val="008C041C"/>
    <w:rsid w:val="008C2392"/>
    <w:rsid w:val="008C330D"/>
    <w:rsid w:val="008C5E9B"/>
    <w:rsid w:val="008C6040"/>
    <w:rsid w:val="008C717E"/>
    <w:rsid w:val="008D0767"/>
    <w:rsid w:val="008D1A1F"/>
    <w:rsid w:val="008D4054"/>
    <w:rsid w:val="008D6401"/>
    <w:rsid w:val="008E1C55"/>
    <w:rsid w:val="008E1F34"/>
    <w:rsid w:val="008E2C25"/>
    <w:rsid w:val="008E743B"/>
    <w:rsid w:val="008F1A79"/>
    <w:rsid w:val="008F2951"/>
    <w:rsid w:val="008F2A8D"/>
    <w:rsid w:val="008F2AAA"/>
    <w:rsid w:val="008F2F09"/>
    <w:rsid w:val="008F398F"/>
    <w:rsid w:val="008F3BA8"/>
    <w:rsid w:val="008F4D6E"/>
    <w:rsid w:val="008F517D"/>
    <w:rsid w:val="008F5B95"/>
    <w:rsid w:val="008F7C05"/>
    <w:rsid w:val="009003BD"/>
    <w:rsid w:val="0090043D"/>
    <w:rsid w:val="00901B74"/>
    <w:rsid w:val="00902F9D"/>
    <w:rsid w:val="0090376B"/>
    <w:rsid w:val="00904AE1"/>
    <w:rsid w:val="009055ED"/>
    <w:rsid w:val="0090670E"/>
    <w:rsid w:val="0090781E"/>
    <w:rsid w:val="0091071C"/>
    <w:rsid w:val="00910F43"/>
    <w:rsid w:val="0091108B"/>
    <w:rsid w:val="00911149"/>
    <w:rsid w:val="00912E10"/>
    <w:rsid w:val="009147FF"/>
    <w:rsid w:val="009154B5"/>
    <w:rsid w:val="00915FBC"/>
    <w:rsid w:val="009169F4"/>
    <w:rsid w:val="00917477"/>
    <w:rsid w:val="009213F9"/>
    <w:rsid w:val="009251E5"/>
    <w:rsid w:val="009256A5"/>
    <w:rsid w:val="00926DAD"/>
    <w:rsid w:val="00933B8A"/>
    <w:rsid w:val="00933DA8"/>
    <w:rsid w:val="00934CB8"/>
    <w:rsid w:val="00936BB8"/>
    <w:rsid w:val="00937494"/>
    <w:rsid w:val="00940B90"/>
    <w:rsid w:val="009428E5"/>
    <w:rsid w:val="00942CDB"/>
    <w:rsid w:val="0094300F"/>
    <w:rsid w:val="00944B7B"/>
    <w:rsid w:val="0095088B"/>
    <w:rsid w:val="00960165"/>
    <w:rsid w:val="009615C9"/>
    <w:rsid w:val="00962774"/>
    <w:rsid w:val="00963048"/>
    <w:rsid w:val="00964F65"/>
    <w:rsid w:val="00964FD3"/>
    <w:rsid w:val="00965798"/>
    <w:rsid w:val="0096679D"/>
    <w:rsid w:val="009717C0"/>
    <w:rsid w:val="00974122"/>
    <w:rsid w:val="00974ECA"/>
    <w:rsid w:val="009758F4"/>
    <w:rsid w:val="0097682D"/>
    <w:rsid w:val="00983F95"/>
    <w:rsid w:val="00986255"/>
    <w:rsid w:val="00990BE5"/>
    <w:rsid w:val="00990E42"/>
    <w:rsid w:val="00993D7F"/>
    <w:rsid w:val="00993F73"/>
    <w:rsid w:val="00994134"/>
    <w:rsid w:val="0099528E"/>
    <w:rsid w:val="00996ABE"/>
    <w:rsid w:val="00997255"/>
    <w:rsid w:val="009A14EF"/>
    <w:rsid w:val="009A2760"/>
    <w:rsid w:val="009A45B6"/>
    <w:rsid w:val="009A4A89"/>
    <w:rsid w:val="009A50CA"/>
    <w:rsid w:val="009A6F32"/>
    <w:rsid w:val="009A70DB"/>
    <w:rsid w:val="009A77F1"/>
    <w:rsid w:val="009B2F7F"/>
    <w:rsid w:val="009B3671"/>
    <w:rsid w:val="009B46C7"/>
    <w:rsid w:val="009C08C9"/>
    <w:rsid w:val="009C15E9"/>
    <w:rsid w:val="009C282C"/>
    <w:rsid w:val="009C286E"/>
    <w:rsid w:val="009C2A6A"/>
    <w:rsid w:val="009C40DD"/>
    <w:rsid w:val="009C4A2A"/>
    <w:rsid w:val="009C5482"/>
    <w:rsid w:val="009C7E50"/>
    <w:rsid w:val="009D1A88"/>
    <w:rsid w:val="009D1F66"/>
    <w:rsid w:val="009D464D"/>
    <w:rsid w:val="009D4EBC"/>
    <w:rsid w:val="009D65AC"/>
    <w:rsid w:val="009D7226"/>
    <w:rsid w:val="009D7D04"/>
    <w:rsid w:val="009E01D6"/>
    <w:rsid w:val="009E0395"/>
    <w:rsid w:val="009E136B"/>
    <w:rsid w:val="009E401D"/>
    <w:rsid w:val="009E45EB"/>
    <w:rsid w:val="009E5C1B"/>
    <w:rsid w:val="009E5F6C"/>
    <w:rsid w:val="009E6924"/>
    <w:rsid w:val="009E71D4"/>
    <w:rsid w:val="009F0322"/>
    <w:rsid w:val="009F12DE"/>
    <w:rsid w:val="009F1D61"/>
    <w:rsid w:val="009F32CA"/>
    <w:rsid w:val="009F3CB7"/>
    <w:rsid w:val="00A00C23"/>
    <w:rsid w:val="00A02544"/>
    <w:rsid w:val="00A042D4"/>
    <w:rsid w:val="00A04B8F"/>
    <w:rsid w:val="00A0502C"/>
    <w:rsid w:val="00A07762"/>
    <w:rsid w:val="00A0794E"/>
    <w:rsid w:val="00A07B21"/>
    <w:rsid w:val="00A10124"/>
    <w:rsid w:val="00A10166"/>
    <w:rsid w:val="00A10970"/>
    <w:rsid w:val="00A1345E"/>
    <w:rsid w:val="00A14513"/>
    <w:rsid w:val="00A1662B"/>
    <w:rsid w:val="00A16CFF"/>
    <w:rsid w:val="00A17253"/>
    <w:rsid w:val="00A17995"/>
    <w:rsid w:val="00A17AB4"/>
    <w:rsid w:val="00A2018E"/>
    <w:rsid w:val="00A20855"/>
    <w:rsid w:val="00A241B0"/>
    <w:rsid w:val="00A25A98"/>
    <w:rsid w:val="00A26567"/>
    <w:rsid w:val="00A26EE2"/>
    <w:rsid w:val="00A307FD"/>
    <w:rsid w:val="00A311ED"/>
    <w:rsid w:val="00A31600"/>
    <w:rsid w:val="00A3273D"/>
    <w:rsid w:val="00A32999"/>
    <w:rsid w:val="00A339A7"/>
    <w:rsid w:val="00A33C1C"/>
    <w:rsid w:val="00A33C95"/>
    <w:rsid w:val="00A33F33"/>
    <w:rsid w:val="00A35FAF"/>
    <w:rsid w:val="00A407D7"/>
    <w:rsid w:val="00A4185B"/>
    <w:rsid w:val="00A4202C"/>
    <w:rsid w:val="00A42C5A"/>
    <w:rsid w:val="00A430E5"/>
    <w:rsid w:val="00A432CE"/>
    <w:rsid w:val="00A466E4"/>
    <w:rsid w:val="00A50C23"/>
    <w:rsid w:val="00A5322A"/>
    <w:rsid w:val="00A534BC"/>
    <w:rsid w:val="00A536E5"/>
    <w:rsid w:val="00A61557"/>
    <w:rsid w:val="00A62508"/>
    <w:rsid w:val="00A635FB"/>
    <w:rsid w:val="00A658D1"/>
    <w:rsid w:val="00A658E4"/>
    <w:rsid w:val="00A667FF"/>
    <w:rsid w:val="00A6680E"/>
    <w:rsid w:val="00A66A4B"/>
    <w:rsid w:val="00A732DB"/>
    <w:rsid w:val="00A73CFA"/>
    <w:rsid w:val="00A77E89"/>
    <w:rsid w:val="00A85C52"/>
    <w:rsid w:val="00A874B9"/>
    <w:rsid w:val="00A9231C"/>
    <w:rsid w:val="00A9381A"/>
    <w:rsid w:val="00A94B78"/>
    <w:rsid w:val="00A9605E"/>
    <w:rsid w:val="00A96367"/>
    <w:rsid w:val="00A97BDD"/>
    <w:rsid w:val="00AA0099"/>
    <w:rsid w:val="00AA0673"/>
    <w:rsid w:val="00AA1326"/>
    <w:rsid w:val="00AA3A86"/>
    <w:rsid w:val="00AA511B"/>
    <w:rsid w:val="00AA5769"/>
    <w:rsid w:val="00AA6132"/>
    <w:rsid w:val="00AA6A1D"/>
    <w:rsid w:val="00AA6F2F"/>
    <w:rsid w:val="00AA714A"/>
    <w:rsid w:val="00AA74B4"/>
    <w:rsid w:val="00AA7A72"/>
    <w:rsid w:val="00AB1C98"/>
    <w:rsid w:val="00AB4B51"/>
    <w:rsid w:val="00AB58EF"/>
    <w:rsid w:val="00AB5C4F"/>
    <w:rsid w:val="00AB64D6"/>
    <w:rsid w:val="00AB6B62"/>
    <w:rsid w:val="00AB7035"/>
    <w:rsid w:val="00AC00A8"/>
    <w:rsid w:val="00AC0197"/>
    <w:rsid w:val="00AC3063"/>
    <w:rsid w:val="00AC4A5F"/>
    <w:rsid w:val="00AC65B1"/>
    <w:rsid w:val="00AC759A"/>
    <w:rsid w:val="00AD2013"/>
    <w:rsid w:val="00AD2472"/>
    <w:rsid w:val="00AD4F9A"/>
    <w:rsid w:val="00AD5C84"/>
    <w:rsid w:val="00AD6206"/>
    <w:rsid w:val="00AD6A3E"/>
    <w:rsid w:val="00AD741D"/>
    <w:rsid w:val="00AD7F78"/>
    <w:rsid w:val="00AD7FF1"/>
    <w:rsid w:val="00AE2802"/>
    <w:rsid w:val="00AE370E"/>
    <w:rsid w:val="00AE5A7B"/>
    <w:rsid w:val="00AE5C3B"/>
    <w:rsid w:val="00AE6EB9"/>
    <w:rsid w:val="00AE7785"/>
    <w:rsid w:val="00AF0116"/>
    <w:rsid w:val="00AF240D"/>
    <w:rsid w:val="00AF2632"/>
    <w:rsid w:val="00AF3ACF"/>
    <w:rsid w:val="00AF4F03"/>
    <w:rsid w:val="00AF5539"/>
    <w:rsid w:val="00AF66C9"/>
    <w:rsid w:val="00AF7FAD"/>
    <w:rsid w:val="00B05334"/>
    <w:rsid w:val="00B128AB"/>
    <w:rsid w:val="00B13D3F"/>
    <w:rsid w:val="00B13D81"/>
    <w:rsid w:val="00B157D1"/>
    <w:rsid w:val="00B1589F"/>
    <w:rsid w:val="00B16879"/>
    <w:rsid w:val="00B17B13"/>
    <w:rsid w:val="00B2164F"/>
    <w:rsid w:val="00B2436C"/>
    <w:rsid w:val="00B27868"/>
    <w:rsid w:val="00B278DC"/>
    <w:rsid w:val="00B31026"/>
    <w:rsid w:val="00B31250"/>
    <w:rsid w:val="00B3363E"/>
    <w:rsid w:val="00B3498E"/>
    <w:rsid w:val="00B35452"/>
    <w:rsid w:val="00B3564E"/>
    <w:rsid w:val="00B36ABD"/>
    <w:rsid w:val="00B37866"/>
    <w:rsid w:val="00B419B4"/>
    <w:rsid w:val="00B41D20"/>
    <w:rsid w:val="00B43248"/>
    <w:rsid w:val="00B437E0"/>
    <w:rsid w:val="00B438A9"/>
    <w:rsid w:val="00B46502"/>
    <w:rsid w:val="00B505D4"/>
    <w:rsid w:val="00B5248A"/>
    <w:rsid w:val="00B52490"/>
    <w:rsid w:val="00B524B8"/>
    <w:rsid w:val="00B527D5"/>
    <w:rsid w:val="00B53886"/>
    <w:rsid w:val="00B55049"/>
    <w:rsid w:val="00B55E38"/>
    <w:rsid w:val="00B565B5"/>
    <w:rsid w:val="00B56FAC"/>
    <w:rsid w:val="00B60825"/>
    <w:rsid w:val="00B64E53"/>
    <w:rsid w:val="00B64F78"/>
    <w:rsid w:val="00B65D69"/>
    <w:rsid w:val="00B662D0"/>
    <w:rsid w:val="00B72C7E"/>
    <w:rsid w:val="00B73F21"/>
    <w:rsid w:val="00B7795E"/>
    <w:rsid w:val="00B77D5A"/>
    <w:rsid w:val="00B80B40"/>
    <w:rsid w:val="00B81B6D"/>
    <w:rsid w:val="00B82F75"/>
    <w:rsid w:val="00B83D4D"/>
    <w:rsid w:val="00B8415B"/>
    <w:rsid w:val="00B84EB8"/>
    <w:rsid w:val="00B851EF"/>
    <w:rsid w:val="00B85559"/>
    <w:rsid w:val="00B91606"/>
    <w:rsid w:val="00B92A42"/>
    <w:rsid w:val="00B93AE6"/>
    <w:rsid w:val="00B93CDE"/>
    <w:rsid w:val="00B95A8B"/>
    <w:rsid w:val="00B96A26"/>
    <w:rsid w:val="00B96E09"/>
    <w:rsid w:val="00BA14A3"/>
    <w:rsid w:val="00BA4391"/>
    <w:rsid w:val="00BA45F3"/>
    <w:rsid w:val="00BA5AE3"/>
    <w:rsid w:val="00BB3071"/>
    <w:rsid w:val="00BB3BE3"/>
    <w:rsid w:val="00BB52E3"/>
    <w:rsid w:val="00BB6020"/>
    <w:rsid w:val="00BB769E"/>
    <w:rsid w:val="00BC21EB"/>
    <w:rsid w:val="00BC2461"/>
    <w:rsid w:val="00BC2ACF"/>
    <w:rsid w:val="00BC564D"/>
    <w:rsid w:val="00BC6BF4"/>
    <w:rsid w:val="00BC708D"/>
    <w:rsid w:val="00BC723F"/>
    <w:rsid w:val="00BC757F"/>
    <w:rsid w:val="00BD01F7"/>
    <w:rsid w:val="00BD0FEA"/>
    <w:rsid w:val="00BD2550"/>
    <w:rsid w:val="00BD296D"/>
    <w:rsid w:val="00BD4709"/>
    <w:rsid w:val="00BD4861"/>
    <w:rsid w:val="00BD4968"/>
    <w:rsid w:val="00BD5828"/>
    <w:rsid w:val="00BD68A5"/>
    <w:rsid w:val="00BE1260"/>
    <w:rsid w:val="00BE1486"/>
    <w:rsid w:val="00BE1A1A"/>
    <w:rsid w:val="00BE4720"/>
    <w:rsid w:val="00BE5C06"/>
    <w:rsid w:val="00BE5DC2"/>
    <w:rsid w:val="00BF0E67"/>
    <w:rsid w:val="00BF5CC6"/>
    <w:rsid w:val="00BF64BC"/>
    <w:rsid w:val="00C00357"/>
    <w:rsid w:val="00C01586"/>
    <w:rsid w:val="00C067DA"/>
    <w:rsid w:val="00C06876"/>
    <w:rsid w:val="00C074EC"/>
    <w:rsid w:val="00C07713"/>
    <w:rsid w:val="00C10C15"/>
    <w:rsid w:val="00C11DCD"/>
    <w:rsid w:val="00C1428F"/>
    <w:rsid w:val="00C1507F"/>
    <w:rsid w:val="00C162FF"/>
    <w:rsid w:val="00C17BAE"/>
    <w:rsid w:val="00C20A5C"/>
    <w:rsid w:val="00C2142C"/>
    <w:rsid w:val="00C2196B"/>
    <w:rsid w:val="00C2232F"/>
    <w:rsid w:val="00C22FB2"/>
    <w:rsid w:val="00C232F6"/>
    <w:rsid w:val="00C24E0F"/>
    <w:rsid w:val="00C25494"/>
    <w:rsid w:val="00C25F6E"/>
    <w:rsid w:val="00C27B24"/>
    <w:rsid w:val="00C31DF6"/>
    <w:rsid w:val="00C32662"/>
    <w:rsid w:val="00C34438"/>
    <w:rsid w:val="00C35BB7"/>
    <w:rsid w:val="00C368B3"/>
    <w:rsid w:val="00C3798D"/>
    <w:rsid w:val="00C46142"/>
    <w:rsid w:val="00C47070"/>
    <w:rsid w:val="00C51FFF"/>
    <w:rsid w:val="00C52404"/>
    <w:rsid w:val="00C54C2B"/>
    <w:rsid w:val="00C5532D"/>
    <w:rsid w:val="00C56FA7"/>
    <w:rsid w:val="00C60030"/>
    <w:rsid w:val="00C63E9D"/>
    <w:rsid w:val="00C6727A"/>
    <w:rsid w:val="00C70DC5"/>
    <w:rsid w:val="00C71EC7"/>
    <w:rsid w:val="00C71ED8"/>
    <w:rsid w:val="00C72937"/>
    <w:rsid w:val="00C74B4F"/>
    <w:rsid w:val="00C75040"/>
    <w:rsid w:val="00C75A16"/>
    <w:rsid w:val="00C75EC7"/>
    <w:rsid w:val="00C763DD"/>
    <w:rsid w:val="00C76B78"/>
    <w:rsid w:val="00C779CF"/>
    <w:rsid w:val="00C77B2A"/>
    <w:rsid w:val="00C8026C"/>
    <w:rsid w:val="00C85CE7"/>
    <w:rsid w:val="00C91367"/>
    <w:rsid w:val="00C91939"/>
    <w:rsid w:val="00C91E8E"/>
    <w:rsid w:val="00C92257"/>
    <w:rsid w:val="00C92A8F"/>
    <w:rsid w:val="00C962D4"/>
    <w:rsid w:val="00CA1DC0"/>
    <w:rsid w:val="00CA3CF2"/>
    <w:rsid w:val="00CA5C5A"/>
    <w:rsid w:val="00CA778D"/>
    <w:rsid w:val="00CB05F1"/>
    <w:rsid w:val="00CB179F"/>
    <w:rsid w:val="00CB2156"/>
    <w:rsid w:val="00CB3AC7"/>
    <w:rsid w:val="00CB4B23"/>
    <w:rsid w:val="00CB4D0D"/>
    <w:rsid w:val="00CB5D22"/>
    <w:rsid w:val="00CB5D8A"/>
    <w:rsid w:val="00CB65EA"/>
    <w:rsid w:val="00CC156E"/>
    <w:rsid w:val="00CC31B5"/>
    <w:rsid w:val="00CC4004"/>
    <w:rsid w:val="00CC4FD1"/>
    <w:rsid w:val="00CC5A30"/>
    <w:rsid w:val="00CC6E0A"/>
    <w:rsid w:val="00CC712F"/>
    <w:rsid w:val="00CD0E61"/>
    <w:rsid w:val="00CD108D"/>
    <w:rsid w:val="00CD1384"/>
    <w:rsid w:val="00CD22D7"/>
    <w:rsid w:val="00CD2BB5"/>
    <w:rsid w:val="00CD4DDD"/>
    <w:rsid w:val="00CD5AC6"/>
    <w:rsid w:val="00CD6D46"/>
    <w:rsid w:val="00CE0393"/>
    <w:rsid w:val="00CE1A37"/>
    <w:rsid w:val="00CE72D0"/>
    <w:rsid w:val="00CE745C"/>
    <w:rsid w:val="00CF114E"/>
    <w:rsid w:val="00CF21EB"/>
    <w:rsid w:val="00CF385B"/>
    <w:rsid w:val="00D02EB9"/>
    <w:rsid w:val="00D052D8"/>
    <w:rsid w:val="00D07986"/>
    <w:rsid w:val="00D10D84"/>
    <w:rsid w:val="00D129D7"/>
    <w:rsid w:val="00D1349B"/>
    <w:rsid w:val="00D1399B"/>
    <w:rsid w:val="00D13A2C"/>
    <w:rsid w:val="00D13CAB"/>
    <w:rsid w:val="00D157F8"/>
    <w:rsid w:val="00D16596"/>
    <w:rsid w:val="00D173D3"/>
    <w:rsid w:val="00D2041A"/>
    <w:rsid w:val="00D21AF6"/>
    <w:rsid w:val="00D24AE6"/>
    <w:rsid w:val="00D2555C"/>
    <w:rsid w:val="00D2577E"/>
    <w:rsid w:val="00D30341"/>
    <w:rsid w:val="00D31D06"/>
    <w:rsid w:val="00D3408E"/>
    <w:rsid w:val="00D351E0"/>
    <w:rsid w:val="00D35D40"/>
    <w:rsid w:val="00D40318"/>
    <w:rsid w:val="00D43431"/>
    <w:rsid w:val="00D4596B"/>
    <w:rsid w:val="00D516ED"/>
    <w:rsid w:val="00D55CBF"/>
    <w:rsid w:val="00D6053F"/>
    <w:rsid w:val="00D62546"/>
    <w:rsid w:val="00D64C10"/>
    <w:rsid w:val="00D65623"/>
    <w:rsid w:val="00D65FD4"/>
    <w:rsid w:val="00D663BC"/>
    <w:rsid w:val="00D66656"/>
    <w:rsid w:val="00D67BD9"/>
    <w:rsid w:val="00D72808"/>
    <w:rsid w:val="00D72C69"/>
    <w:rsid w:val="00D73CD3"/>
    <w:rsid w:val="00D77B22"/>
    <w:rsid w:val="00D8108C"/>
    <w:rsid w:val="00D82443"/>
    <w:rsid w:val="00D82492"/>
    <w:rsid w:val="00D84D2F"/>
    <w:rsid w:val="00D925A9"/>
    <w:rsid w:val="00D9753D"/>
    <w:rsid w:val="00D97DDB"/>
    <w:rsid w:val="00DA3A36"/>
    <w:rsid w:val="00DA3FA7"/>
    <w:rsid w:val="00DA62F9"/>
    <w:rsid w:val="00DA6A92"/>
    <w:rsid w:val="00DA7679"/>
    <w:rsid w:val="00DB1710"/>
    <w:rsid w:val="00DB27AF"/>
    <w:rsid w:val="00DB42DF"/>
    <w:rsid w:val="00DB454E"/>
    <w:rsid w:val="00DB5A16"/>
    <w:rsid w:val="00DC08C5"/>
    <w:rsid w:val="00DC31E2"/>
    <w:rsid w:val="00DC437D"/>
    <w:rsid w:val="00DC604A"/>
    <w:rsid w:val="00DC6327"/>
    <w:rsid w:val="00DC6529"/>
    <w:rsid w:val="00DC6817"/>
    <w:rsid w:val="00DC6B29"/>
    <w:rsid w:val="00DC6DEB"/>
    <w:rsid w:val="00DD0F32"/>
    <w:rsid w:val="00DD43A5"/>
    <w:rsid w:val="00DD4FCA"/>
    <w:rsid w:val="00DD5107"/>
    <w:rsid w:val="00DD5645"/>
    <w:rsid w:val="00DD65DD"/>
    <w:rsid w:val="00DE03EB"/>
    <w:rsid w:val="00DE08B9"/>
    <w:rsid w:val="00DE2366"/>
    <w:rsid w:val="00DE33B4"/>
    <w:rsid w:val="00DE39A6"/>
    <w:rsid w:val="00DE4E3E"/>
    <w:rsid w:val="00DE504E"/>
    <w:rsid w:val="00DE5291"/>
    <w:rsid w:val="00DE79D5"/>
    <w:rsid w:val="00DF007C"/>
    <w:rsid w:val="00DF0103"/>
    <w:rsid w:val="00DF1906"/>
    <w:rsid w:val="00DF3393"/>
    <w:rsid w:val="00DF5DAE"/>
    <w:rsid w:val="00DF6800"/>
    <w:rsid w:val="00DF6CED"/>
    <w:rsid w:val="00E0343B"/>
    <w:rsid w:val="00E0657F"/>
    <w:rsid w:val="00E06E60"/>
    <w:rsid w:val="00E106A6"/>
    <w:rsid w:val="00E11DAC"/>
    <w:rsid w:val="00E12041"/>
    <w:rsid w:val="00E12CDA"/>
    <w:rsid w:val="00E12E8C"/>
    <w:rsid w:val="00E12F3F"/>
    <w:rsid w:val="00E15B48"/>
    <w:rsid w:val="00E171A7"/>
    <w:rsid w:val="00E17848"/>
    <w:rsid w:val="00E20851"/>
    <w:rsid w:val="00E21E85"/>
    <w:rsid w:val="00E251D0"/>
    <w:rsid w:val="00E269AD"/>
    <w:rsid w:val="00E26A1D"/>
    <w:rsid w:val="00E26EE4"/>
    <w:rsid w:val="00E314FC"/>
    <w:rsid w:val="00E319E5"/>
    <w:rsid w:val="00E32235"/>
    <w:rsid w:val="00E329F8"/>
    <w:rsid w:val="00E34755"/>
    <w:rsid w:val="00E34AD3"/>
    <w:rsid w:val="00E35ACB"/>
    <w:rsid w:val="00E376F9"/>
    <w:rsid w:val="00E428ED"/>
    <w:rsid w:val="00E43832"/>
    <w:rsid w:val="00E43AA0"/>
    <w:rsid w:val="00E51C69"/>
    <w:rsid w:val="00E51FA0"/>
    <w:rsid w:val="00E5221D"/>
    <w:rsid w:val="00E52A8A"/>
    <w:rsid w:val="00E52C3B"/>
    <w:rsid w:val="00E53480"/>
    <w:rsid w:val="00E54600"/>
    <w:rsid w:val="00E55B41"/>
    <w:rsid w:val="00E564A7"/>
    <w:rsid w:val="00E56D3F"/>
    <w:rsid w:val="00E62901"/>
    <w:rsid w:val="00E63E2A"/>
    <w:rsid w:val="00E64BD9"/>
    <w:rsid w:val="00E67E9F"/>
    <w:rsid w:val="00E715C4"/>
    <w:rsid w:val="00E7253E"/>
    <w:rsid w:val="00E74F99"/>
    <w:rsid w:val="00E757C0"/>
    <w:rsid w:val="00E75960"/>
    <w:rsid w:val="00E75E79"/>
    <w:rsid w:val="00E77788"/>
    <w:rsid w:val="00E80C01"/>
    <w:rsid w:val="00E8329D"/>
    <w:rsid w:val="00E838AD"/>
    <w:rsid w:val="00E83DC7"/>
    <w:rsid w:val="00E840AD"/>
    <w:rsid w:val="00E841BA"/>
    <w:rsid w:val="00E843B9"/>
    <w:rsid w:val="00E84A76"/>
    <w:rsid w:val="00E866D7"/>
    <w:rsid w:val="00E86F4C"/>
    <w:rsid w:val="00E9149B"/>
    <w:rsid w:val="00E92807"/>
    <w:rsid w:val="00E93697"/>
    <w:rsid w:val="00E93FB5"/>
    <w:rsid w:val="00E9462A"/>
    <w:rsid w:val="00E955BB"/>
    <w:rsid w:val="00E9591B"/>
    <w:rsid w:val="00E95A6E"/>
    <w:rsid w:val="00E9678C"/>
    <w:rsid w:val="00EA00F7"/>
    <w:rsid w:val="00EA0F6C"/>
    <w:rsid w:val="00EA14ED"/>
    <w:rsid w:val="00EA1C19"/>
    <w:rsid w:val="00EA3323"/>
    <w:rsid w:val="00EA3D4D"/>
    <w:rsid w:val="00EA6C1D"/>
    <w:rsid w:val="00EB1CAE"/>
    <w:rsid w:val="00EB3539"/>
    <w:rsid w:val="00EB398A"/>
    <w:rsid w:val="00EB5BF6"/>
    <w:rsid w:val="00EB60E3"/>
    <w:rsid w:val="00EB736D"/>
    <w:rsid w:val="00EB741B"/>
    <w:rsid w:val="00EB7E06"/>
    <w:rsid w:val="00EC0262"/>
    <w:rsid w:val="00EC03FB"/>
    <w:rsid w:val="00EC04B4"/>
    <w:rsid w:val="00EC086A"/>
    <w:rsid w:val="00EC15A8"/>
    <w:rsid w:val="00EC3B93"/>
    <w:rsid w:val="00EC45A3"/>
    <w:rsid w:val="00ED0EB6"/>
    <w:rsid w:val="00ED205B"/>
    <w:rsid w:val="00ED32C9"/>
    <w:rsid w:val="00ED5086"/>
    <w:rsid w:val="00ED5463"/>
    <w:rsid w:val="00ED5F70"/>
    <w:rsid w:val="00EE17FF"/>
    <w:rsid w:val="00EE1D1D"/>
    <w:rsid w:val="00EE3A22"/>
    <w:rsid w:val="00EE4745"/>
    <w:rsid w:val="00EE6098"/>
    <w:rsid w:val="00EE6A79"/>
    <w:rsid w:val="00EE6C9D"/>
    <w:rsid w:val="00EF3F37"/>
    <w:rsid w:val="00EF46E2"/>
    <w:rsid w:val="00EF4753"/>
    <w:rsid w:val="00EF54D7"/>
    <w:rsid w:val="00F00A5A"/>
    <w:rsid w:val="00F02759"/>
    <w:rsid w:val="00F02FAA"/>
    <w:rsid w:val="00F03612"/>
    <w:rsid w:val="00F03E9E"/>
    <w:rsid w:val="00F04A6E"/>
    <w:rsid w:val="00F05CA1"/>
    <w:rsid w:val="00F07D6C"/>
    <w:rsid w:val="00F10DBD"/>
    <w:rsid w:val="00F13D5B"/>
    <w:rsid w:val="00F14D6E"/>
    <w:rsid w:val="00F1784E"/>
    <w:rsid w:val="00F209B9"/>
    <w:rsid w:val="00F226DC"/>
    <w:rsid w:val="00F23C99"/>
    <w:rsid w:val="00F24085"/>
    <w:rsid w:val="00F24686"/>
    <w:rsid w:val="00F25473"/>
    <w:rsid w:val="00F254D8"/>
    <w:rsid w:val="00F25897"/>
    <w:rsid w:val="00F26B3F"/>
    <w:rsid w:val="00F27746"/>
    <w:rsid w:val="00F32697"/>
    <w:rsid w:val="00F33D96"/>
    <w:rsid w:val="00F33F3B"/>
    <w:rsid w:val="00F34B97"/>
    <w:rsid w:val="00F3546F"/>
    <w:rsid w:val="00F362F8"/>
    <w:rsid w:val="00F36EFF"/>
    <w:rsid w:val="00F40257"/>
    <w:rsid w:val="00F41059"/>
    <w:rsid w:val="00F437F1"/>
    <w:rsid w:val="00F460F0"/>
    <w:rsid w:val="00F51823"/>
    <w:rsid w:val="00F51A78"/>
    <w:rsid w:val="00F5239C"/>
    <w:rsid w:val="00F52C24"/>
    <w:rsid w:val="00F54546"/>
    <w:rsid w:val="00F54950"/>
    <w:rsid w:val="00F54CB0"/>
    <w:rsid w:val="00F55836"/>
    <w:rsid w:val="00F6038A"/>
    <w:rsid w:val="00F611DC"/>
    <w:rsid w:val="00F61BD6"/>
    <w:rsid w:val="00F639E3"/>
    <w:rsid w:val="00F65749"/>
    <w:rsid w:val="00F65B7B"/>
    <w:rsid w:val="00F66128"/>
    <w:rsid w:val="00F665B5"/>
    <w:rsid w:val="00F7002B"/>
    <w:rsid w:val="00F7136B"/>
    <w:rsid w:val="00F750E3"/>
    <w:rsid w:val="00F756E4"/>
    <w:rsid w:val="00F802A8"/>
    <w:rsid w:val="00F80701"/>
    <w:rsid w:val="00F814A7"/>
    <w:rsid w:val="00F82DC2"/>
    <w:rsid w:val="00F82E97"/>
    <w:rsid w:val="00F83191"/>
    <w:rsid w:val="00F83216"/>
    <w:rsid w:val="00F86A40"/>
    <w:rsid w:val="00F87682"/>
    <w:rsid w:val="00F9005C"/>
    <w:rsid w:val="00F9070C"/>
    <w:rsid w:val="00F9276A"/>
    <w:rsid w:val="00F93B72"/>
    <w:rsid w:val="00F94223"/>
    <w:rsid w:val="00F94F2E"/>
    <w:rsid w:val="00F95F92"/>
    <w:rsid w:val="00F964F7"/>
    <w:rsid w:val="00F97E6F"/>
    <w:rsid w:val="00FA2685"/>
    <w:rsid w:val="00FA4C37"/>
    <w:rsid w:val="00FA5169"/>
    <w:rsid w:val="00FA5550"/>
    <w:rsid w:val="00FA5FD1"/>
    <w:rsid w:val="00FA709F"/>
    <w:rsid w:val="00FA7E8F"/>
    <w:rsid w:val="00FB1537"/>
    <w:rsid w:val="00FB1949"/>
    <w:rsid w:val="00FB25FA"/>
    <w:rsid w:val="00FB6548"/>
    <w:rsid w:val="00FB6D6A"/>
    <w:rsid w:val="00FB7360"/>
    <w:rsid w:val="00FB788C"/>
    <w:rsid w:val="00FC0726"/>
    <w:rsid w:val="00FC3B46"/>
    <w:rsid w:val="00FC6031"/>
    <w:rsid w:val="00FC6510"/>
    <w:rsid w:val="00FD0531"/>
    <w:rsid w:val="00FD1711"/>
    <w:rsid w:val="00FD34AE"/>
    <w:rsid w:val="00FD3A54"/>
    <w:rsid w:val="00FD3F34"/>
    <w:rsid w:val="00FD4B28"/>
    <w:rsid w:val="00FD4E0D"/>
    <w:rsid w:val="00FD5145"/>
    <w:rsid w:val="00FD7A3A"/>
    <w:rsid w:val="00FE1759"/>
    <w:rsid w:val="00FE21D6"/>
    <w:rsid w:val="00FE2E85"/>
    <w:rsid w:val="00FE4422"/>
    <w:rsid w:val="00FE4CCE"/>
    <w:rsid w:val="00FE573C"/>
    <w:rsid w:val="00FE58DA"/>
    <w:rsid w:val="00FE66CC"/>
    <w:rsid w:val="00FE7949"/>
    <w:rsid w:val="00FF27D7"/>
    <w:rsid w:val="00FF5581"/>
    <w:rsid w:val="00FF5985"/>
    <w:rsid w:val="00FF6D69"/>
    <w:rsid w:val="00FF6E6A"/>
    <w:rsid w:val="00FF72AA"/>
    <w:rsid w:val="036F5410"/>
    <w:rsid w:val="0DB918EE"/>
    <w:rsid w:val="1B4030D7"/>
    <w:rsid w:val="1C2507D9"/>
    <w:rsid w:val="206B6ABE"/>
    <w:rsid w:val="235822A6"/>
    <w:rsid w:val="24342B56"/>
    <w:rsid w:val="38AC41A0"/>
    <w:rsid w:val="41F30DBB"/>
    <w:rsid w:val="42973B52"/>
    <w:rsid w:val="44C958B7"/>
    <w:rsid w:val="4A767548"/>
    <w:rsid w:val="566F344D"/>
    <w:rsid w:val="63716114"/>
    <w:rsid w:val="64F76AE8"/>
    <w:rsid w:val="656B1338"/>
    <w:rsid w:val="68EC2D43"/>
    <w:rsid w:val="6BB73461"/>
    <w:rsid w:val="6FAE395C"/>
    <w:rsid w:val="702603CC"/>
    <w:rsid w:val="713315CA"/>
    <w:rsid w:val="729B1611"/>
    <w:rsid w:val="734C3358"/>
    <w:rsid w:val="739637F5"/>
    <w:rsid w:val="74270D3C"/>
    <w:rsid w:val="75F02CD1"/>
    <w:rsid w:val="78231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宋体" w:hAnsi="宋体" w:eastAsia="宋体" w:cs="宋体"/>
      <w:color w:val="000000" w:themeColor="text1"/>
      <w:kern w:val="2"/>
      <w:sz w:val="21"/>
      <w:szCs w:val="21"/>
      <w:lang w:val="en-US" w:eastAsia="zh-CN" w:bidi="ar-SA"/>
      <w14:textFill>
        <w14:solidFill>
          <w14:schemeClr w14:val="tx1"/>
        </w14:solidFill>
      </w14:textFill>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0"/>
    <w:unhideWhenUsed/>
    <w:qFormat/>
    <w:uiPriority w:val="0"/>
    <w:pPr>
      <w:keepNext/>
      <w:keepLines/>
      <w:spacing w:before="260" w:after="260" w:line="413" w:lineRule="auto"/>
      <w:outlineLvl w:val="2"/>
    </w:pPr>
    <w:rPr>
      <w:b/>
      <w:sz w:val="32"/>
    </w:rPr>
  </w:style>
  <w:style w:type="paragraph" w:styleId="5">
    <w:name w:val="heading 4"/>
    <w:basedOn w:val="1"/>
    <w:next w:val="1"/>
    <w:link w:val="66"/>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70"/>
    <w:qFormat/>
    <w:uiPriority w:val="0"/>
    <w:pPr>
      <w:keepNext/>
      <w:keepLines/>
      <w:spacing w:before="280" w:after="290" w:line="376" w:lineRule="auto"/>
      <w:outlineLvl w:val="4"/>
    </w:pPr>
    <w:rPr>
      <w:rFonts w:ascii="Calibri" w:hAnsi="Calibri" w:cs="Times New Roman"/>
      <w:b/>
      <w:bCs/>
      <w:color w:val="auto"/>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260"/>
    </w:pPr>
  </w:style>
  <w:style w:type="paragraph" w:styleId="8">
    <w:name w:val="Document Map"/>
    <w:basedOn w:val="1"/>
    <w:link w:val="40"/>
    <w:unhideWhenUsed/>
    <w:qFormat/>
    <w:uiPriority w:val="0"/>
    <w:rPr>
      <w:sz w:val="24"/>
      <w:szCs w:val="24"/>
    </w:rPr>
  </w:style>
  <w:style w:type="paragraph" w:styleId="9">
    <w:name w:val="annotation text"/>
    <w:basedOn w:val="1"/>
    <w:link w:val="41"/>
    <w:unhideWhenUsed/>
    <w:qFormat/>
    <w:uiPriority w:val="99"/>
    <w:pPr>
      <w:jc w:val="left"/>
    </w:pPr>
  </w:style>
  <w:style w:type="paragraph" w:styleId="10">
    <w:name w:val="toc 5"/>
    <w:basedOn w:val="1"/>
    <w:next w:val="1"/>
    <w:unhideWhenUsed/>
    <w:qFormat/>
    <w:uiPriority w:val="39"/>
    <w:pPr>
      <w:ind w:left="840"/>
    </w:pPr>
  </w:style>
  <w:style w:type="paragraph" w:styleId="11">
    <w:name w:val="toc 3"/>
    <w:basedOn w:val="1"/>
    <w:next w:val="1"/>
    <w:unhideWhenUsed/>
    <w:qFormat/>
    <w:uiPriority w:val="39"/>
    <w:pPr>
      <w:ind w:left="420"/>
    </w:pPr>
  </w:style>
  <w:style w:type="paragraph" w:styleId="12">
    <w:name w:val="Plain Text"/>
    <w:basedOn w:val="1"/>
    <w:link w:val="38"/>
    <w:unhideWhenUsed/>
    <w:qFormat/>
    <w:uiPriority w:val="99"/>
    <w:rPr>
      <w:rFonts w:hAnsi="Courier New" w:cs="Courier New"/>
      <w:kern w:val="0"/>
      <w:sz w:val="20"/>
    </w:rPr>
  </w:style>
  <w:style w:type="paragraph" w:styleId="13">
    <w:name w:val="toc 8"/>
    <w:basedOn w:val="1"/>
    <w:next w:val="1"/>
    <w:unhideWhenUsed/>
    <w:qFormat/>
    <w:uiPriority w:val="39"/>
    <w:pPr>
      <w:ind w:left="1470"/>
    </w:pPr>
  </w:style>
  <w:style w:type="paragraph" w:styleId="14">
    <w:name w:val="Balloon Text"/>
    <w:basedOn w:val="1"/>
    <w:link w:val="42"/>
    <w:unhideWhenUsed/>
    <w:qFormat/>
    <w:uiPriority w:val="99"/>
    <w:rPr>
      <w:sz w:val="18"/>
      <w:szCs w:val="18"/>
    </w:rPr>
  </w:style>
  <w:style w:type="paragraph" w:styleId="15">
    <w:name w:val="footer"/>
    <w:basedOn w:val="1"/>
    <w:link w:val="43"/>
    <w:unhideWhenUsed/>
    <w:qFormat/>
    <w:uiPriority w:val="0"/>
    <w:pPr>
      <w:tabs>
        <w:tab w:val="center" w:pos="4153"/>
        <w:tab w:val="right" w:pos="8306"/>
      </w:tabs>
      <w:snapToGrid w:val="0"/>
      <w:jc w:val="left"/>
    </w:pPr>
    <w:rPr>
      <w:sz w:val="18"/>
      <w:szCs w:val="18"/>
    </w:rPr>
  </w:style>
  <w:style w:type="paragraph" w:styleId="16">
    <w:name w:val="header"/>
    <w:basedOn w:val="1"/>
    <w:link w:val="44"/>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style>
  <w:style w:type="paragraph" w:styleId="18">
    <w:name w:val="toc 4"/>
    <w:basedOn w:val="1"/>
    <w:next w:val="1"/>
    <w:unhideWhenUsed/>
    <w:qFormat/>
    <w:uiPriority w:val="39"/>
    <w:pPr>
      <w:ind w:left="630"/>
    </w:pPr>
  </w:style>
  <w:style w:type="paragraph" w:styleId="19">
    <w:name w:val="Subtitle"/>
    <w:basedOn w:val="1"/>
    <w:next w:val="1"/>
    <w:link w:val="67"/>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20">
    <w:name w:val="footnote text"/>
    <w:basedOn w:val="1"/>
    <w:link w:val="48"/>
    <w:unhideWhenUsed/>
    <w:qFormat/>
    <w:uiPriority w:val="99"/>
    <w:pPr>
      <w:snapToGrid w:val="0"/>
      <w:jc w:val="left"/>
    </w:pPr>
    <w:rPr>
      <w:sz w:val="18"/>
    </w:rPr>
  </w:style>
  <w:style w:type="paragraph" w:styleId="21">
    <w:name w:val="toc 6"/>
    <w:basedOn w:val="1"/>
    <w:next w:val="1"/>
    <w:unhideWhenUsed/>
    <w:qFormat/>
    <w:uiPriority w:val="39"/>
    <w:pPr>
      <w:ind w:left="1050"/>
    </w:pPr>
  </w:style>
  <w:style w:type="paragraph" w:styleId="22">
    <w:name w:val="toc 2"/>
    <w:basedOn w:val="1"/>
    <w:next w:val="1"/>
    <w:unhideWhenUsed/>
    <w:qFormat/>
    <w:uiPriority w:val="39"/>
    <w:pPr>
      <w:ind w:left="210"/>
    </w:pPr>
  </w:style>
  <w:style w:type="paragraph" w:styleId="23">
    <w:name w:val="toc 9"/>
    <w:basedOn w:val="1"/>
    <w:next w:val="1"/>
    <w:unhideWhenUsed/>
    <w:qFormat/>
    <w:uiPriority w:val="39"/>
    <w:pPr>
      <w:ind w:left="1680"/>
    </w:pPr>
  </w:style>
  <w:style w:type="paragraph" w:styleId="24">
    <w:name w:val="Normal (Web)"/>
    <w:basedOn w:val="1"/>
    <w:unhideWhenUsed/>
    <w:qFormat/>
    <w:uiPriority w:val="99"/>
    <w:pPr>
      <w:widowControl/>
      <w:spacing w:before="100" w:beforeAutospacing="1" w:after="100" w:afterAutospacing="1"/>
      <w:jc w:val="left"/>
    </w:pPr>
    <w:rPr>
      <w:color w:val="auto"/>
      <w:kern w:val="0"/>
      <w:sz w:val="24"/>
      <w:szCs w:val="24"/>
    </w:rPr>
  </w:style>
  <w:style w:type="paragraph" w:styleId="25">
    <w:name w:val="Title"/>
    <w:basedOn w:val="1"/>
    <w:next w:val="1"/>
    <w:link w:val="45"/>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6"/>
    <w:semiHidden/>
    <w:unhideWhenUsed/>
    <w:qFormat/>
    <w:uiPriority w:val="99"/>
    <w:rPr>
      <w:b/>
      <w:bCs/>
    </w:rPr>
  </w:style>
  <w:style w:type="table" w:styleId="28">
    <w:name w:val="Table Grid"/>
    <w:basedOn w:val="27"/>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rPr>
  </w:style>
  <w:style w:type="character" w:styleId="31">
    <w:name w:val="page number"/>
    <w:basedOn w:val="29"/>
    <w:unhideWhenUsed/>
    <w:qFormat/>
    <w:uiPriority w:val="99"/>
  </w:style>
  <w:style w:type="character" w:styleId="32">
    <w:name w:val="FollowedHyperlink"/>
    <w:basedOn w:val="29"/>
    <w:semiHidden/>
    <w:unhideWhenUsed/>
    <w:qFormat/>
    <w:uiPriority w:val="99"/>
    <w:rPr>
      <w:color w:val="954F72"/>
      <w:u w:val="single"/>
    </w:rPr>
  </w:style>
  <w:style w:type="character" w:styleId="33">
    <w:name w:val="Hyperlink"/>
    <w:basedOn w:val="29"/>
    <w:unhideWhenUsed/>
    <w:qFormat/>
    <w:uiPriority w:val="99"/>
    <w:rPr>
      <w:color w:val="0563C1" w:themeColor="hyperlink"/>
      <w:u w:val="single"/>
      <w14:textFill>
        <w14:solidFill>
          <w14:schemeClr w14:val="hlink"/>
        </w14:solidFill>
      </w14:textFill>
    </w:rPr>
  </w:style>
  <w:style w:type="character" w:styleId="34">
    <w:name w:val="annotation reference"/>
    <w:basedOn w:val="29"/>
    <w:semiHidden/>
    <w:unhideWhenUsed/>
    <w:qFormat/>
    <w:uiPriority w:val="99"/>
    <w:rPr>
      <w:sz w:val="21"/>
      <w:szCs w:val="21"/>
    </w:rPr>
  </w:style>
  <w:style w:type="character" w:styleId="35">
    <w:name w:val="footnote reference"/>
    <w:basedOn w:val="29"/>
    <w:unhideWhenUsed/>
    <w:qFormat/>
    <w:uiPriority w:val="0"/>
    <w:rPr>
      <w:vertAlign w:val="superscript"/>
    </w:rPr>
  </w:style>
  <w:style w:type="character" w:customStyle="1" w:styleId="36">
    <w:name w:val="标题 1 字符"/>
    <w:link w:val="2"/>
    <w:qFormat/>
    <w:uiPriority w:val="9"/>
    <w:rPr>
      <w:b/>
      <w:bCs/>
      <w:kern w:val="44"/>
      <w:sz w:val="44"/>
      <w:szCs w:val="44"/>
    </w:rPr>
  </w:style>
  <w:style w:type="character" w:customStyle="1" w:styleId="37">
    <w:name w:val="标题 2 字符"/>
    <w:basedOn w:val="29"/>
    <w:link w:val="3"/>
    <w:qFormat/>
    <w:uiPriority w:val="9"/>
    <w:rPr>
      <w:rFonts w:asciiTheme="majorHAnsi" w:hAnsiTheme="majorHAnsi" w:eastAsiaTheme="majorEastAsia" w:cstheme="majorBidi"/>
      <w:b/>
      <w:bCs/>
      <w:kern w:val="2"/>
      <w:sz w:val="32"/>
      <w:szCs w:val="32"/>
    </w:rPr>
  </w:style>
  <w:style w:type="character" w:customStyle="1" w:styleId="38">
    <w:name w:val="纯文本 字符"/>
    <w:link w:val="12"/>
    <w:qFormat/>
    <w:uiPriority w:val="99"/>
    <w:rPr>
      <w:rFonts w:ascii="宋体" w:hAnsi="Courier New" w:cs="Courier New"/>
      <w:szCs w:val="21"/>
    </w:rPr>
  </w:style>
  <w:style w:type="paragraph" w:styleId="39">
    <w:name w:val="List Paragraph"/>
    <w:basedOn w:val="1"/>
    <w:qFormat/>
    <w:uiPriority w:val="34"/>
    <w:pPr>
      <w:ind w:firstLine="420" w:firstLineChars="200"/>
    </w:pPr>
  </w:style>
  <w:style w:type="character" w:customStyle="1" w:styleId="40">
    <w:name w:val="文档结构图 字符"/>
    <w:basedOn w:val="29"/>
    <w:link w:val="8"/>
    <w:qFormat/>
    <w:uiPriority w:val="0"/>
    <w:rPr>
      <w:rFonts w:ascii="宋体" w:hAnsi="宋体" w:cs="宋体"/>
      <w:color w:val="000000" w:themeColor="text1"/>
      <w:kern w:val="2"/>
      <w:sz w:val="24"/>
      <w:szCs w:val="24"/>
      <w14:textFill>
        <w14:solidFill>
          <w14:schemeClr w14:val="tx1"/>
        </w14:solidFill>
      </w14:textFill>
    </w:rPr>
  </w:style>
  <w:style w:type="character" w:customStyle="1" w:styleId="41">
    <w:name w:val="批注文字 字符"/>
    <w:basedOn w:val="29"/>
    <w:link w:val="9"/>
    <w:qFormat/>
    <w:uiPriority w:val="99"/>
    <w:rPr>
      <w:rFonts w:ascii="宋体" w:hAnsi="宋体" w:cs="宋体"/>
      <w:color w:val="000000" w:themeColor="text1"/>
      <w:kern w:val="2"/>
      <w:sz w:val="21"/>
      <w:szCs w:val="21"/>
      <w14:textFill>
        <w14:solidFill>
          <w14:schemeClr w14:val="tx1"/>
        </w14:solidFill>
      </w14:textFill>
    </w:rPr>
  </w:style>
  <w:style w:type="character" w:customStyle="1" w:styleId="42">
    <w:name w:val="批注框文本 字符"/>
    <w:basedOn w:val="29"/>
    <w:link w:val="14"/>
    <w:qFormat/>
    <w:uiPriority w:val="99"/>
    <w:rPr>
      <w:rFonts w:ascii="宋体" w:hAnsi="宋体" w:cs="宋体"/>
      <w:color w:val="000000" w:themeColor="text1"/>
      <w:kern w:val="2"/>
      <w:sz w:val="18"/>
      <w:szCs w:val="18"/>
      <w14:textFill>
        <w14:solidFill>
          <w14:schemeClr w14:val="tx1"/>
        </w14:solidFill>
      </w14:textFill>
    </w:rPr>
  </w:style>
  <w:style w:type="character" w:customStyle="1" w:styleId="43">
    <w:name w:val="页脚 字符"/>
    <w:basedOn w:val="29"/>
    <w:link w:val="15"/>
    <w:qFormat/>
    <w:uiPriority w:val="0"/>
    <w:rPr>
      <w:rFonts w:ascii="宋体" w:hAnsi="宋体" w:cs="宋体"/>
      <w:color w:val="000000" w:themeColor="text1"/>
      <w:kern w:val="2"/>
      <w:sz w:val="18"/>
      <w:szCs w:val="18"/>
      <w14:textFill>
        <w14:solidFill>
          <w14:schemeClr w14:val="tx1"/>
        </w14:solidFill>
      </w14:textFill>
    </w:rPr>
  </w:style>
  <w:style w:type="character" w:customStyle="1" w:styleId="44">
    <w:name w:val="页眉 字符"/>
    <w:basedOn w:val="29"/>
    <w:link w:val="16"/>
    <w:qFormat/>
    <w:uiPriority w:val="0"/>
    <w:rPr>
      <w:rFonts w:ascii="宋体" w:hAnsi="宋体" w:cs="宋体"/>
      <w:color w:val="000000" w:themeColor="text1"/>
      <w:kern w:val="2"/>
      <w:sz w:val="18"/>
      <w:szCs w:val="18"/>
      <w14:textFill>
        <w14:solidFill>
          <w14:schemeClr w14:val="tx1"/>
        </w14:solidFill>
      </w14:textFill>
    </w:rPr>
  </w:style>
  <w:style w:type="character" w:customStyle="1" w:styleId="45">
    <w:name w:val="标题 字符"/>
    <w:basedOn w:val="29"/>
    <w:link w:val="25"/>
    <w:qFormat/>
    <w:uiPriority w:val="10"/>
    <w:rPr>
      <w:rFonts w:asciiTheme="majorHAnsi" w:hAnsiTheme="majorHAnsi" w:eastAsiaTheme="majorEastAsia" w:cstheme="majorBidi"/>
      <w:b/>
      <w:bCs/>
      <w:color w:val="000000" w:themeColor="text1"/>
      <w:kern w:val="2"/>
      <w:sz w:val="32"/>
      <w:szCs w:val="32"/>
      <w14:textFill>
        <w14:solidFill>
          <w14:schemeClr w14:val="tx1"/>
        </w14:solidFill>
      </w14:textFill>
    </w:rPr>
  </w:style>
  <w:style w:type="character" w:customStyle="1" w:styleId="46">
    <w:name w:val="批注主题 字符"/>
    <w:basedOn w:val="41"/>
    <w:link w:val="26"/>
    <w:semiHidden/>
    <w:qFormat/>
    <w:uiPriority w:val="99"/>
    <w:rPr>
      <w:rFonts w:ascii="宋体" w:hAnsi="宋体" w:cs="宋体"/>
      <w:b/>
      <w:bCs/>
      <w:color w:val="000000" w:themeColor="text1"/>
      <w:kern w:val="2"/>
      <w:sz w:val="21"/>
      <w:szCs w:val="21"/>
      <w14:textFill>
        <w14:solidFill>
          <w14:schemeClr w14:val="tx1"/>
        </w14:solidFill>
      </w14:textFill>
    </w:rPr>
  </w:style>
  <w:style w:type="table" w:customStyle="1" w:styleId="47">
    <w:name w:val="网格型1"/>
    <w:basedOn w:val="27"/>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8">
    <w:name w:val="脚注文本 字符"/>
    <w:basedOn w:val="29"/>
    <w:link w:val="20"/>
    <w:qFormat/>
    <w:uiPriority w:val="99"/>
    <w:rPr>
      <w:rFonts w:hint="eastAsia" w:ascii="宋体" w:hAnsi="宋体" w:eastAsia="宋体" w:cs="宋体"/>
      <w:kern w:val="2"/>
      <w:sz w:val="18"/>
      <w:szCs w:val="18"/>
    </w:rPr>
  </w:style>
  <w:style w:type="paragraph" w:customStyle="1" w:styleId="49">
    <w:name w:val="msolistparagraph"/>
    <w:basedOn w:val="1"/>
    <w:qFormat/>
    <w:uiPriority w:val="0"/>
    <w:pPr>
      <w:ind w:firstLine="420" w:firstLineChars="200"/>
    </w:pPr>
    <w:rPr>
      <w:rFonts w:hint="eastAsia" w:cs="Times New Roman"/>
      <w:sz w:val="24"/>
      <w:szCs w:val="24"/>
    </w:rPr>
  </w:style>
  <w:style w:type="character" w:customStyle="1" w:styleId="50">
    <w:name w:val="标题 3 字符"/>
    <w:basedOn w:val="29"/>
    <w:link w:val="4"/>
    <w:qFormat/>
    <w:uiPriority w:val="0"/>
    <w:rPr>
      <w:rFonts w:hint="eastAsia" w:ascii="宋体" w:hAnsi="宋体" w:eastAsia="宋体" w:cs="宋体"/>
      <w:b/>
      <w:kern w:val="2"/>
      <w:sz w:val="32"/>
      <w:szCs w:val="32"/>
    </w:rPr>
  </w:style>
  <w:style w:type="character" w:customStyle="1" w:styleId="51">
    <w:name w:val="页脚 字符1"/>
    <w:basedOn w:val="29"/>
    <w:semiHidden/>
    <w:qFormat/>
    <w:uiPriority w:val="99"/>
    <w:rPr>
      <w:rFonts w:ascii="Calibri" w:hAnsi="Calibri" w:eastAsia="宋体" w:cs="Times New Roman"/>
      <w:sz w:val="18"/>
      <w:szCs w:val="18"/>
    </w:rPr>
  </w:style>
  <w:style w:type="character" w:customStyle="1" w:styleId="52">
    <w:name w:val="批注框文本 字符1"/>
    <w:basedOn w:val="29"/>
    <w:semiHidden/>
    <w:qFormat/>
    <w:uiPriority w:val="99"/>
    <w:rPr>
      <w:rFonts w:ascii="宋体" w:hAnsi="Calibri" w:eastAsia="宋体" w:cs="Times New Roman"/>
      <w:sz w:val="18"/>
      <w:szCs w:val="18"/>
    </w:rPr>
  </w:style>
  <w:style w:type="character" w:customStyle="1" w:styleId="53">
    <w:name w:val="文档结构图 字符1"/>
    <w:basedOn w:val="29"/>
    <w:semiHidden/>
    <w:qFormat/>
    <w:uiPriority w:val="99"/>
    <w:rPr>
      <w:rFonts w:ascii="ACADEMY ENGRAVED LET PLAIN:1.0" w:hAnsi="ACADEMY ENGRAVED LET PLAIN:1.0" w:eastAsia="宋体" w:cs="Times New Roman"/>
      <w:sz w:val="26"/>
      <w:szCs w:val="26"/>
    </w:rPr>
  </w:style>
  <w:style w:type="character" w:customStyle="1" w:styleId="54">
    <w:name w:val="纯文本 字符1"/>
    <w:basedOn w:val="29"/>
    <w:semiHidden/>
    <w:qFormat/>
    <w:uiPriority w:val="99"/>
    <w:rPr>
      <w:rFonts w:hAnsi="Courier New" w:cs="Courier New" w:asciiTheme="minorEastAsia"/>
      <w:sz w:val="21"/>
    </w:rPr>
  </w:style>
  <w:style w:type="character" w:customStyle="1" w:styleId="55">
    <w:name w:val="脚注文本 字符1"/>
    <w:basedOn w:val="29"/>
    <w:semiHidden/>
    <w:qFormat/>
    <w:uiPriority w:val="99"/>
    <w:rPr>
      <w:rFonts w:ascii="Calibri" w:hAnsi="Calibri" w:eastAsia="宋体" w:cs="Times New Roman"/>
      <w:sz w:val="18"/>
      <w:szCs w:val="18"/>
    </w:rPr>
  </w:style>
  <w:style w:type="character" w:customStyle="1" w:styleId="56">
    <w:name w:val="页眉 字符1"/>
    <w:basedOn w:val="29"/>
    <w:semiHidden/>
    <w:qFormat/>
    <w:uiPriority w:val="99"/>
    <w:rPr>
      <w:rFonts w:ascii="Calibri" w:hAnsi="Calibri" w:eastAsia="宋体" w:cs="Times New Roman"/>
      <w:sz w:val="18"/>
      <w:szCs w:val="18"/>
    </w:rPr>
  </w:style>
  <w:style w:type="paragraph" w:customStyle="1" w:styleId="57">
    <w:name w:val="列出段落1"/>
    <w:basedOn w:val="1"/>
    <w:qFormat/>
    <w:uiPriority w:val="34"/>
    <w:pPr>
      <w:ind w:firstLine="420" w:firstLineChars="200"/>
    </w:pPr>
    <w:rPr>
      <w:rFonts w:ascii="Calibri" w:hAnsi="Calibri" w:cs="Times New Roman"/>
      <w:color w:val="auto"/>
      <w:szCs w:val="24"/>
    </w:rPr>
  </w:style>
  <w:style w:type="paragraph" w:customStyle="1" w:styleId="58">
    <w:name w:val="无间隔1"/>
    <w:qFormat/>
    <w:uiPriority w:val="1"/>
    <w:pPr>
      <w:widowControl w:val="0"/>
      <w:spacing w:after="160" w:line="278" w:lineRule="auto"/>
      <w:jc w:val="both"/>
    </w:pPr>
    <w:rPr>
      <w:rFonts w:ascii="Calibri" w:hAnsi="Calibri" w:eastAsia="宋体" w:cs="Times New Roman"/>
      <w:kern w:val="2"/>
      <w:sz w:val="21"/>
      <w:szCs w:val="24"/>
      <w:lang w:val="en-US" w:eastAsia="zh-CN" w:bidi="ar-SA"/>
    </w:rPr>
  </w:style>
  <w:style w:type="paragraph" w:customStyle="1" w:styleId="59">
    <w:name w:val="列出段落11"/>
    <w:basedOn w:val="1"/>
    <w:qFormat/>
    <w:uiPriority w:val="34"/>
    <w:pPr>
      <w:ind w:firstLine="420" w:firstLineChars="200"/>
    </w:pPr>
    <w:rPr>
      <w:rFonts w:ascii="Calibri" w:hAnsi="Calibri" w:cs="Times New Roman"/>
      <w:color w:val="auto"/>
      <w:szCs w:val="24"/>
    </w:rPr>
  </w:style>
  <w:style w:type="table" w:customStyle="1" w:styleId="60">
    <w:name w:val="Table Normal"/>
    <w:qFormat/>
    <w:uiPriority w:val="0"/>
    <w:rPr>
      <w:rFonts w:eastAsia="等线"/>
    </w:rPr>
    <w:tblPr>
      <w:tblCellMar>
        <w:top w:w="0" w:type="dxa"/>
        <w:left w:w="0" w:type="dxa"/>
        <w:bottom w:w="0" w:type="dxa"/>
        <w:right w:w="0" w:type="dxa"/>
      </w:tblCellMar>
    </w:tblPr>
  </w:style>
  <w:style w:type="character" w:customStyle="1" w:styleId="61">
    <w:name w:val="无"/>
    <w:qFormat/>
    <w:uiPriority w:val="0"/>
  </w:style>
  <w:style w:type="table" w:customStyle="1" w:styleId="62">
    <w:name w:val="Table Normal1"/>
    <w:qFormat/>
    <w:uiPriority w:val="0"/>
    <w:rPr>
      <w:rFonts w:eastAsiaTheme="minorEastAsia"/>
    </w:rPr>
    <w:tblPr>
      <w:tblCellMar>
        <w:top w:w="0" w:type="dxa"/>
        <w:left w:w="0" w:type="dxa"/>
        <w:bottom w:w="0" w:type="dxa"/>
        <w:right w:w="0" w:type="dxa"/>
      </w:tblCellMar>
    </w:tblPr>
  </w:style>
  <w:style w:type="character" w:customStyle="1" w:styleId="63">
    <w:name w:val="Hyperlink.1"/>
    <w:basedOn w:val="61"/>
    <w:qFormat/>
    <w:uiPriority w:val="0"/>
    <w:rPr>
      <w:rFonts w:ascii="宋体" w:hAnsi="宋体" w:eastAsia="宋体" w:cs="宋体"/>
      <w:color w:val="000000"/>
      <w:u w:color="000000"/>
      <w:lang w:val="zh-TW" w:eastAsia="zh-TW"/>
    </w:rPr>
  </w:style>
  <w:style w:type="paragraph" w:customStyle="1" w:styleId="64">
    <w:name w:val="正文 A"/>
    <w:qFormat/>
    <w:uiPriority w:val="0"/>
    <w:pPr>
      <w:widowControl w:val="0"/>
      <w:spacing w:after="160" w:line="278" w:lineRule="auto"/>
      <w:jc w:val="both"/>
    </w:pPr>
    <w:rPr>
      <w:rFonts w:ascii="Calibri" w:hAnsi="Calibri" w:eastAsia="Arial Unicode MS" w:cs="Arial Unicode MS"/>
      <w:color w:val="000000"/>
      <w:kern w:val="2"/>
      <w:sz w:val="21"/>
      <w:szCs w:val="21"/>
      <w:u w:color="000000"/>
      <w:lang w:val="en-US" w:eastAsia="zh-CN" w:bidi="ar-SA"/>
    </w:rPr>
  </w:style>
  <w:style w:type="paragraph" w:customStyle="1" w:styleId="65">
    <w:name w:val="表格标题1"/>
    <w:basedOn w:val="1"/>
    <w:qFormat/>
    <w:uiPriority w:val="0"/>
    <w:pPr>
      <w:tabs>
        <w:tab w:val="left" w:pos="420"/>
      </w:tabs>
      <w:spacing w:before="10" w:beforeLines="10" w:after="20" w:afterLines="20" w:line="280" w:lineRule="exact"/>
      <w:jc w:val="center"/>
    </w:pPr>
    <w:rPr>
      <w:rFonts w:eastAsia="汉仪中黑简"/>
      <w:color w:val="FF0000"/>
      <w:sz w:val="20"/>
    </w:rPr>
  </w:style>
  <w:style w:type="character" w:customStyle="1" w:styleId="66">
    <w:name w:val="标题 4 字符"/>
    <w:basedOn w:val="29"/>
    <w:link w:val="5"/>
    <w:semiHidden/>
    <w:qFormat/>
    <w:uiPriority w:val="9"/>
    <w:rPr>
      <w:rFonts w:asciiTheme="majorHAnsi" w:hAnsiTheme="majorHAnsi" w:eastAsiaTheme="majorEastAsia" w:cstheme="majorBidi"/>
      <w:b/>
      <w:bCs/>
      <w:color w:val="000000" w:themeColor="text1"/>
      <w:kern w:val="2"/>
      <w:sz w:val="28"/>
      <w:szCs w:val="28"/>
      <w14:textFill>
        <w14:solidFill>
          <w14:schemeClr w14:val="tx1"/>
        </w14:solidFill>
      </w14:textFill>
    </w:rPr>
  </w:style>
  <w:style w:type="character" w:customStyle="1" w:styleId="67">
    <w:name w:val="副标题 字符"/>
    <w:basedOn w:val="29"/>
    <w:link w:val="19"/>
    <w:qFormat/>
    <w:uiPriority w:val="11"/>
    <w:rPr>
      <w:rFonts w:asciiTheme="minorHAnsi" w:hAnsiTheme="minorHAnsi" w:eastAsiaTheme="minorEastAsia" w:cstheme="minorBidi"/>
      <w:b/>
      <w:bCs/>
      <w:color w:val="000000" w:themeColor="text1"/>
      <w:kern w:val="28"/>
      <w:sz w:val="32"/>
      <w:szCs w:val="32"/>
      <w14:textFill>
        <w14:solidFill>
          <w14:schemeClr w14:val="tx1"/>
        </w14:solidFill>
      </w14:textFill>
    </w:rPr>
  </w:style>
  <w:style w:type="character" w:customStyle="1" w:styleId="68">
    <w:name w:val="样式1 字符"/>
    <w:link w:val="69"/>
    <w:qFormat/>
    <w:uiPriority w:val="0"/>
    <w:rPr>
      <w:rFonts w:ascii="黑体" w:hAnsi="黑体" w:eastAsia="黑体" w:cs="黑体"/>
      <w:kern w:val="2"/>
      <w:sz w:val="17"/>
      <w:szCs w:val="17"/>
    </w:rPr>
  </w:style>
  <w:style w:type="paragraph" w:customStyle="1" w:styleId="69">
    <w:name w:val="样式1"/>
    <w:basedOn w:val="1"/>
    <w:link w:val="68"/>
    <w:qFormat/>
    <w:uiPriority w:val="0"/>
    <w:pPr>
      <w:spacing w:line="207" w:lineRule="exact"/>
      <w:jc w:val="left"/>
    </w:pPr>
    <w:rPr>
      <w:rFonts w:ascii="黑体" w:hAnsi="黑体" w:eastAsia="黑体" w:cs="黑体"/>
      <w:color w:val="auto"/>
      <w:sz w:val="17"/>
      <w:szCs w:val="17"/>
    </w:rPr>
  </w:style>
  <w:style w:type="character" w:customStyle="1" w:styleId="70">
    <w:name w:val="标题 5 字符"/>
    <w:basedOn w:val="29"/>
    <w:link w:val="6"/>
    <w:qFormat/>
    <w:uiPriority w:val="0"/>
    <w:rPr>
      <w:rFonts w:ascii="Calibri" w:hAnsi="Calibri"/>
      <w:b/>
      <w:bCs/>
      <w:kern w:val="2"/>
      <w:sz w:val="28"/>
      <w:szCs w:val="28"/>
    </w:rPr>
  </w:style>
  <w:style w:type="paragraph" w:customStyle="1" w:styleId="71">
    <w:name w:val="列表段落1"/>
    <w:basedOn w:val="1"/>
    <w:qFormat/>
    <w:uiPriority w:val="34"/>
    <w:pPr>
      <w:ind w:firstLine="420" w:firstLineChars="200"/>
    </w:pPr>
    <w:rPr>
      <w:rFonts w:asciiTheme="minorHAnsi" w:hAnsiTheme="minorHAnsi" w:eastAsiaTheme="minorEastAsia" w:cstheme="minorBidi"/>
      <w:color w:val="auto"/>
      <w:szCs w:val="22"/>
    </w:rPr>
  </w:style>
  <w:style w:type="character" w:customStyle="1" w:styleId="72">
    <w:name w:val="未处理的提及1"/>
    <w:basedOn w:val="29"/>
    <w:semiHidden/>
    <w:unhideWhenUsed/>
    <w:qFormat/>
    <w:uiPriority w:val="99"/>
    <w:rPr>
      <w:color w:val="605E5C"/>
      <w:shd w:val="clear" w:color="auto" w:fill="E1DFDD"/>
    </w:rPr>
  </w:style>
  <w:style w:type="character" w:customStyle="1" w:styleId="73">
    <w:name w:val="未处理的提及2"/>
    <w:basedOn w:val="29"/>
    <w:semiHidden/>
    <w:unhideWhenUsed/>
    <w:qFormat/>
    <w:uiPriority w:val="99"/>
    <w:rPr>
      <w:color w:val="605E5C"/>
      <w:shd w:val="clear" w:color="auto" w:fill="E1DFDD"/>
    </w:rPr>
  </w:style>
  <w:style w:type="table" w:customStyle="1" w:styleId="74">
    <w:name w:val="网格型2"/>
    <w:basedOn w:val="27"/>
    <w:qFormat/>
    <w:uiPriority w:val="0"/>
    <w:pPr>
      <w:spacing w:after="0" w:line="240" w:lineRule="auto"/>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11"/>
    <w:basedOn w:val="27"/>
    <w:qFormat/>
    <w:uiPriority w:val="0"/>
    <w:pPr>
      <w:spacing w:after="0" w:line="240" w:lineRule="auto"/>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Table Normal2"/>
    <w:qFormat/>
    <w:uiPriority w:val="0"/>
    <w:pPr>
      <w:spacing w:after="0" w:line="240" w:lineRule="auto"/>
    </w:pPr>
    <w:rPr>
      <w:rFonts w:eastAsia="等线"/>
    </w:rPr>
    <w:tblPr>
      <w:tblCellMar>
        <w:top w:w="0" w:type="dxa"/>
        <w:left w:w="0" w:type="dxa"/>
        <w:bottom w:w="0" w:type="dxa"/>
        <w:right w:w="0" w:type="dxa"/>
      </w:tblCellMar>
    </w:tblPr>
  </w:style>
  <w:style w:type="table" w:customStyle="1" w:styleId="77">
    <w:name w:val="Table Normal11"/>
    <w:qFormat/>
    <w:uiPriority w:val="0"/>
    <w:pPr>
      <w:spacing w:after="0" w:line="240" w:lineRule="auto"/>
    </w:pPr>
    <w:rPr>
      <w:rFonts w:eastAsiaTheme="minorEastAsia"/>
    </w:rPr>
    <w:tblPr>
      <w:tblCellMar>
        <w:top w:w="0" w:type="dxa"/>
        <w:left w:w="0" w:type="dxa"/>
        <w:bottom w:w="0" w:type="dxa"/>
        <w:right w:w="0" w:type="dxa"/>
      </w:tblCellMar>
    </w:tblPr>
  </w:style>
  <w:style w:type="character" w:customStyle="1" w:styleId="78">
    <w:name w:val="Unresolved Mention"/>
    <w:basedOn w:val="2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EF7D8D-3A44-4765-8B2A-718795FD185E}">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40</Lines>
  <Paragraphs>11</Paragraphs>
  <TotalTime>15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2021-06-07T08:31:00Z</dcterms:created>
  <dc:creator>Microsoft Office 用户</dc:creator>
  <cp:lastModifiedBy>杨智卓</cp:lastModifiedBy>
  <cp:lastPrinted>2026-08-20T02:56:00Z</cp:lastPrinted>
  <dcterms:modified xsi:type="dcterms:W3CDTF">2026-09-09T12:32:58Z</dcterms:modified>
  <cp:revision>707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eyJoZGlkIjoiMzU1Yzg5MTNmMDUxMzE3MmE5ZDg2NDI0NjZlNWY3YjMiLCJ1c2VySWQiOiIzMzg4NjcxODYifQ==</vt:lpwstr>
  </property>
  <property fmtid="{D5CDD505-2E9C-101B-9397-08002B2CF9AE}" pid="4" name="ICV">
    <vt:lpwstr>4184F5F2B9F94201A2F77E805E66B31C_13</vt:lpwstr>
  </property>
</Properties>
</file>