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91F8F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bookmarkStart w:id="0" w:name="_Toc236829116"/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预测考点1  司法公正</w:t>
      </w:r>
      <w:bookmarkEnd w:id="0"/>
    </w:p>
    <w:p w14:paraId="557BB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1．司法公正的构成要素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（1）司法活动的</w:t>
      </w:r>
      <w:r>
        <w:rPr>
          <w:rFonts w:hint="eastAsia"/>
          <w:b/>
          <w:bCs/>
          <w:color w:val="FF0000"/>
        </w:rPr>
        <w:t>合法性</w:t>
      </w:r>
      <w:r>
        <w:rPr>
          <w:rFonts w:hint="eastAsia"/>
        </w:rPr>
        <w:t>；（2）司法人员的</w:t>
      </w:r>
      <w:r>
        <w:rPr>
          <w:rFonts w:hint="eastAsia"/>
          <w:b/>
          <w:bCs/>
          <w:color w:val="FF0000"/>
        </w:rPr>
        <w:t>中立性</w:t>
      </w:r>
      <w:r>
        <w:rPr>
          <w:rFonts w:hint="eastAsia"/>
          <w:b/>
          <w:bCs/>
          <w:color w:val="4472C4" w:themeColor="accent1"/>
          <w:lang w:eastAsia="zh-CN"/>
          <w14:textFill>
            <w14:solidFill>
              <w14:schemeClr w14:val="accent1"/>
            </w14:solidFill>
          </w14:textFill>
        </w:rPr>
        <w:t>（</w:t>
      </w:r>
      <w:r>
        <w:rPr>
          <w:rFonts w:hint="eastAsia"/>
          <w:b/>
          <w:bCs/>
          <w:color w:val="4472C4" w:themeColor="accent1"/>
          <w:lang w:val="en-US" w:eastAsia="zh-CN"/>
          <w14:textFill>
            <w14:solidFill>
              <w14:schemeClr w14:val="accent1"/>
            </w14:solidFill>
          </w14:textFill>
        </w:rPr>
        <w:t>主要体现在回避</w:t>
      </w:r>
      <w:r>
        <w:rPr>
          <w:rFonts w:hint="eastAsia"/>
          <w:b/>
          <w:bCs/>
          <w:color w:val="4472C4" w:themeColor="accent1"/>
          <w:lang w:eastAsia="zh-CN"/>
          <w14:textFill>
            <w14:solidFill>
              <w14:schemeClr w14:val="accent1"/>
            </w14:solidFill>
          </w14:textFill>
        </w:rPr>
        <w:t>）</w:t>
      </w:r>
      <w:r>
        <w:rPr>
          <w:rFonts w:hint="eastAsia"/>
        </w:rPr>
        <w:t>；（3）司法活动的</w:t>
      </w:r>
      <w:r>
        <w:rPr>
          <w:rFonts w:hint="eastAsia"/>
          <w:b/>
          <w:bCs/>
        </w:rPr>
        <w:t>公开性</w:t>
      </w:r>
      <w:r>
        <w:rPr>
          <w:rFonts w:hint="eastAsia"/>
        </w:rPr>
        <w:t>；（4）当事人地位的</w:t>
      </w:r>
      <w:r>
        <w:rPr>
          <w:rFonts w:hint="eastAsia"/>
          <w:b/>
          <w:bCs/>
        </w:rPr>
        <w:t>平等性</w:t>
      </w:r>
      <w:r>
        <w:rPr>
          <w:rFonts w:hint="eastAsia"/>
        </w:rPr>
        <w:t>；（5）司法程序的</w:t>
      </w:r>
      <w:r>
        <w:rPr>
          <w:rFonts w:hint="eastAsia"/>
          <w:b/>
          <w:bCs/>
        </w:rPr>
        <w:t>参与性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交涉性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</w:rPr>
        <w:t>；（6）司法结果的</w:t>
      </w:r>
      <w:r>
        <w:rPr>
          <w:rFonts w:hint="eastAsia"/>
          <w:b/>
          <w:bCs/>
        </w:rPr>
        <w:t>正确性</w:t>
      </w:r>
      <w:r>
        <w:rPr>
          <w:rFonts w:hint="eastAsia"/>
        </w:rPr>
        <w:t>；（7）司法人员的</w:t>
      </w:r>
      <w:r>
        <w:rPr>
          <w:rFonts w:hint="eastAsia"/>
          <w:b/>
          <w:bCs/>
        </w:rPr>
        <w:t>廉洁性。</w:t>
      </w:r>
    </w:p>
    <w:p w14:paraId="1B4F6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2．司法公正和司法效率的关系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坚持“</w:t>
      </w:r>
      <w:r>
        <w:rPr>
          <w:rFonts w:hint="eastAsia"/>
          <w:b/>
          <w:bCs/>
          <w:color w:val="4472C4" w:themeColor="accent1"/>
          <w14:textFill>
            <w14:solidFill>
              <w14:schemeClr w14:val="accent1"/>
            </w14:solidFill>
          </w14:textFill>
        </w:rPr>
        <w:t>公正优先</w:t>
      </w:r>
      <w:r>
        <w:rPr>
          <w:rFonts w:hint="eastAsia"/>
        </w:rPr>
        <w:t>，</w:t>
      </w:r>
      <w:r>
        <w:rPr>
          <w:rFonts w:hint="eastAsia"/>
          <w:b/>
          <w:bCs/>
        </w:rPr>
        <w:t>兼顾效率</w:t>
      </w:r>
      <w:r>
        <w:rPr>
          <w:rFonts w:hint="eastAsia"/>
        </w:rPr>
        <w:t>”原则。</w:t>
      </w:r>
    </w:p>
    <w:p w14:paraId="5AF488DA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bookmarkStart w:id="1" w:name="_Toc236829117"/>
    </w:p>
    <w:p w14:paraId="0304126C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预测考点2  法律职业道德</w:t>
      </w:r>
      <w:bookmarkEnd w:id="1"/>
    </w:p>
    <w:p w14:paraId="1BE7A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 w:eastAsia="宋体"/>
          <w:lang w:eastAsia="zh-CN"/>
        </w:rPr>
      </w:pPr>
      <w:r>
        <w:rPr>
          <w:rFonts w:hint="eastAsia"/>
          <w:b/>
          <w:bCs/>
        </w:rPr>
        <w:t>1．准确理解法律职业道德的主要特征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  <w:b/>
          <w:bCs/>
        </w:rPr>
        <w:t>政治性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首要特征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</w:rPr>
        <w:t>、职业性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特殊业外行为也会纳入评价体系内，一般都是职业内的</w:t>
      </w:r>
      <w:r>
        <w:rPr>
          <w:rFonts w:hint="eastAsia"/>
          <w:lang w:eastAsia="zh-CN"/>
        </w:rPr>
        <w:t>）</w:t>
      </w:r>
      <w:r>
        <w:rPr>
          <w:rFonts w:hint="eastAsia"/>
        </w:rPr>
        <w:t>、实践性、正式性、更高性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要求高、法律后果严</w:t>
      </w:r>
      <w:r>
        <w:rPr>
          <w:rFonts w:hint="eastAsia"/>
          <w:lang w:eastAsia="zh-CN"/>
        </w:rPr>
        <w:t>）</w:t>
      </w:r>
    </w:p>
    <w:p w14:paraId="21EE3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2．准确把握法律职业道德的基本原则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建议将七类法律职业人员的职业道德进行对比把握</w:t>
      </w:r>
    </w:p>
    <w:p w14:paraId="56DB2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（1）忠于党、忠于国家、忠于人民、忠于法律（首要原则）；（2）以事实为根据，以法律为准绳；（3）</w:t>
      </w:r>
      <w:r>
        <w:rPr>
          <w:rFonts w:hint="eastAsia"/>
          <w:b/>
          <w:bCs/>
          <w:color w:val="FF0000"/>
        </w:rPr>
        <w:t>严明纪律，保守秘密（共同要求）；</w:t>
      </w:r>
      <w:r>
        <w:rPr>
          <w:rFonts w:hint="eastAsia"/>
        </w:rPr>
        <w:t>（4）互相尊重，互相配合；（5）恪尽职守，勤勉尽责；（6）清正廉洁，遵纪守法（律师和法律顾问无此规定）。</w:t>
      </w:r>
    </w:p>
    <w:p w14:paraId="7820C813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bookmarkStart w:id="2" w:name="_Toc236829118"/>
    </w:p>
    <w:p w14:paraId="308AEED3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预测考点3  审判机关</w:t>
      </w:r>
      <w:bookmarkEnd w:id="2"/>
    </w:p>
    <w:p w14:paraId="7C1C2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1．法院的设置和职权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基层法院对人民调解委员会的调解工作进行业务指导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中级以上法院是不管指导的）</w:t>
      </w:r>
      <w:r>
        <w:rPr>
          <w:rFonts w:hint="eastAsia"/>
        </w:rPr>
        <w:t>；法官员额较少的中级法院和基层法院，可以设综合审判庭或者不设审判庭。</w:t>
      </w:r>
    </w:p>
    <w:p w14:paraId="5E9AE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2．审委会的类型、议事规则、启动程序、决定效力、责任承担等</w:t>
      </w:r>
    </w:p>
    <w:p w14:paraId="7788D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分为全体会议和专业委员会会议</w:t>
      </w:r>
      <w:r>
        <w:rPr>
          <w:rFonts w:hint="eastAsia"/>
          <w:b/>
          <w:bCs/>
          <w:color w:val="FF0000"/>
        </w:rPr>
        <w:t>（中院以上）</w:t>
      </w:r>
      <w:r>
        <w:rPr>
          <w:rFonts w:hint="eastAsia"/>
        </w:rPr>
        <w:t>；</w:t>
      </w:r>
      <w:r>
        <w:rPr>
          <w:rFonts w:hint="eastAsia"/>
          <w:b/>
          <w:bCs/>
        </w:rPr>
        <w:t>院长才有权决定提交审委会讨论</w:t>
      </w:r>
      <w:r>
        <w:rPr>
          <w:rFonts w:hint="eastAsia"/>
        </w:rPr>
        <w:t>；主持会议可由院长或者其委托的副院长；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审委会的决议</w:t>
      </w:r>
      <w:r>
        <w:rPr>
          <w:rFonts w:hint="eastAsia"/>
          <w:lang w:eastAsia="zh-CN"/>
        </w:rPr>
        <w:t>）</w:t>
      </w:r>
      <w:r>
        <w:rPr>
          <w:rFonts w:hint="eastAsia"/>
        </w:rPr>
        <w:t>应当执行；各负其责。</w:t>
      </w:r>
    </w:p>
    <w:p w14:paraId="4AD4509D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</w:p>
    <w:p w14:paraId="4E256DCD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bookmarkStart w:id="3" w:name="_Toc236829119"/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预测考点4  法官</w:t>
      </w:r>
      <w:bookmarkEnd w:id="3"/>
    </w:p>
    <w:p w14:paraId="10195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1．法官任职禁止条件和限制条件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（1）因犯罪受过刑事处罚；（2）被开除公职；（3）被吊销律师、公证员执业证书或者被仲裁委员会除名。法官不得兼任人民代表大会常务委员会的组成人员，不得兼任行政机关、监察机关、检察机关的职务，不得兼任企业或者其他营利性组织、事业单位的职务，不得兼任律师、仲裁员和公证员。</w:t>
      </w:r>
    </w:p>
    <w:p w14:paraId="74113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  <w:b/>
          <w:bCs/>
          <w:lang w:eastAsia="zh-CN"/>
        </w:rPr>
      </w:pPr>
      <w:r>
        <w:rPr>
          <w:rFonts w:hint="eastAsia"/>
          <w:b/>
          <w:bCs/>
        </w:rPr>
        <w:t>2．法官任职回避规定</w:t>
      </w:r>
      <w:r>
        <w:rPr>
          <w:rFonts w:hint="eastAsia"/>
          <w:b/>
          <w:bCs/>
          <w:lang w:eastAsia="zh-CN"/>
        </w:rPr>
        <w:t>：</w:t>
      </w:r>
    </w:p>
    <w:p w14:paraId="588AC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法官之间有</w:t>
      </w:r>
      <w:r>
        <w:rPr>
          <w:rFonts w:hint="eastAsia"/>
          <w:b/>
          <w:bCs/>
        </w:rPr>
        <w:t>夫妻关系、直系血亲关系、三代以内旁系血亲以及近姻亲关系的</w:t>
      </w:r>
      <w:r>
        <w:rPr>
          <w:rFonts w:hint="eastAsia"/>
        </w:rPr>
        <w:t>，不得同时担任：（1）同一法院的院长、副院长、审判委员会委员、庭长、副庭长；（2）同一法院的院长、副院长和审判员；（3）同一审判庭的庭长、副庭长和审判员；（4）上下相邻两级法院的院长、副院长。</w:t>
      </w:r>
    </w:p>
    <w:p w14:paraId="5FE0C0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法官的配偶、父母、子女有下列情形之一的，法官应当实行任职回避</w:t>
      </w:r>
      <w:r>
        <w:rPr>
          <w:rFonts w:hint="eastAsia"/>
        </w:rPr>
        <w:t>：担任其任职法院辖区内律所的合伙人或者设立人、在其任职法院辖区内</w:t>
      </w:r>
      <w:r>
        <w:rPr>
          <w:rFonts w:hint="eastAsia"/>
          <w:b/>
          <w:bCs/>
          <w:color w:val="FF0000"/>
        </w:rPr>
        <w:t>以律师身份</w:t>
      </w:r>
      <w:r>
        <w:rPr>
          <w:rFonts w:hint="eastAsia"/>
        </w:rPr>
        <w:t>担任诉讼代理人、辩护人，或者为诉讼案件当事人提供其他有偿法律服务。</w:t>
      </w:r>
    </w:p>
    <w:p w14:paraId="62CDC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 w:eastAsia="宋体"/>
          <w:lang w:eastAsia="zh-CN"/>
        </w:rPr>
      </w:pPr>
      <w:r>
        <w:rPr>
          <w:rFonts w:hint="eastAsia"/>
          <w:b/>
          <w:bCs/>
        </w:rPr>
        <w:t>3．法院设置的各类委员会的组成及职能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惩戒委员会和遴选委员会只在</w:t>
      </w:r>
      <w:r>
        <w:rPr>
          <w:rFonts w:hint="eastAsia"/>
          <w:b/>
          <w:bCs/>
          <w:color w:val="FF0000"/>
        </w:rPr>
        <w:t>最高院</w:t>
      </w:r>
      <w:r>
        <w:rPr>
          <w:rFonts w:hint="eastAsia"/>
        </w:rPr>
        <w:t>和</w:t>
      </w:r>
      <w:r>
        <w:rPr>
          <w:rFonts w:hint="eastAsia"/>
          <w:b/>
          <w:bCs/>
          <w:color w:val="FF0000"/>
        </w:rPr>
        <w:t>高院</w:t>
      </w:r>
      <w:r>
        <w:rPr>
          <w:rFonts w:hint="eastAsia"/>
        </w:rPr>
        <w:t>设立，考评委员会主任由</w:t>
      </w:r>
      <w:r>
        <w:rPr>
          <w:rFonts w:hint="eastAsia"/>
          <w:b/>
          <w:bCs/>
          <w:color w:val="FF0000"/>
        </w:rPr>
        <w:t>院长</w:t>
      </w:r>
      <w:r>
        <w:rPr>
          <w:rFonts w:hint="eastAsia"/>
        </w:rPr>
        <w:t>担任。</w:t>
      </w:r>
      <w:r>
        <w:rPr>
          <w:rFonts w:hint="eastAsia"/>
          <w:b/>
          <w:bCs/>
          <w:color w:val="4472C4" w:themeColor="accent1"/>
          <w:lang w:eastAsia="zh-CN"/>
          <w14:textFill>
            <w14:solidFill>
              <w14:schemeClr w14:val="accent1"/>
            </w14:solidFill>
          </w14:textFill>
        </w:rPr>
        <w:t>（</w:t>
      </w:r>
      <w:r>
        <w:rPr>
          <w:rFonts w:hint="eastAsia"/>
          <w:b/>
          <w:bCs/>
          <w:color w:val="4472C4" w:themeColor="accent1"/>
          <w:lang w:val="en-US" w:eastAsia="zh-CN"/>
          <w14:textFill>
            <w14:solidFill>
              <w14:schemeClr w14:val="accent1"/>
            </w14:solidFill>
          </w14:textFill>
        </w:rPr>
        <w:t>权益保障委员会没有规定</w:t>
      </w:r>
      <w:r>
        <w:rPr>
          <w:rFonts w:hint="eastAsia"/>
          <w:b/>
          <w:bCs/>
          <w:color w:val="4472C4" w:themeColor="accent1"/>
          <w:lang w:eastAsia="zh-CN"/>
          <w14:textFill>
            <w14:solidFill>
              <w14:schemeClr w14:val="accent1"/>
            </w14:solidFill>
          </w14:textFill>
        </w:rPr>
        <w:t>）</w:t>
      </w:r>
    </w:p>
    <w:p w14:paraId="213BB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  <w:b/>
          <w:bCs/>
          <w:color w:val="FF0000"/>
        </w:rPr>
      </w:pPr>
      <w:r>
        <w:rPr>
          <w:rFonts w:hint="eastAsia"/>
          <w:b/>
          <w:bCs/>
        </w:rPr>
        <w:t>4．法官惩戒程序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法官</w:t>
      </w:r>
      <w:r>
        <w:rPr>
          <w:rFonts w:hint="eastAsia"/>
          <w:b/>
          <w:bCs/>
          <w:color w:val="FF0000"/>
        </w:rPr>
        <w:t>惩戒委员会仅负责出具意见，惩戒决定应由法院作出。</w:t>
      </w:r>
    </w:p>
    <w:p w14:paraId="1600A045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bookmarkStart w:id="4" w:name="_Toc236829120"/>
    </w:p>
    <w:p w14:paraId="37AE59DD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预测考点5  检察机关</w:t>
      </w:r>
      <w:bookmarkEnd w:id="4"/>
    </w:p>
    <w:p w14:paraId="4B9F8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  <w:b/>
          <w:bCs/>
          <w:lang w:eastAsia="zh-CN"/>
        </w:rPr>
      </w:pPr>
      <w:r>
        <w:rPr>
          <w:rFonts w:hint="eastAsia"/>
          <w:b/>
          <w:bCs/>
        </w:rPr>
        <w:t>1．检察院内设机构的设立程序</w:t>
      </w:r>
      <w:r>
        <w:rPr>
          <w:rFonts w:hint="eastAsia"/>
          <w:b/>
          <w:bCs/>
          <w:lang w:eastAsia="zh-CN"/>
        </w:rPr>
        <w:t>：</w:t>
      </w:r>
    </w:p>
    <w:p w14:paraId="3151A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设立派出机构（基层院无权）：</w:t>
      </w:r>
      <w:r>
        <w:rPr>
          <w:rFonts w:hint="eastAsia"/>
          <w:b/>
          <w:bCs/>
          <w:color w:val="FF0000"/>
        </w:rPr>
        <w:t>最高检和省级有关部门同意</w:t>
      </w:r>
      <w:r>
        <w:rPr>
          <w:rFonts w:hint="eastAsia"/>
        </w:rPr>
        <w:t>+</w:t>
      </w:r>
      <w:r>
        <w:rPr>
          <w:rFonts w:hint="eastAsia"/>
          <w:b/>
          <w:bCs/>
          <w:color w:val="FF0000"/>
        </w:rPr>
        <w:t>提请本级人大常委会批准。</w:t>
      </w:r>
    </w:p>
    <w:p w14:paraId="2498A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0" w:firstLineChars="200"/>
        <w:textAlignment w:val="auto"/>
        <w:rPr>
          <w:rFonts w:hint="eastAsia"/>
          <w:b/>
          <w:bCs/>
        </w:rPr>
      </w:pPr>
      <w:r>
        <w:rPr>
          <w:rFonts w:hint="eastAsia"/>
        </w:rPr>
        <w:t>设立监所检察室：</w:t>
      </w:r>
      <w:r>
        <w:rPr>
          <w:rFonts w:hint="eastAsia"/>
          <w:b/>
          <w:bCs/>
        </w:rPr>
        <w:t>省级由最高检和省级有关部门同意</w:t>
      </w:r>
      <w:r>
        <w:rPr>
          <w:rFonts w:hint="eastAsia"/>
        </w:rPr>
        <w:t>；设区的市和基层：</w:t>
      </w:r>
      <w:r>
        <w:rPr>
          <w:rFonts w:hint="eastAsia"/>
          <w:b/>
          <w:bCs/>
        </w:rPr>
        <w:t>省级检察院和省级有关部门同意。</w:t>
      </w:r>
    </w:p>
    <w:p w14:paraId="1E155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2．检察院行使职权的措施及方式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  <w:b/>
          <w:bCs/>
        </w:rPr>
        <w:t>抗诉、提出纠正意见和检察建议</w:t>
      </w:r>
      <w:r>
        <w:rPr>
          <w:rFonts w:hint="eastAsia"/>
        </w:rPr>
        <w:t>。</w:t>
      </w:r>
    </w:p>
    <w:p w14:paraId="7E631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3．检察院办案组运行机制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重大办案事项由检察长决定，检察长可以将部分职权委托检察官行使。</w:t>
      </w:r>
    </w:p>
    <w:p w14:paraId="53277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4．检委会的议事程序、分歧处理、决定效力等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  <w:b/>
          <w:bCs/>
          <w:color w:val="0070C0"/>
        </w:rPr>
        <w:t>不存在专业委员会会议</w:t>
      </w:r>
      <w:r>
        <w:rPr>
          <w:rFonts w:hint="eastAsia"/>
        </w:rPr>
        <w:t>；检察长与检委会多数意见不一致的处理方式；检察长才有权决定提交检委会讨论；主持会议可由检察长或者其委托的副检察长；应当执行；各负其责。</w:t>
      </w:r>
    </w:p>
    <w:p w14:paraId="723F5387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</w:p>
    <w:p w14:paraId="0BFB75B4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bookmarkStart w:id="5" w:name="_Toc236829121"/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预测考点6  检察官</w:t>
      </w:r>
      <w:bookmarkEnd w:id="5"/>
    </w:p>
    <w:p w14:paraId="0E50D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1．检察官任职的禁止条件和限制条件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（1）因犯罪受过刑事处罚；（2）被开除公职；（3）被吊销律师、公证员执业证书或者被仲裁委员会除名。检察官不得兼任人民代表大会常务委员会的组成人员，不得兼任行政机关、监察机关、审判机关的职务，不得兼任企业或者其他营利性组织、事业单位的职务，不得兼任律师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包括公职律师</w:t>
      </w:r>
      <w:r>
        <w:rPr>
          <w:rFonts w:hint="eastAsia"/>
          <w:lang w:eastAsia="zh-CN"/>
        </w:rPr>
        <w:t>）</w:t>
      </w:r>
      <w:r>
        <w:rPr>
          <w:rFonts w:hint="eastAsia"/>
        </w:rPr>
        <w:t>、仲裁员和公证员。</w:t>
      </w:r>
    </w:p>
    <w:p w14:paraId="4D5F6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 w:eastAsia="宋体"/>
          <w:b/>
          <w:bCs/>
          <w:lang w:eastAsia="zh-CN"/>
        </w:rPr>
      </w:pPr>
      <w:r>
        <w:rPr>
          <w:rFonts w:hint="eastAsia"/>
          <w:b/>
          <w:bCs/>
        </w:rPr>
        <w:t>2．检察官任职回避规定</w:t>
      </w:r>
      <w:r>
        <w:rPr>
          <w:rFonts w:hint="eastAsia"/>
          <w:b/>
          <w:bCs/>
          <w:lang w:eastAsia="zh-CN"/>
        </w:rPr>
        <w:t>：</w:t>
      </w:r>
    </w:p>
    <w:p w14:paraId="61165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检察官之间有夫妻关系、直系血亲关系、三代以内旁系血亲以及近姻亲关系的，不得同时担任：（1）同一人民检察院的检察长、副检察长、检察委员会委员；（2）同一人民检察院的检察长、副检察长和检察员；（3）同一业务部门的检察员；（4）上下相邻两级人民检察院的检察长、副检察长。</w:t>
      </w:r>
    </w:p>
    <w:p w14:paraId="30B31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检察官的配偶、父母、子女有下列情形之一的，检察官应当实行任职回避：担任其任职检察院辖区内律所的合伙人或者设立人、在其任职检察院辖区内以律师身份担任诉讼代理人、辩护人，或者为诉讼案件当事人提供其他有偿法律服务。</w:t>
      </w:r>
    </w:p>
    <w:p w14:paraId="07FDA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3．检察院设置的各类委员会的组成及职能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惩戒委员会和遴选委员会只在最高检和省级检察院设立，考评委员会主任由检察长担任。</w:t>
      </w:r>
    </w:p>
    <w:p w14:paraId="2916C169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</w:p>
    <w:p w14:paraId="4A11C6C6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bookmarkStart w:id="6" w:name="_Toc236829122"/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预测考点7  律师</w:t>
      </w:r>
      <w:bookmarkEnd w:id="6"/>
    </w:p>
    <w:p w14:paraId="71AE3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1．律师执业的禁止条件和限制条件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（1）无民事行为能力或者限制民事行为能力；（2）受过刑事处罚的，但过失犯罪的除外；（3）被开除公职或者被吊销律师、公证员执业证书。公务员不得兼任</w:t>
      </w:r>
      <w:r>
        <w:rPr>
          <w:rFonts w:hint="eastAsia"/>
          <w:b/>
          <w:bCs/>
          <w:color w:val="FF0000"/>
        </w:rPr>
        <w:t>执业律师</w:t>
      </w:r>
      <w:r>
        <w:rPr>
          <w:rFonts w:hint="eastAsia"/>
        </w:rPr>
        <w:t>。律师担任各级人民代表大会常务委员会组成人员的，任职期间不得从事诉讼代理或者辩护业务。</w:t>
      </w:r>
    </w:p>
    <w:p w14:paraId="68ADB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2．离任法官、检察官从事律师职业受限规定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首先要注意身份，以监护人或者近亲属身份代理或者辩护不受限制；其次，要注意时间和执业空间限制。</w:t>
      </w:r>
    </w:p>
    <w:p w14:paraId="1C7D15E8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</w:p>
    <w:p w14:paraId="774554BA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bookmarkStart w:id="7" w:name="_Toc236829123"/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预测考点8  律师事务所</w:t>
      </w:r>
      <w:bookmarkEnd w:id="7"/>
    </w:p>
    <w:p w14:paraId="43365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1</w:t>
      </w:r>
      <w:bookmarkStart w:id="8" w:name="OLE_LINK31"/>
      <w:r>
        <w:rPr>
          <w:rFonts w:hint="eastAsia"/>
          <w:b/>
          <w:bCs/>
        </w:rPr>
        <w:t>．</w:t>
      </w:r>
      <w:bookmarkEnd w:id="8"/>
      <w:r>
        <w:rPr>
          <w:rFonts w:hint="eastAsia"/>
          <w:b/>
          <w:bCs/>
        </w:rPr>
        <w:t>不同类型律所的设立条件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个人律所的设立人要求</w:t>
      </w:r>
      <w:r>
        <w:rPr>
          <w:rFonts w:hint="eastAsia"/>
          <w:b/>
          <w:bCs/>
        </w:rPr>
        <w:t>5年以上执业经历</w:t>
      </w:r>
      <w:r>
        <w:rPr>
          <w:rFonts w:hint="eastAsia"/>
        </w:rPr>
        <w:t>；合伙制律师事务所的负责人</w:t>
      </w:r>
      <w:r>
        <w:rPr>
          <w:rFonts w:hint="eastAsia"/>
          <w:b/>
          <w:bCs/>
        </w:rPr>
        <w:t>由全体合伙人在本所合伙人中选举</w:t>
      </w:r>
      <w:r>
        <w:rPr>
          <w:rFonts w:hint="eastAsia"/>
        </w:rPr>
        <w:t>。</w:t>
      </w:r>
    </w:p>
    <w:p w14:paraId="02857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2．律所的设立程序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由省级司法行政机关批准并发证。变更名称、负责人、章程、合伙协议，由省级司法行政机关</w:t>
      </w:r>
      <w:r>
        <w:rPr>
          <w:rFonts w:hint="eastAsia"/>
          <w:b/>
          <w:bCs/>
          <w:color w:val="FF0000"/>
        </w:rPr>
        <w:t>批准</w:t>
      </w:r>
      <w:r>
        <w:rPr>
          <w:rFonts w:hint="eastAsia"/>
        </w:rPr>
        <w:t>；变更住所、合伙人，向省级司法行政机关</w:t>
      </w:r>
      <w:r>
        <w:rPr>
          <w:rFonts w:hint="eastAsia"/>
          <w:b/>
          <w:bCs/>
          <w:color w:val="FF0000"/>
        </w:rPr>
        <w:t>备案</w:t>
      </w:r>
      <w:r>
        <w:rPr>
          <w:rFonts w:hint="eastAsia"/>
        </w:rPr>
        <w:t>。</w:t>
      </w:r>
    </w:p>
    <w:p w14:paraId="052FA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3．分所的设立条件和程序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国资律所和个人律所均不可设立分所；由拟设立分所所在地的省级司法行政机关批准。</w:t>
      </w:r>
    </w:p>
    <w:p w14:paraId="604F875B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</w:p>
    <w:p w14:paraId="6952DE92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bookmarkStart w:id="9" w:name="_Toc236829124"/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预测考点9  法律援助制度</w:t>
      </w:r>
      <w:bookmarkEnd w:id="9"/>
    </w:p>
    <w:p w14:paraId="08346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1．法律援助的机构和人员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律师、基层法律服务工作者、法律援助志愿者、符合条件的法律援助机构工作人员等。</w:t>
      </w:r>
    </w:p>
    <w:p w14:paraId="4A817C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2．法律援助的形式和范围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  <w:b/>
          <w:bCs/>
        </w:rPr>
        <w:t>法律咨询</w:t>
      </w:r>
      <w:r>
        <w:rPr>
          <w:rFonts w:hint="eastAsia"/>
          <w:b/>
          <w:bCs/>
          <w:color w:val="FF0000"/>
        </w:rPr>
        <w:t>无须审查经济状况</w:t>
      </w:r>
      <w:r>
        <w:rPr>
          <w:rFonts w:hint="eastAsia"/>
        </w:rPr>
        <w:t>、</w:t>
      </w:r>
      <w:r>
        <w:rPr>
          <w:rFonts w:hint="eastAsia"/>
          <w:b/>
          <w:bCs/>
        </w:rPr>
        <w:t>值班律师不提供出庭法律援助</w:t>
      </w:r>
      <w:r>
        <w:rPr>
          <w:rFonts w:hint="eastAsia"/>
        </w:rPr>
        <w:t>；除通知法律援助（</w:t>
      </w:r>
      <w:r>
        <w:rPr>
          <w:rFonts w:hint="eastAsia"/>
          <w:b/>
          <w:bCs/>
        </w:rPr>
        <w:t>盲聋哑、半疯傻、死无缺、未长大</w:t>
      </w:r>
      <w:r>
        <w:rPr>
          <w:rFonts w:hint="eastAsia"/>
        </w:rPr>
        <w:t>）外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不需要申请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，均须申请法律援助；</w:t>
      </w:r>
      <w:r>
        <w:rPr>
          <w:rFonts w:hint="eastAsia"/>
          <w:b/>
          <w:bCs/>
        </w:rPr>
        <w:t>民事、行政法律援助不能通知法律援助</w:t>
      </w:r>
      <w:r>
        <w:rPr>
          <w:rFonts w:hint="eastAsia"/>
        </w:rPr>
        <w:t>，</w:t>
      </w:r>
      <w:r>
        <w:rPr>
          <w:rFonts w:hint="eastAsia"/>
          <w:b/>
          <w:bCs/>
          <w:color w:val="FF0000"/>
        </w:rPr>
        <w:t>英烈保护等案件无须审查经济状况</w:t>
      </w:r>
      <w:r>
        <w:rPr>
          <w:rFonts w:hint="eastAsia"/>
        </w:rPr>
        <w:t>。</w:t>
      </w:r>
    </w:p>
    <w:p w14:paraId="3DE9E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3．法律援助的程序和实施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  <w:b/>
          <w:bCs/>
        </w:rPr>
        <w:t>诉讼</w:t>
      </w:r>
      <w:r>
        <w:rPr>
          <w:rFonts w:hint="eastAsia"/>
        </w:rPr>
        <w:t>案件是</w:t>
      </w:r>
      <w:r>
        <w:rPr>
          <w:rFonts w:hint="eastAsia"/>
          <w:b/>
          <w:bCs/>
          <w:color w:val="auto"/>
        </w:rPr>
        <w:t>办案机关所在地</w:t>
      </w:r>
      <w:r>
        <w:rPr>
          <w:rFonts w:hint="eastAsia"/>
        </w:rPr>
        <w:t>、非诉讼事项是争议处理机关所在地或者事由发生地；对可能被判处无期徒刑、死刑以及死刑复核案件提供援助，应当指派具有</w:t>
      </w:r>
      <w:r>
        <w:rPr>
          <w:rFonts w:hint="eastAsia"/>
          <w:b/>
          <w:bCs/>
        </w:rPr>
        <w:t>三年以上相关执业经历的律师担任辩护人；向司法行政机关复议</w:t>
      </w:r>
      <w:r>
        <w:rPr>
          <w:rFonts w:hint="eastAsia"/>
        </w:rPr>
        <w:t>，不服可</w:t>
      </w:r>
      <w:r>
        <w:rPr>
          <w:rFonts w:hint="eastAsia"/>
          <w:b/>
          <w:bCs/>
        </w:rPr>
        <w:t>行政复议或行政诉讼</w:t>
      </w:r>
      <w:r>
        <w:rPr>
          <w:rFonts w:hint="eastAsia"/>
        </w:rPr>
        <w:t>。</w:t>
      </w:r>
    </w:p>
    <w:p w14:paraId="51A31249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</w:p>
    <w:p w14:paraId="780152DB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bookmarkStart w:id="10" w:name="_Toc236829125"/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预测考点10  公证机构、公证员和公证程序</w:t>
      </w:r>
      <w:bookmarkEnd w:id="10"/>
    </w:p>
    <w:p w14:paraId="0CF215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 w:eastAsia="宋体"/>
          <w:lang w:eastAsia="zh-CN"/>
        </w:rPr>
      </w:pPr>
      <w:r>
        <w:rPr>
          <w:rFonts w:hint="eastAsia"/>
          <w:b/>
          <w:bCs/>
        </w:rPr>
        <w:t>1．公证员的禁止条件、考核任职条件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不得</w:t>
      </w:r>
      <w:r>
        <w:rPr>
          <w:rFonts w:hint="eastAsia"/>
          <w:b/>
          <w:bCs/>
          <w:color w:val="FF0000"/>
        </w:rPr>
        <w:t>兼职</w:t>
      </w:r>
      <w:r>
        <w:rPr>
          <w:rFonts w:hint="eastAsia"/>
        </w:rPr>
        <w:t>担任公证员；公务员和律师需要满10年；故意犯罪或者职务过失犯罪受过刑事处罚不得担任公证员。</w:t>
      </w:r>
    </w:p>
    <w:p w14:paraId="04402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2．公证员的任命程序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公证机构由省级司法行政机构批准设立，而</w:t>
      </w:r>
      <w:r>
        <w:rPr>
          <w:rFonts w:hint="eastAsia"/>
          <w:b/>
          <w:bCs/>
        </w:rPr>
        <w:t>公证员</w:t>
      </w:r>
      <w:r>
        <w:rPr>
          <w:rFonts w:hint="eastAsia"/>
        </w:rPr>
        <w:t>由</w:t>
      </w:r>
      <w:r>
        <w:rPr>
          <w:rFonts w:hint="eastAsia"/>
          <w:b/>
          <w:bCs/>
        </w:rPr>
        <w:t>司法部</w:t>
      </w:r>
      <w:r>
        <w:rPr>
          <w:rFonts w:hint="eastAsia"/>
        </w:rPr>
        <w:t>任命，</w:t>
      </w:r>
      <w:r>
        <w:rPr>
          <w:rFonts w:hint="eastAsia"/>
          <w:b/>
          <w:bCs/>
        </w:rPr>
        <w:t>省级</w:t>
      </w:r>
      <w:r>
        <w:rPr>
          <w:rFonts w:hint="eastAsia"/>
        </w:rPr>
        <w:t>司法行政机关</w:t>
      </w:r>
      <w:r>
        <w:rPr>
          <w:rFonts w:hint="eastAsia"/>
          <w:b/>
          <w:bCs/>
        </w:rPr>
        <w:t>发证</w:t>
      </w:r>
      <w:r>
        <w:rPr>
          <w:rFonts w:hint="eastAsia"/>
        </w:rPr>
        <w:t>。</w:t>
      </w:r>
    </w:p>
    <w:p w14:paraId="4C36B6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3．不适用公证代理的情形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  <w:b/>
          <w:bCs/>
        </w:rPr>
        <w:t>申办遗嘱、遗赠扶养协议、赠与、认领亲子、收养关系、解除收养关系、生存状况、委托、声明、保证及其他与自然人人身有密切关系的公证事项。</w:t>
      </w:r>
    </w:p>
    <w:p w14:paraId="16184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4．公证的救济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  <w:b/>
          <w:bCs/>
          <w:color w:val="FF0000"/>
        </w:rPr>
        <w:t>法院无权撤销公证文书</w:t>
      </w:r>
      <w:r>
        <w:rPr>
          <w:rFonts w:hint="eastAsia"/>
        </w:rPr>
        <w:t>，可向出具公证书的公证机构提出复查；有纠纷起诉。</w:t>
      </w:r>
    </w:p>
    <w:p w14:paraId="3890FA68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</w:p>
    <w:p w14:paraId="5B4AE554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bookmarkStart w:id="11" w:name="_Toc236829126"/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预测考点11  法官职业道德的主要内容</w:t>
      </w:r>
      <w:bookmarkEnd w:id="11"/>
    </w:p>
    <w:p w14:paraId="096798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保证司法公正、维护司法形象等规范。</w:t>
      </w:r>
    </w:p>
    <w:p w14:paraId="66582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法官和律师不正当接触交往的行为类型：禁止私下接触、禁止插手案件、禁止介绍案源、禁止利益输送、禁止不当交往、禁止利益勾连等。</w:t>
      </w:r>
    </w:p>
    <w:p w14:paraId="74ADF457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</w:p>
    <w:p w14:paraId="5E795406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bookmarkStart w:id="12" w:name="_Toc236829127"/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预测考点12  律师与委托人或当事人的关系规范</w:t>
      </w:r>
      <w:bookmarkEnd w:id="12"/>
    </w:p>
    <w:p w14:paraId="71B80D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1．利益冲突审查规则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注意识别</w:t>
      </w:r>
      <w:r>
        <w:rPr>
          <w:rFonts w:hint="eastAsia"/>
          <w:b/>
          <w:bCs/>
          <w:color w:val="FF0000"/>
        </w:rPr>
        <w:t>绝对利益冲突</w:t>
      </w:r>
      <w:r>
        <w:rPr>
          <w:rFonts w:hint="eastAsia"/>
        </w:rPr>
        <w:t>和</w:t>
      </w:r>
      <w:r>
        <w:rPr>
          <w:rFonts w:hint="eastAsia"/>
          <w:b/>
          <w:bCs/>
          <w:color w:val="FF0000"/>
        </w:rPr>
        <w:t>相对利益冲突</w:t>
      </w:r>
      <w:r>
        <w:rPr>
          <w:rFonts w:hint="eastAsia"/>
        </w:rPr>
        <w:t>。</w:t>
      </w:r>
    </w:p>
    <w:p w14:paraId="4660FB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2．虚假承诺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看过程不看结果。</w:t>
      </w:r>
    </w:p>
    <w:p w14:paraId="5838764C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</w:p>
    <w:p w14:paraId="5F9A8983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bookmarkStart w:id="13" w:name="_Toc236829128"/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预测考点13  律师职业责任</w:t>
      </w:r>
      <w:bookmarkEnd w:id="13"/>
    </w:p>
    <w:p w14:paraId="4D1A1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1．律师违纪处分的类型及实施主体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  <w:b/>
          <w:bCs/>
        </w:rPr>
        <w:t>省级律协</w:t>
      </w:r>
      <w:r>
        <w:rPr>
          <w:rFonts w:hint="eastAsia"/>
        </w:rPr>
        <w:t>和</w:t>
      </w:r>
      <w:r>
        <w:rPr>
          <w:rFonts w:hint="eastAsia"/>
          <w:b/>
          <w:bCs/>
        </w:rPr>
        <w:t>设区的市律协</w:t>
      </w:r>
      <w:r>
        <w:rPr>
          <w:rFonts w:hint="eastAsia"/>
        </w:rPr>
        <w:t>设立的惩戒委员会负责处分；被</w:t>
      </w:r>
      <w:r>
        <w:rPr>
          <w:rFonts w:hint="eastAsia"/>
          <w:b/>
          <w:bCs/>
          <w:color w:val="FF0000"/>
        </w:rPr>
        <w:t>吊销律师执业证书</w:t>
      </w:r>
      <w:r>
        <w:rPr>
          <w:rFonts w:hint="eastAsia"/>
          <w:color w:val="FF0000"/>
        </w:rPr>
        <w:t>，</w:t>
      </w:r>
      <w:r>
        <w:rPr>
          <w:rFonts w:hint="eastAsia"/>
          <w:b/>
          <w:bCs/>
          <w:color w:val="FF0000"/>
        </w:rPr>
        <w:t>应当同时取消会员资格（省级律协作出）</w:t>
      </w:r>
      <w:r>
        <w:rPr>
          <w:rFonts w:hint="eastAsia"/>
        </w:rPr>
        <w:t>。</w:t>
      </w:r>
    </w:p>
    <w:p w14:paraId="67B71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2．律师行政法律责任的类型及实施主体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  <w:b/>
          <w:bCs/>
          <w:color w:val="FF0000"/>
        </w:rPr>
        <w:t>吊销律师执业证书只能由省级司法行政机关作出</w:t>
      </w:r>
      <w:r>
        <w:rPr>
          <w:rFonts w:hint="eastAsia"/>
        </w:rPr>
        <w:t>；其余可由设区的市和</w:t>
      </w:r>
      <w:r>
        <w:rPr>
          <w:rFonts w:hint="eastAsia"/>
          <w:b/>
          <w:bCs/>
        </w:rPr>
        <w:t>直辖市的区</w:t>
      </w:r>
      <w:r>
        <w:rPr>
          <w:rFonts w:hint="eastAsia"/>
        </w:rPr>
        <w:t>司法行政部门作出。</w:t>
      </w:r>
    </w:p>
    <w:p w14:paraId="5C226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3．律师事务所的类型与民事责任承担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  <w:b/>
          <w:bCs/>
        </w:rPr>
        <w:t>律所</w:t>
      </w:r>
      <w:r>
        <w:rPr>
          <w:rFonts w:hint="eastAsia"/>
        </w:rPr>
        <w:t>对外承担民事责任，</w:t>
      </w:r>
      <w:r>
        <w:rPr>
          <w:rFonts w:hint="eastAsia"/>
          <w:b/>
          <w:bCs/>
        </w:rPr>
        <w:t>可对律师追偿</w:t>
      </w:r>
      <w:r>
        <w:rPr>
          <w:rFonts w:hint="eastAsia"/>
        </w:rPr>
        <w:t>；国资所承担有限责任、个人所由设立人承担无限责任、特殊的普通合伙律师事务所的部分合伙人可承担有限责任。</w:t>
      </w:r>
    </w:p>
    <w:p w14:paraId="69C1BC98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bookmarkStart w:id="14" w:name="_Toc236829129"/>
    </w:p>
    <w:p w14:paraId="11DBE754">
      <w:pPr>
        <w:keepNext w:val="0"/>
        <w:keepLines w:val="0"/>
        <w:pageBreakBefore w:val="0"/>
        <w:widowControl w:val="0"/>
        <w:tabs>
          <w:tab w:val="left" w:pos="83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预测考点14  仲裁员职业道德的主要内容</w:t>
      </w:r>
      <w:bookmarkEnd w:id="14"/>
    </w:p>
    <w:p w14:paraId="6405F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熟悉仲裁员职业道德的基本要求，结合具体案例能够准确予以分析。</w:t>
      </w:r>
    </w:p>
    <w:p w14:paraId="53DBA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独立公正规范要求保持廉洁、保持独立、主动披露（应书面披露、并非简单告知）、主动回避；保守秘密规范要求保守商业秘密，不透露本人看法、合议情况、仲裁</w:t>
      </w:r>
      <w:bookmarkStart w:id="15" w:name="_GoBack"/>
      <w:bookmarkEnd w:id="15"/>
      <w:r>
        <w:rPr>
          <w:rFonts w:hint="eastAsia"/>
        </w:rPr>
        <w:t>事项、仲裁程序等信息。</w:t>
      </w:r>
    </w:p>
    <w:p w14:paraId="0086F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84" w:lineRule="exact"/>
        <w:ind w:firstLine="420" w:firstLineChars="200"/>
        <w:textAlignment w:val="auto"/>
        <w:rPr>
          <w:rFonts w:hint="eastAsia"/>
        </w:rPr>
      </w:pPr>
    </w:p>
    <w:sectPr>
      <w:headerReference r:id="rId5" w:type="default"/>
      <w:footerReference r:id="rId7" w:type="default"/>
      <w:headerReference r:id="rId6" w:type="even"/>
      <w:footerReference r:id="rId8" w:type="even"/>
      <w:pgSz w:w="11900" w:h="16840"/>
      <w:pgMar w:top="1701" w:right="1588" w:bottom="1247" w:left="1588" w:header="851" w:footer="709" w:gutter="0"/>
      <w:pgNumType w:start="2"/>
      <w:cols w:space="425" w:num="1"/>
      <w:docGrid w:type="lines" w:linePitch="42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FF7FEF8-C6A5-478C-B5FA-B7110F8E0B3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2530830-DC32-44CA-9A8D-52607FD7082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DD350C50-79F6-4C10-992D-78660093B7AD}"/>
  </w:font>
  <w:font w:name="ACADEMY ENGRAVED LET PLAIN:1.0">
    <w:altName w:val="Wide Lati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Wide Latin">
    <w:panose1 w:val="020A0A07050505020404"/>
    <w:charset w:val="00"/>
    <w:family w:val="auto"/>
    <w:pitch w:val="default"/>
    <w:sig w:usb0="00000003" w:usb1="00000000" w:usb2="00000000" w:usb3="00000000" w:csb0="2000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汉仪中黑简">
    <w:panose1 w:val="02010600000101010101"/>
    <w:charset w:val="86"/>
    <w:family w:val="modern"/>
    <w:pitch w:val="default"/>
    <w:sig w:usb0="00000001" w:usb1="080E0800" w:usb2="00000002" w:usb3="00000000" w:csb0="00040000" w:csb1="00000000"/>
    <w:embedRegular r:id="rId4" w:fontKey="{75E3C754-9108-4D04-8804-CF9F8C11E336}"/>
  </w:font>
  <w:font w:name="汉仪粗黑简">
    <w:altName w:val="微软雅黑"/>
    <w:panose1 w:val="02010609000101010101"/>
    <w:charset w:val="86"/>
    <w:family w:val="modern"/>
    <w:pitch w:val="default"/>
    <w:sig w:usb0="00000000" w:usb1="00000000" w:usb2="00000012" w:usb3="00000000" w:csb0="00040000" w:csb1="00000000"/>
    <w:embedRegular r:id="rId5" w:fontKey="{82482D59-344E-4181-945C-ED1221D6B3F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汉仪书宋二简">
    <w:altName w:val="微软雅黑"/>
    <w:panose1 w:val="02010609000101010101"/>
    <w:charset w:val="86"/>
    <w:family w:val="modern"/>
    <w:pitch w:val="default"/>
    <w:sig w:usb0="00000000" w:usb1="00000000" w:usb2="00000012" w:usb3="00000000" w:csb0="00040000" w:csb1="00000000"/>
    <w:embedRegular r:id="rId6" w:fontKey="{08262406-EEF4-4B01-9EA4-8F485C133645}"/>
  </w:font>
  <w:font w:name="汉仪中等线简">
    <w:altName w:val="宋体"/>
    <w:panose1 w:val="02010609000101010101"/>
    <w:charset w:val="86"/>
    <w:family w:val="modern"/>
    <w:pitch w:val="default"/>
    <w:sig w:usb0="00000000" w:usb1="00000000" w:usb2="00000012" w:usb3="00000000" w:csb0="00040000" w:csb1="00000000"/>
    <w:embedRegular r:id="rId7" w:fontKey="{7C3B2535-DB3D-4EC7-B89D-6818FB6E4F43}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  <w:embedRegular r:id="rId8" w:fontKey="{4AD3793E-B2BD-4B0F-ACD1-70F7285609DC}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汉仪书宋二简" w:eastAsia="汉仪书宋二简"/>
      </w:rPr>
      <w:id w:val="1109088194"/>
    </w:sdtPr>
    <w:sdtEndPr>
      <w:rPr>
        <w:rFonts w:hint="eastAsia" w:ascii="汉仪书宋二简" w:eastAsia="汉仪书宋二简"/>
      </w:rPr>
    </w:sdtEndPr>
    <w:sdtContent>
      <w:p w14:paraId="4A9E174D">
        <w:pPr>
          <w:pStyle w:val="15"/>
          <w:spacing w:after="0" w:line="240" w:lineRule="auto"/>
          <w:jc w:val="right"/>
          <w:rPr>
            <w:rFonts w:hint="eastAsia" w:ascii="汉仪书宋二简" w:eastAsia="汉仪书宋二简"/>
          </w:rPr>
        </w:pPr>
        <w:r>
          <w:rPr>
            <w:rFonts w:hint="eastAsia" w:ascii="汉仪书宋二简" w:eastAsia="汉仪书宋二简"/>
          </w:rPr>
          <w:fldChar w:fldCharType="begin"/>
        </w:r>
        <w:r>
          <w:rPr>
            <w:rFonts w:hint="eastAsia" w:ascii="汉仪书宋二简" w:eastAsia="汉仪书宋二简"/>
          </w:rPr>
          <w:instrText xml:space="preserve">PAGE   \* MERGEFORMAT</w:instrText>
        </w:r>
        <w:r>
          <w:rPr>
            <w:rFonts w:hint="eastAsia" w:ascii="汉仪书宋二简" w:eastAsia="汉仪书宋二简"/>
          </w:rPr>
          <w:fldChar w:fldCharType="separate"/>
        </w:r>
        <w:r>
          <w:rPr>
            <w:rFonts w:hint="eastAsia" w:ascii="汉仪书宋二简" w:eastAsia="汉仪书宋二简"/>
            <w:lang w:val="zh-CN"/>
          </w:rPr>
          <w:t>2</w:t>
        </w:r>
        <w:r>
          <w:rPr>
            <w:rFonts w:hint="eastAsia" w:ascii="汉仪书宋二简" w:eastAsia="汉仪书宋二简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汉仪书宋二简" w:eastAsia="汉仪书宋二简"/>
      </w:rPr>
      <w:id w:val="180933698"/>
    </w:sdtPr>
    <w:sdtEndPr>
      <w:rPr>
        <w:rFonts w:hint="eastAsia" w:ascii="汉仪书宋二简" w:eastAsia="汉仪书宋二简"/>
      </w:rPr>
    </w:sdtEndPr>
    <w:sdtContent>
      <w:p w14:paraId="0B632FBC">
        <w:pPr>
          <w:pStyle w:val="15"/>
          <w:spacing w:after="0" w:line="240" w:lineRule="auto"/>
          <w:rPr>
            <w:rFonts w:hint="eastAsia" w:ascii="汉仪书宋二简" w:eastAsia="汉仪书宋二简"/>
          </w:rPr>
        </w:pPr>
        <w:r>
          <w:rPr>
            <w:rFonts w:hint="eastAsia" w:ascii="汉仪书宋二简" w:eastAsia="汉仪书宋二简"/>
          </w:rPr>
          <w:fldChar w:fldCharType="begin"/>
        </w:r>
        <w:r>
          <w:rPr>
            <w:rFonts w:hint="eastAsia" w:ascii="汉仪书宋二简" w:eastAsia="汉仪书宋二简"/>
          </w:rPr>
          <w:instrText xml:space="preserve">PAGE   \* MERGEFORMAT</w:instrText>
        </w:r>
        <w:r>
          <w:rPr>
            <w:rFonts w:hint="eastAsia" w:ascii="汉仪书宋二简" w:eastAsia="汉仪书宋二简"/>
          </w:rPr>
          <w:fldChar w:fldCharType="separate"/>
        </w:r>
        <w:r>
          <w:rPr>
            <w:rFonts w:hint="eastAsia" w:ascii="汉仪书宋二简" w:eastAsia="汉仪书宋二简"/>
            <w:lang w:val="zh-CN"/>
          </w:rPr>
          <w:t>2</w:t>
        </w:r>
        <w:r>
          <w:rPr>
            <w:rFonts w:hint="eastAsia" w:ascii="汉仪书宋二简" w:eastAsia="汉仪书宋二简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BBEEE5">
    <w:pPr>
      <w:wordWrap w:val="0"/>
      <w:spacing w:after="0" w:line="207" w:lineRule="exact"/>
      <w:jc w:val="right"/>
      <w:rPr>
        <w:rFonts w:hint="eastAsia" w:ascii="黑体" w:hAnsi="黑体" w:eastAsia="黑体" w:cs="黑体"/>
      </w:rPr>
    </w:pPr>
    <w:r>
      <w:rPr>
        <w:rFonts w:hint="eastAsia" w:ascii="黑体" w:hAnsi="黑体" w:eastAsia="黑体" w:cs="黑体"/>
        <w:color w:val="FFFFFF"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4610100</wp:posOffset>
              </wp:positionH>
              <wp:positionV relativeFrom="paragraph">
                <wp:posOffset>-1270</wp:posOffset>
              </wp:positionV>
              <wp:extent cx="889000" cy="140335"/>
              <wp:effectExtent l="0" t="0" r="6350" b="0"/>
              <wp:wrapNone/>
              <wp:docPr id="588423896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89027" cy="140335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矩形 2" o:spid="_x0000_s1026" o:spt="1" style="position:absolute;left:0pt;margin-left:363pt;margin-top:-0.1pt;height:11.05pt;width:70pt;z-index:-251657216;mso-width-relative:page;mso-height-relative:page;" fillcolor="#FF0000" filled="t" stroked="f" coordsize="21600,21600" o:gfxdata="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kUn+q&#10;1QAAAAgBAAAPAAAAAAAAAAEAIAAAACIAAABkcnMvZG93bnJldi54bWxQSwECFAAUAAAACACHTuJA&#10;NR1OeCQCAAAtBAAADgAAAAAAAAABACAAAAAkAQAAZHJzL2Uyb0RvYy54bWxQSwUGAAAAAAYABgBZ&#10;AQAAugUAAAAA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w:rPr>
        <w:rFonts w:hint="eastAsia" w:ascii="黑体" w:hAnsi="黑体" w:eastAsia="黑体" w:cs="黑体"/>
        <w:color w:val="FF0000"/>
        <w:sz w:val="17"/>
        <w:szCs w:val="17"/>
      </w:rPr>
      <w:t>| 司法制度和法律职业道德 |</w:t>
    </w:r>
    <w:r>
      <w:rPr>
        <w:rFonts w:ascii="黑体" w:hAnsi="黑体" w:eastAsia="黑体" w:cs="黑体"/>
        <w:color w:val="FF0000"/>
        <w:sz w:val="17"/>
        <w:szCs w:val="17"/>
      </w:rPr>
      <w:t xml:space="preserve">  </w:t>
    </w:r>
    <w:r>
      <w:rPr>
        <w:rFonts w:ascii="黑体" w:hAnsi="黑体" w:eastAsia="黑体" w:cs="黑体"/>
        <w:sz w:val="17"/>
        <w:szCs w:val="17"/>
      </w:rPr>
      <w:t xml:space="preserve"> </w:t>
    </w:r>
    <w:r>
      <w:rPr>
        <w:rFonts w:hint="eastAsia" w:ascii="黑体" w:hAnsi="黑体" w:eastAsia="黑体" w:cs="黑体"/>
        <w:color w:val="FFFFFF"/>
        <w:spacing w:val="40"/>
        <w:sz w:val="17"/>
        <w:szCs w:val="17"/>
      </w:rPr>
      <w:t>预测</w:t>
    </w:r>
    <w:r>
      <w:rPr>
        <w:rFonts w:hint="eastAsia" w:ascii="汉仪粗黑简" w:hAnsi="黑体" w:eastAsia="汉仪粗黑简" w:cs="黑体"/>
        <w:color w:val="FFFFFF"/>
        <w:spacing w:val="40"/>
        <w:sz w:val="17"/>
        <w:szCs w:val="17"/>
      </w:rPr>
      <w:t>考点卷</w:t>
    </w:r>
    <w:r>
      <w:rPr>
        <w:rFonts w:ascii="黑体" w:hAnsi="黑体" w:eastAsia="黑体" w:cs="黑体"/>
        <w:color w:val="FFFFFF" w:themeColor="background1"/>
        <w:sz w:val="17"/>
        <w:szCs w:val="17"/>
        <w14:textFill>
          <w14:solidFill>
            <w14:schemeClr w14:val="bg1"/>
          </w14:solidFill>
        </w14:textFill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947CD3">
    <w:pPr>
      <w:spacing w:line="207" w:lineRule="exact"/>
      <w:rPr>
        <w:rFonts w:hint="eastAsia"/>
      </w:rPr>
    </w:pPr>
    <w:r>
      <w:rPr>
        <w:rFonts w:ascii="Arial" w:hAnsi="Arial" w:eastAsia="Arial" w:cs="Arial"/>
        <w:sz w:val="17"/>
        <w:szCs w:val="17"/>
      </w:rPr>
      <w:t>202</w:t>
    </w:r>
    <w:r>
      <w:rPr>
        <w:rFonts w:hint="eastAsia" w:ascii="Arial" w:hAnsi="Arial" w:cs="Arial" w:eastAsiaTheme="minorEastAsia"/>
        <w:sz w:val="17"/>
        <w:szCs w:val="17"/>
      </w:rPr>
      <w:t>6</w:t>
    </w:r>
    <w:r>
      <w:rPr>
        <w:rFonts w:hint="eastAsia" w:ascii="汉仪中等线简" w:hAnsi="汉仪中黑简" w:eastAsia="汉仪中等线简" w:cs="汉仪中黑简"/>
        <w:sz w:val="17"/>
        <w:szCs w:val="17"/>
      </w:rPr>
      <w:t>年</w:t>
    </w:r>
    <w:r>
      <w:rPr>
        <w:rFonts w:ascii="汉仪中黑简" w:hAnsi="汉仪中黑简" w:eastAsia="汉仪中黑简" w:cs="汉仪中黑简"/>
        <w:color w:val="FF0000"/>
        <w:sz w:val="17"/>
        <w:szCs w:val="17"/>
      </w:rPr>
      <w:t>桑磊法考</w:t>
    </w:r>
    <w:r>
      <w:rPr>
        <w:rFonts w:hint="eastAsia" w:ascii="汉仪中黑简" w:hAnsi="汉仪中黑简" w:eastAsia="汉仪中黑简" w:cs="汉仪中黑简"/>
        <w:color w:val="FF0000"/>
        <w:sz w:val="17"/>
        <w:szCs w:val="17"/>
      </w:rPr>
      <w:t xml:space="preserve"> </w:t>
    </w:r>
    <w:r>
      <w:rPr>
        <w:rFonts w:hint="eastAsia" w:ascii="MS Mincho" w:hAnsi="MS Mincho" w:eastAsia="MS Mincho" w:cs="MS Mincho"/>
        <w:color w:val="FF0000"/>
        <w:position w:val="-5"/>
        <w:sz w:val="28"/>
        <w:szCs w:val="28"/>
      </w:rPr>
      <w:t>✍</w:t>
    </w:r>
    <w:r>
      <w:rPr>
        <w:rFonts w:ascii="汉仪中黑简" w:hAnsi="汉仪中黑简" w:eastAsia="汉仪中黑简" w:cs="汉仪中黑简"/>
        <w:color w:val="FF0000"/>
        <w:sz w:val="17"/>
        <w:szCs w:val="17"/>
      </w:rPr>
      <w:t xml:space="preserve"> 客观</w:t>
    </w:r>
    <w:r>
      <w:rPr>
        <w:rFonts w:hint="eastAsia" w:ascii="汉仪中黑简" w:hAnsi="汉仪中黑简" w:eastAsia="汉仪中黑简" w:cs="汉仪中黑简"/>
        <w:color w:val="FF0000"/>
        <w:sz w:val="17"/>
        <w:szCs w:val="17"/>
      </w:rPr>
      <w:t>题</w:t>
    </w:r>
    <w:r>
      <w:rPr>
        <w:rFonts w:hint="eastAsia" w:ascii="汉仪粗黑简" w:hAnsi="汉仪中黑简" w:eastAsia="汉仪粗黑简" w:cs="汉仪中黑简"/>
        <w:sz w:val="17"/>
        <w:szCs w:val="17"/>
      </w:rPr>
      <w:t>冲刺密押</w:t>
    </w:r>
    <w:r>
      <w:rPr>
        <w:rFonts w:hint="eastAsia" w:ascii="汉仪中黑简" w:hAnsi="汉仪中黑简" w:eastAsia="汉仪中黑简" w:cs="汉仪中黑简"/>
        <w:color w:val="FF0000"/>
        <w:sz w:val="17"/>
        <w:szCs w:val="17"/>
      </w:rPr>
      <w:t>内部讲义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displayBackgroundShape w:val="1"/>
  <w:embedTrueTypeFonts/>
  <w:saveSubsetFonts/>
  <w:bordersDoNotSurroundHeader w:val="1"/>
  <w:bordersDoNotSurroundFooter w:val="1"/>
  <w:hideSpellingErrors/>
  <w:documentProtection w:edit="readOnly" w:enforcement="0"/>
  <w:defaultTabStop w:val="420"/>
  <w:evenAndOddHeaders w:val="1"/>
  <w:drawingGridHorizontalSpacing w:val="105"/>
  <w:drawingGridVerticalSpacing w:val="423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CDC"/>
    <w:rsid w:val="0000041D"/>
    <w:rsid w:val="000007C3"/>
    <w:rsid w:val="00004337"/>
    <w:rsid w:val="000069E6"/>
    <w:rsid w:val="00007029"/>
    <w:rsid w:val="00007133"/>
    <w:rsid w:val="00007D20"/>
    <w:rsid w:val="00007E14"/>
    <w:rsid w:val="0001170A"/>
    <w:rsid w:val="00013C95"/>
    <w:rsid w:val="00017244"/>
    <w:rsid w:val="00020E34"/>
    <w:rsid w:val="00021506"/>
    <w:rsid w:val="00023716"/>
    <w:rsid w:val="00023DA1"/>
    <w:rsid w:val="00024324"/>
    <w:rsid w:val="00025C72"/>
    <w:rsid w:val="00030614"/>
    <w:rsid w:val="000307BB"/>
    <w:rsid w:val="000330D3"/>
    <w:rsid w:val="00033663"/>
    <w:rsid w:val="000344AC"/>
    <w:rsid w:val="0003575F"/>
    <w:rsid w:val="0003696A"/>
    <w:rsid w:val="000416F3"/>
    <w:rsid w:val="00041CDA"/>
    <w:rsid w:val="000454DB"/>
    <w:rsid w:val="00045BED"/>
    <w:rsid w:val="00051110"/>
    <w:rsid w:val="00051B03"/>
    <w:rsid w:val="000520D9"/>
    <w:rsid w:val="000561B1"/>
    <w:rsid w:val="0005705F"/>
    <w:rsid w:val="00057389"/>
    <w:rsid w:val="00057796"/>
    <w:rsid w:val="00060D7C"/>
    <w:rsid w:val="00061303"/>
    <w:rsid w:val="000618E9"/>
    <w:rsid w:val="00062462"/>
    <w:rsid w:val="00062B02"/>
    <w:rsid w:val="0006444A"/>
    <w:rsid w:val="00064FAF"/>
    <w:rsid w:val="00065CDC"/>
    <w:rsid w:val="000721BA"/>
    <w:rsid w:val="00075EFD"/>
    <w:rsid w:val="00076E30"/>
    <w:rsid w:val="00080B5C"/>
    <w:rsid w:val="0008138B"/>
    <w:rsid w:val="0008155F"/>
    <w:rsid w:val="00084DD5"/>
    <w:rsid w:val="00090A70"/>
    <w:rsid w:val="00091026"/>
    <w:rsid w:val="00091F2D"/>
    <w:rsid w:val="000923CF"/>
    <w:rsid w:val="0009695B"/>
    <w:rsid w:val="000A0B59"/>
    <w:rsid w:val="000A17DE"/>
    <w:rsid w:val="000B0D14"/>
    <w:rsid w:val="000B146C"/>
    <w:rsid w:val="000B3EEE"/>
    <w:rsid w:val="000B4132"/>
    <w:rsid w:val="000B41AA"/>
    <w:rsid w:val="000B591E"/>
    <w:rsid w:val="000B5C75"/>
    <w:rsid w:val="000B615F"/>
    <w:rsid w:val="000B69C5"/>
    <w:rsid w:val="000B701B"/>
    <w:rsid w:val="000C0AD8"/>
    <w:rsid w:val="000C143C"/>
    <w:rsid w:val="000C29E2"/>
    <w:rsid w:val="000C4BF7"/>
    <w:rsid w:val="000C689C"/>
    <w:rsid w:val="000C6D88"/>
    <w:rsid w:val="000D2CF9"/>
    <w:rsid w:val="000D3147"/>
    <w:rsid w:val="000D44D5"/>
    <w:rsid w:val="000D56C5"/>
    <w:rsid w:val="000D56E5"/>
    <w:rsid w:val="000D6328"/>
    <w:rsid w:val="000D6B00"/>
    <w:rsid w:val="000D6D82"/>
    <w:rsid w:val="000D7674"/>
    <w:rsid w:val="000D7B61"/>
    <w:rsid w:val="000D7CD4"/>
    <w:rsid w:val="000D7E08"/>
    <w:rsid w:val="000E01C1"/>
    <w:rsid w:val="000E0250"/>
    <w:rsid w:val="000E0BCF"/>
    <w:rsid w:val="000E30E1"/>
    <w:rsid w:val="000E686F"/>
    <w:rsid w:val="000E6C3C"/>
    <w:rsid w:val="000F04EC"/>
    <w:rsid w:val="000F139E"/>
    <w:rsid w:val="000F2150"/>
    <w:rsid w:val="000F2D94"/>
    <w:rsid w:val="000F313E"/>
    <w:rsid w:val="000F3220"/>
    <w:rsid w:val="000F4068"/>
    <w:rsid w:val="000F4105"/>
    <w:rsid w:val="000F4984"/>
    <w:rsid w:val="000F5845"/>
    <w:rsid w:val="000F7E03"/>
    <w:rsid w:val="00101A07"/>
    <w:rsid w:val="0010245C"/>
    <w:rsid w:val="00103FAF"/>
    <w:rsid w:val="001041CA"/>
    <w:rsid w:val="001043C5"/>
    <w:rsid w:val="00104BD1"/>
    <w:rsid w:val="00105D3B"/>
    <w:rsid w:val="00106298"/>
    <w:rsid w:val="001070B9"/>
    <w:rsid w:val="00110ACD"/>
    <w:rsid w:val="00113096"/>
    <w:rsid w:val="001132EF"/>
    <w:rsid w:val="00114E60"/>
    <w:rsid w:val="0011516B"/>
    <w:rsid w:val="00117A62"/>
    <w:rsid w:val="0012151C"/>
    <w:rsid w:val="00122FF3"/>
    <w:rsid w:val="0012563A"/>
    <w:rsid w:val="00125ED0"/>
    <w:rsid w:val="00126916"/>
    <w:rsid w:val="001269BF"/>
    <w:rsid w:val="00130E71"/>
    <w:rsid w:val="00131558"/>
    <w:rsid w:val="001332A1"/>
    <w:rsid w:val="00133BBA"/>
    <w:rsid w:val="00134033"/>
    <w:rsid w:val="0013470C"/>
    <w:rsid w:val="001356F0"/>
    <w:rsid w:val="00135A24"/>
    <w:rsid w:val="00135C9D"/>
    <w:rsid w:val="001363A1"/>
    <w:rsid w:val="00136E54"/>
    <w:rsid w:val="00137ABD"/>
    <w:rsid w:val="0014014C"/>
    <w:rsid w:val="00141873"/>
    <w:rsid w:val="001418E9"/>
    <w:rsid w:val="00141A50"/>
    <w:rsid w:val="0014386A"/>
    <w:rsid w:val="00146796"/>
    <w:rsid w:val="00146BF2"/>
    <w:rsid w:val="00147E74"/>
    <w:rsid w:val="00150C06"/>
    <w:rsid w:val="0015119E"/>
    <w:rsid w:val="00152335"/>
    <w:rsid w:val="00152AAE"/>
    <w:rsid w:val="00162C62"/>
    <w:rsid w:val="0016379D"/>
    <w:rsid w:val="00166735"/>
    <w:rsid w:val="00167640"/>
    <w:rsid w:val="00170421"/>
    <w:rsid w:val="0017078E"/>
    <w:rsid w:val="0017085B"/>
    <w:rsid w:val="00170907"/>
    <w:rsid w:val="00170C5F"/>
    <w:rsid w:val="00170CC5"/>
    <w:rsid w:val="00172109"/>
    <w:rsid w:val="00174370"/>
    <w:rsid w:val="00174B1F"/>
    <w:rsid w:val="00177320"/>
    <w:rsid w:val="00177C41"/>
    <w:rsid w:val="00180017"/>
    <w:rsid w:val="00180423"/>
    <w:rsid w:val="00180579"/>
    <w:rsid w:val="0018095A"/>
    <w:rsid w:val="00183BEB"/>
    <w:rsid w:val="001877D0"/>
    <w:rsid w:val="00192304"/>
    <w:rsid w:val="00192A1C"/>
    <w:rsid w:val="00193237"/>
    <w:rsid w:val="00194DED"/>
    <w:rsid w:val="001964CC"/>
    <w:rsid w:val="001A0538"/>
    <w:rsid w:val="001A090E"/>
    <w:rsid w:val="001A11C5"/>
    <w:rsid w:val="001A33A3"/>
    <w:rsid w:val="001A405E"/>
    <w:rsid w:val="001A416B"/>
    <w:rsid w:val="001A421E"/>
    <w:rsid w:val="001A4351"/>
    <w:rsid w:val="001A6D73"/>
    <w:rsid w:val="001A6DD4"/>
    <w:rsid w:val="001B05EE"/>
    <w:rsid w:val="001B1109"/>
    <w:rsid w:val="001B1191"/>
    <w:rsid w:val="001B22F6"/>
    <w:rsid w:val="001B353D"/>
    <w:rsid w:val="001B4007"/>
    <w:rsid w:val="001B6C99"/>
    <w:rsid w:val="001B7367"/>
    <w:rsid w:val="001C13EF"/>
    <w:rsid w:val="001C2052"/>
    <w:rsid w:val="001C32F6"/>
    <w:rsid w:val="001C3CBB"/>
    <w:rsid w:val="001C596B"/>
    <w:rsid w:val="001C6D78"/>
    <w:rsid w:val="001C7326"/>
    <w:rsid w:val="001D322F"/>
    <w:rsid w:val="001D52D4"/>
    <w:rsid w:val="001E0DC3"/>
    <w:rsid w:val="001E1CA9"/>
    <w:rsid w:val="001E2526"/>
    <w:rsid w:val="001E3CE3"/>
    <w:rsid w:val="001F2063"/>
    <w:rsid w:val="001F3F62"/>
    <w:rsid w:val="001F4545"/>
    <w:rsid w:val="001F4B5F"/>
    <w:rsid w:val="001F4D13"/>
    <w:rsid w:val="001F4F9B"/>
    <w:rsid w:val="001F61E9"/>
    <w:rsid w:val="001F6802"/>
    <w:rsid w:val="00202F07"/>
    <w:rsid w:val="00203C17"/>
    <w:rsid w:val="00204D44"/>
    <w:rsid w:val="00210F7F"/>
    <w:rsid w:val="00212232"/>
    <w:rsid w:val="002127C3"/>
    <w:rsid w:val="00213812"/>
    <w:rsid w:val="00217BC4"/>
    <w:rsid w:val="00217FAD"/>
    <w:rsid w:val="0022032E"/>
    <w:rsid w:val="002208DA"/>
    <w:rsid w:val="002222AE"/>
    <w:rsid w:val="00224832"/>
    <w:rsid w:val="0022570E"/>
    <w:rsid w:val="00225BD4"/>
    <w:rsid w:val="002266A1"/>
    <w:rsid w:val="0022795E"/>
    <w:rsid w:val="002306E1"/>
    <w:rsid w:val="00230BB8"/>
    <w:rsid w:val="002334CD"/>
    <w:rsid w:val="0023547C"/>
    <w:rsid w:val="00236797"/>
    <w:rsid w:val="00237481"/>
    <w:rsid w:val="00237A5A"/>
    <w:rsid w:val="00240282"/>
    <w:rsid w:val="002422D7"/>
    <w:rsid w:val="0024573C"/>
    <w:rsid w:val="002463BF"/>
    <w:rsid w:val="00246E42"/>
    <w:rsid w:val="0024755F"/>
    <w:rsid w:val="002477E2"/>
    <w:rsid w:val="00247F31"/>
    <w:rsid w:val="00251584"/>
    <w:rsid w:val="00254628"/>
    <w:rsid w:val="002555F1"/>
    <w:rsid w:val="002649B8"/>
    <w:rsid w:val="00264C37"/>
    <w:rsid w:val="00265BD2"/>
    <w:rsid w:val="00266E58"/>
    <w:rsid w:val="0027016E"/>
    <w:rsid w:val="002705E7"/>
    <w:rsid w:val="002706F6"/>
    <w:rsid w:val="0027404F"/>
    <w:rsid w:val="00277C55"/>
    <w:rsid w:val="00277DDE"/>
    <w:rsid w:val="00282EBD"/>
    <w:rsid w:val="0028378F"/>
    <w:rsid w:val="00284147"/>
    <w:rsid w:val="002841F4"/>
    <w:rsid w:val="00284B78"/>
    <w:rsid w:val="00286A61"/>
    <w:rsid w:val="00291A83"/>
    <w:rsid w:val="00292C23"/>
    <w:rsid w:val="00292DA8"/>
    <w:rsid w:val="00293587"/>
    <w:rsid w:val="00295D1E"/>
    <w:rsid w:val="002A5887"/>
    <w:rsid w:val="002A6559"/>
    <w:rsid w:val="002B2715"/>
    <w:rsid w:val="002B55DF"/>
    <w:rsid w:val="002C0157"/>
    <w:rsid w:val="002C0255"/>
    <w:rsid w:val="002C1A5A"/>
    <w:rsid w:val="002C2E70"/>
    <w:rsid w:val="002C2FFC"/>
    <w:rsid w:val="002D2EBA"/>
    <w:rsid w:val="002D3D1C"/>
    <w:rsid w:val="002D47BE"/>
    <w:rsid w:val="002D5615"/>
    <w:rsid w:val="002D5A27"/>
    <w:rsid w:val="002D73B3"/>
    <w:rsid w:val="002D7DE3"/>
    <w:rsid w:val="002E0E7B"/>
    <w:rsid w:val="002E2477"/>
    <w:rsid w:val="002E25BA"/>
    <w:rsid w:val="002E30AC"/>
    <w:rsid w:val="002E3B4F"/>
    <w:rsid w:val="002E4658"/>
    <w:rsid w:val="002E4965"/>
    <w:rsid w:val="002E5D78"/>
    <w:rsid w:val="002F3792"/>
    <w:rsid w:val="002F48B1"/>
    <w:rsid w:val="002F70A7"/>
    <w:rsid w:val="003012CE"/>
    <w:rsid w:val="003014F0"/>
    <w:rsid w:val="00301565"/>
    <w:rsid w:val="00301A1F"/>
    <w:rsid w:val="00306526"/>
    <w:rsid w:val="00313A7B"/>
    <w:rsid w:val="00314DF0"/>
    <w:rsid w:val="00315DFF"/>
    <w:rsid w:val="0032038C"/>
    <w:rsid w:val="00320F85"/>
    <w:rsid w:val="003212E2"/>
    <w:rsid w:val="00322577"/>
    <w:rsid w:val="003238F4"/>
    <w:rsid w:val="00323E79"/>
    <w:rsid w:val="00324172"/>
    <w:rsid w:val="00325D88"/>
    <w:rsid w:val="00326198"/>
    <w:rsid w:val="00330620"/>
    <w:rsid w:val="00330C05"/>
    <w:rsid w:val="00331CE2"/>
    <w:rsid w:val="00333AC8"/>
    <w:rsid w:val="003364AD"/>
    <w:rsid w:val="00336B60"/>
    <w:rsid w:val="00341BB9"/>
    <w:rsid w:val="00342880"/>
    <w:rsid w:val="00346E53"/>
    <w:rsid w:val="0034709E"/>
    <w:rsid w:val="003518D7"/>
    <w:rsid w:val="00351FF4"/>
    <w:rsid w:val="00352F10"/>
    <w:rsid w:val="0035316A"/>
    <w:rsid w:val="00355353"/>
    <w:rsid w:val="003553E6"/>
    <w:rsid w:val="00355944"/>
    <w:rsid w:val="00355E2E"/>
    <w:rsid w:val="00355F20"/>
    <w:rsid w:val="003602CB"/>
    <w:rsid w:val="00360619"/>
    <w:rsid w:val="00360E84"/>
    <w:rsid w:val="00366702"/>
    <w:rsid w:val="00367F8D"/>
    <w:rsid w:val="003703C4"/>
    <w:rsid w:val="00371BDD"/>
    <w:rsid w:val="00371C97"/>
    <w:rsid w:val="003725C1"/>
    <w:rsid w:val="00372920"/>
    <w:rsid w:val="00374E59"/>
    <w:rsid w:val="003773DD"/>
    <w:rsid w:val="0038107D"/>
    <w:rsid w:val="0038290F"/>
    <w:rsid w:val="00385036"/>
    <w:rsid w:val="00386FC6"/>
    <w:rsid w:val="00387515"/>
    <w:rsid w:val="00393EFC"/>
    <w:rsid w:val="00394026"/>
    <w:rsid w:val="003950D5"/>
    <w:rsid w:val="003957B0"/>
    <w:rsid w:val="003A10C3"/>
    <w:rsid w:val="003A2558"/>
    <w:rsid w:val="003A2662"/>
    <w:rsid w:val="003A359A"/>
    <w:rsid w:val="003A439C"/>
    <w:rsid w:val="003A48A4"/>
    <w:rsid w:val="003A4CD8"/>
    <w:rsid w:val="003A5272"/>
    <w:rsid w:val="003A6063"/>
    <w:rsid w:val="003A630C"/>
    <w:rsid w:val="003A681E"/>
    <w:rsid w:val="003A7BDD"/>
    <w:rsid w:val="003B01EB"/>
    <w:rsid w:val="003B375D"/>
    <w:rsid w:val="003B5BCC"/>
    <w:rsid w:val="003B662E"/>
    <w:rsid w:val="003B7B0C"/>
    <w:rsid w:val="003C078D"/>
    <w:rsid w:val="003C184F"/>
    <w:rsid w:val="003C4143"/>
    <w:rsid w:val="003D2FB7"/>
    <w:rsid w:val="003D2FE7"/>
    <w:rsid w:val="003D5596"/>
    <w:rsid w:val="003E0B57"/>
    <w:rsid w:val="003E1C37"/>
    <w:rsid w:val="003E4942"/>
    <w:rsid w:val="003E6C50"/>
    <w:rsid w:val="003E7623"/>
    <w:rsid w:val="003F02EB"/>
    <w:rsid w:val="003F0F11"/>
    <w:rsid w:val="003F5548"/>
    <w:rsid w:val="003F743A"/>
    <w:rsid w:val="003F76FD"/>
    <w:rsid w:val="004001FC"/>
    <w:rsid w:val="00400FAC"/>
    <w:rsid w:val="004019BD"/>
    <w:rsid w:val="00403622"/>
    <w:rsid w:val="00403C26"/>
    <w:rsid w:val="004042BF"/>
    <w:rsid w:val="00411B27"/>
    <w:rsid w:val="00412D6A"/>
    <w:rsid w:val="004132C7"/>
    <w:rsid w:val="004142F3"/>
    <w:rsid w:val="004150C2"/>
    <w:rsid w:val="004201EC"/>
    <w:rsid w:val="00421446"/>
    <w:rsid w:val="00421D6A"/>
    <w:rsid w:val="0042301C"/>
    <w:rsid w:val="00424B49"/>
    <w:rsid w:val="00424B9D"/>
    <w:rsid w:val="004257B6"/>
    <w:rsid w:val="0042712F"/>
    <w:rsid w:val="00431A30"/>
    <w:rsid w:val="0043240A"/>
    <w:rsid w:val="00432C98"/>
    <w:rsid w:val="0043318C"/>
    <w:rsid w:val="00436CA1"/>
    <w:rsid w:val="00436EC3"/>
    <w:rsid w:val="00440310"/>
    <w:rsid w:val="00441ECB"/>
    <w:rsid w:val="00442A94"/>
    <w:rsid w:val="004430B6"/>
    <w:rsid w:val="00443692"/>
    <w:rsid w:val="00446585"/>
    <w:rsid w:val="004504BE"/>
    <w:rsid w:val="00452E65"/>
    <w:rsid w:val="00454BB4"/>
    <w:rsid w:val="00455EDC"/>
    <w:rsid w:val="004572AF"/>
    <w:rsid w:val="00457860"/>
    <w:rsid w:val="004602F3"/>
    <w:rsid w:val="00461C58"/>
    <w:rsid w:val="00461EC3"/>
    <w:rsid w:val="00461FE3"/>
    <w:rsid w:val="004622DF"/>
    <w:rsid w:val="00462957"/>
    <w:rsid w:val="00463604"/>
    <w:rsid w:val="00467715"/>
    <w:rsid w:val="00470975"/>
    <w:rsid w:val="00471604"/>
    <w:rsid w:val="00474C51"/>
    <w:rsid w:val="004765F4"/>
    <w:rsid w:val="004770DD"/>
    <w:rsid w:val="0048143B"/>
    <w:rsid w:val="00481D1F"/>
    <w:rsid w:val="0048299D"/>
    <w:rsid w:val="00483346"/>
    <w:rsid w:val="00485E95"/>
    <w:rsid w:val="00491101"/>
    <w:rsid w:val="00492729"/>
    <w:rsid w:val="00493699"/>
    <w:rsid w:val="004979B5"/>
    <w:rsid w:val="004A013B"/>
    <w:rsid w:val="004A13F9"/>
    <w:rsid w:val="004B2AEB"/>
    <w:rsid w:val="004B3CE2"/>
    <w:rsid w:val="004B4C6A"/>
    <w:rsid w:val="004B4D7F"/>
    <w:rsid w:val="004B5824"/>
    <w:rsid w:val="004B5B0E"/>
    <w:rsid w:val="004B628F"/>
    <w:rsid w:val="004B74DA"/>
    <w:rsid w:val="004C3678"/>
    <w:rsid w:val="004C4DC0"/>
    <w:rsid w:val="004C506F"/>
    <w:rsid w:val="004C5D6D"/>
    <w:rsid w:val="004D0A90"/>
    <w:rsid w:val="004D16BB"/>
    <w:rsid w:val="004D79F4"/>
    <w:rsid w:val="004E046A"/>
    <w:rsid w:val="004E2C23"/>
    <w:rsid w:val="004E4B69"/>
    <w:rsid w:val="004E4CAD"/>
    <w:rsid w:val="004E7918"/>
    <w:rsid w:val="004F1A62"/>
    <w:rsid w:val="004F1B4B"/>
    <w:rsid w:val="004F2A6B"/>
    <w:rsid w:val="004F2F1F"/>
    <w:rsid w:val="004F312C"/>
    <w:rsid w:val="004F35BE"/>
    <w:rsid w:val="004F49E7"/>
    <w:rsid w:val="004F4EA4"/>
    <w:rsid w:val="004F5424"/>
    <w:rsid w:val="004F6FEB"/>
    <w:rsid w:val="004F7247"/>
    <w:rsid w:val="005053EF"/>
    <w:rsid w:val="005105C8"/>
    <w:rsid w:val="00510CEE"/>
    <w:rsid w:val="00510F70"/>
    <w:rsid w:val="00511B64"/>
    <w:rsid w:val="00512F7C"/>
    <w:rsid w:val="005132D0"/>
    <w:rsid w:val="00517CE1"/>
    <w:rsid w:val="0052019C"/>
    <w:rsid w:val="005205B9"/>
    <w:rsid w:val="005214C9"/>
    <w:rsid w:val="00521FBD"/>
    <w:rsid w:val="0052223E"/>
    <w:rsid w:val="00523DD1"/>
    <w:rsid w:val="00525257"/>
    <w:rsid w:val="005259A7"/>
    <w:rsid w:val="00525A23"/>
    <w:rsid w:val="00525B89"/>
    <w:rsid w:val="00526A12"/>
    <w:rsid w:val="00527187"/>
    <w:rsid w:val="00527658"/>
    <w:rsid w:val="00527699"/>
    <w:rsid w:val="005305F7"/>
    <w:rsid w:val="00530CFB"/>
    <w:rsid w:val="00531BD3"/>
    <w:rsid w:val="00534B27"/>
    <w:rsid w:val="0054237D"/>
    <w:rsid w:val="00543048"/>
    <w:rsid w:val="00543953"/>
    <w:rsid w:val="00544A07"/>
    <w:rsid w:val="0054781B"/>
    <w:rsid w:val="005501D0"/>
    <w:rsid w:val="00550990"/>
    <w:rsid w:val="00551B35"/>
    <w:rsid w:val="0055481B"/>
    <w:rsid w:val="00555238"/>
    <w:rsid w:val="005555C0"/>
    <w:rsid w:val="00556C1C"/>
    <w:rsid w:val="0056086C"/>
    <w:rsid w:val="00560D31"/>
    <w:rsid w:val="005624B3"/>
    <w:rsid w:val="00562B89"/>
    <w:rsid w:val="00563DFA"/>
    <w:rsid w:val="005641D1"/>
    <w:rsid w:val="005643CB"/>
    <w:rsid w:val="005650C5"/>
    <w:rsid w:val="00565BA4"/>
    <w:rsid w:val="0056669F"/>
    <w:rsid w:val="00566CAF"/>
    <w:rsid w:val="00567BC4"/>
    <w:rsid w:val="00571D10"/>
    <w:rsid w:val="0057523B"/>
    <w:rsid w:val="0057567B"/>
    <w:rsid w:val="00576678"/>
    <w:rsid w:val="00583735"/>
    <w:rsid w:val="00584658"/>
    <w:rsid w:val="005856BE"/>
    <w:rsid w:val="005859EA"/>
    <w:rsid w:val="00590EF3"/>
    <w:rsid w:val="005924E7"/>
    <w:rsid w:val="005941DF"/>
    <w:rsid w:val="00594599"/>
    <w:rsid w:val="0059491D"/>
    <w:rsid w:val="00594D42"/>
    <w:rsid w:val="00595817"/>
    <w:rsid w:val="00596806"/>
    <w:rsid w:val="00596AD5"/>
    <w:rsid w:val="005A270D"/>
    <w:rsid w:val="005A44E1"/>
    <w:rsid w:val="005A76F4"/>
    <w:rsid w:val="005A7730"/>
    <w:rsid w:val="005A7FCE"/>
    <w:rsid w:val="005B15BE"/>
    <w:rsid w:val="005B38B1"/>
    <w:rsid w:val="005B6C7A"/>
    <w:rsid w:val="005B73EE"/>
    <w:rsid w:val="005C0E50"/>
    <w:rsid w:val="005C15E5"/>
    <w:rsid w:val="005C435C"/>
    <w:rsid w:val="005C601F"/>
    <w:rsid w:val="005C79C6"/>
    <w:rsid w:val="005D066F"/>
    <w:rsid w:val="005D0CE1"/>
    <w:rsid w:val="005D5DB5"/>
    <w:rsid w:val="005E0006"/>
    <w:rsid w:val="005E0780"/>
    <w:rsid w:val="005E106B"/>
    <w:rsid w:val="005E2686"/>
    <w:rsid w:val="005E3DAC"/>
    <w:rsid w:val="005E497C"/>
    <w:rsid w:val="005E5582"/>
    <w:rsid w:val="005E5E1E"/>
    <w:rsid w:val="005F3784"/>
    <w:rsid w:val="005F557F"/>
    <w:rsid w:val="005F7C47"/>
    <w:rsid w:val="00600E0F"/>
    <w:rsid w:val="0060111D"/>
    <w:rsid w:val="0060132A"/>
    <w:rsid w:val="00603EF1"/>
    <w:rsid w:val="00604876"/>
    <w:rsid w:val="00604F2A"/>
    <w:rsid w:val="00605688"/>
    <w:rsid w:val="00605B5F"/>
    <w:rsid w:val="00606AEC"/>
    <w:rsid w:val="0060718F"/>
    <w:rsid w:val="00607282"/>
    <w:rsid w:val="0061016A"/>
    <w:rsid w:val="0061466E"/>
    <w:rsid w:val="00617ED2"/>
    <w:rsid w:val="006234E4"/>
    <w:rsid w:val="006241E9"/>
    <w:rsid w:val="006244FE"/>
    <w:rsid w:val="00624BA0"/>
    <w:rsid w:val="0062683D"/>
    <w:rsid w:val="0062710B"/>
    <w:rsid w:val="00631C13"/>
    <w:rsid w:val="00631F1A"/>
    <w:rsid w:val="00632203"/>
    <w:rsid w:val="00632BB7"/>
    <w:rsid w:val="00633AF9"/>
    <w:rsid w:val="00633D8E"/>
    <w:rsid w:val="00634291"/>
    <w:rsid w:val="00635BE7"/>
    <w:rsid w:val="00635EB9"/>
    <w:rsid w:val="006427F7"/>
    <w:rsid w:val="00645737"/>
    <w:rsid w:val="006461A1"/>
    <w:rsid w:val="00647D5B"/>
    <w:rsid w:val="00651B09"/>
    <w:rsid w:val="00653601"/>
    <w:rsid w:val="00656365"/>
    <w:rsid w:val="006568AE"/>
    <w:rsid w:val="00660C31"/>
    <w:rsid w:val="00661361"/>
    <w:rsid w:val="0066191B"/>
    <w:rsid w:val="00662407"/>
    <w:rsid w:val="00663F84"/>
    <w:rsid w:val="00665145"/>
    <w:rsid w:val="00670C90"/>
    <w:rsid w:val="00670DDA"/>
    <w:rsid w:val="006718DD"/>
    <w:rsid w:val="00673628"/>
    <w:rsid w:val="00674B42"/>
    <w:rsid w:val="006762EE"/>
    <w:rsid w:val="0067727D"/>
    <w:rsid w:val="00680F17"/>
    <w:rsid w:val="00682A7A"/>
    <w:rsid w:val="00683E37"/>
    <w:rsid w:val="00684132"/>
    <w:rsid w:val="00684504"/>
    <w:rsid w:val="0068548B"/>
    <w:rsid w:val="006916C0"/>
    <w:rsid w:val="0069317A"/>
    <w:rsid w:val="00694270"/>
    <w:rsid w:val="00696ED9"/>
    <w:rsid w:val="00696EF8"/>
    <w:rsid w:val="00697270"/>
    <w:rsid w:val="006977BB"/>
    <w:rsid w:val="006A16C4"/>
    <w:rsid w:val="006A3CA3"/>
    <w:rsid w:val="006A5316"/>
    <w:rsid w:val="006A7BB0"/>
    <w:rsid w:val="006B13B0"/>
    <w:rsid w:val="006B280D"/>
    <w:rsid w:val="006B314A"/>
    <w:rsid w:val="006B35D1"/>
    <w:rsid w:val="006B3A00"/>
    <w:rsid w:val="006B47E2"/>
    <w:rsid w:val="006B5DFD"/>
    <w:rsid w:val="006B7E58"/>
    <w:rsid w:val="006C01BF"/>
    <w:rsid w:val="006C07D5"/>
    <w:rsid w:val="006C0E27"/>
    <w:rsid w:val="006C1C58"/>
    <w:rsid w:val="006C79CB"/>
    <w:rsid w:val="006D0B94"/>
    <w:rsid w:val="006D1475"/>
    <w:rsid w:val="006D1E92"/>
    <w:rsid w:val="006D425D"/>
    <w:rsid w:val="006D47F9"/>
    <w:rsid w:val="006D57EC"/>
    <w:rsid w:val="006D6D02"/>
    <w:rsid w:val="006D7085"/>
    <w:rsid w:val="006E0989"/>
    <w:rsid w:val="006E1140"/>
    <w:rsid w:val="006E25FC"/>
    <w:rsid w:val="006E2EE8"/>
    <w:rsid w:val="006E3A7D"/>
    <w:rsid w:val="006E45D9"/>
    <w:rsid w:val="006E6042"/>
    <w:rsid w:val="006E662A"/>
    <w:rsid w:val="006F0BEB"/>
    <w:rsid w:val="006F166F"/>
    <w:rsid w:val="006F1E62"/>
    <w:rsid w:val="006F24A8"/>
    <w:rsid w:val="006F314B"/>
    <w:rsid w:val="006F38AF"/>
    <w:rsid w:val="006F3E3B"/>
    <w:rsid w:val="006F4FDA"/>
    <w:rsid w:val="006F59BB"/>
    <w:rsid w:val="006F7C10"/>
    <w:rsid w:val="006F7D58"/>
    <w:rsid w:val="00701E37"/>
    <w:rsid w:val="00702FD4"/>
    <w:rsid w:val="0070361A"/>
    <w:rsid w:val="00704838"/>
    <w:rsid w:val="00704C3D"/>
    <w:rsid w:val="007053C2"/>
    <w:rsid w:val="00706502"/>
    <w:rsid w:val="007078FF"/>
    <w:rsid w:val="00707F33"/>
    <w:rsid w:val="007117B4"/>
    <w:rsid w:val="00712103"/>
    <w:rsid w:val="00712C80"/>
    <w:rsid w:val="00712DEC"/>
    <w:rsid w:val="00712E3E"/>
    <w:rsid w:val="007141AB"/>
    <w:rsid w:val="007141EB"/>
    <w:rsid w:val="007141F0"/>
    <w:rsid w:val="00716155"/>
    <w:rsid w:val="007164B3"/>
    <w:rsid w:val="007165E6"/>
    <w:rsid w:val="00717681"/>
    <w:rsid w:val="007176AA"/>
    <w:rsid w:val="007200A0"/>
    <w:rsid w:val="00720AE6"/>
    <w:rsid w:val="00720FAA"/>
    <w:rsid w:val="00721373"/>
    <w:rsid w:val="00721503"/>
    <w:rsid w:val="00721676"/>
    <w:rsid w:val="007217A3"/>
    <w:rsid w:val="00721981"/>
    <w:rsid w:val="00723866"/>
    <w:rsid w:val="00725C6F"/>
    <w:rsid w:val="00726300"/>
    <w:rsid w:val="00726594"/>
    <w:rsid w:val="00730FF1"/>
    <w:rsid w:val="007314E0"/>
    <w:rsid w:val="00732F6F"/>
    <w:rsid w:val="00733233"/>
    <w:rsid w:val="0073409C"/>
    <w:rsid w:val="00735C89"/>
    <w:rsid w:val="00736706"/>
    <w:rsid w:val="00737388"/>
    <w:rsid w:val="00740A13"/>
    <w:rsid w:val="00742EBE"/>
    <w:rsid w:val="007444BF"/>
    <w:rsid w:val="00744B92"/>
    <w:rsid w:val="007452F3"/>
    <w:rsid w:val="0074638E"/>
    <w:rsid w:val="0074784B"/>
    <w:rsid w:val="00754CD2"/>
    <w:rsid w:val="00756DF9"/>
    <w:rsid w:val="007610C6"/>
    <w:rsid w:val="00764E94"/>
    <w:rsid w:val="0076624C"/>
    <w:rsid w:val="00771AE7"/>
    <w:rsid w:val="00771C40"/>
    <w:rsid w:val="00771D59"/>
    <w:rsid w:val="007725F9"/>
    <w:rsid w:val="007727AA"/>
    <w:rsid w:val="00772DF4"/>
    <w:rsid w:val="00773327"/>
    <w:rsid w:val="00774241"/>
    <w:rsid w:val="0077444A"/>
    <w:rsid w:val="00774640"/>
    <w:rsid w:val="00774CC9"/>
    <w:rsid w:val="00774D23"/>
    <w:rsid w:val="0077596F"/>
    <w:rsid w:val="007766B3"/>
    <w:rsid w:val="00776A35"/>
    <w:rsid w:val="00780CE5"/>
    <w:rsid w:val="0078259E"/>
    <w:rsid w:val="00785CB8"/>
    <w:rsid w:val="00786235"/>
    <w:rsid w:val="0079054B"/>
    <w:rsid w:val="007918BF"/>
    <w:rsid w:val="007930D7"/>
    <w:rsid w:val="00793662"/>
    <w:rsid w:val="00793976"/>
    <w:rsid w:val="007946E2"/>
    <w:rsid w:val="00795B1F"/>
    <w:rsid w:val="007962E5"/>
    <w:rsid w:val="007A0798"/>
    <w:rsid w:val="007A201F"/>
    <w:rsid w:val="007A2557"/>
    <w:rsid w:val="007A34B5"/>
    <w:rsid w:val="007A4858"/>
    <w:rsid w:val="007A48B4"/>
    <w:rsid w:val="007A4E5B"/>
    <w:rsid w:val="007A643B"/>
    <w:rsid w:val="007B1DC2"/>
    <w:rsid w:val="007B3C02"/>
    <w:rsid w:val="007B4ADB"/>
    <w:rsid w:val="007B6FA1"/>
    <w:rsid w:val="007C243E"/>
    <w:rsid w:val="007C3192"/>
    <w:rsid w:val="007C41CF"/>
    <w:rsid w:val="007C4362"/>
    <w:rsid w:val="007D017B"/>
    <w:rsid w:val="007D3924"/>
    <w:rsid w:val="007D3D9D"/>
    <w:rsid w:val="007D5BB8"/>
    <w:rsid w:val="007D68E7"/>
    <w:rsid w:val="007E0027"/>
    <w:rsid w:val="007E026B"/>
    <w:rsid w:val="007E078F"/>
    <w:rsid w:val="007E1EED"/>
    <w:rsid w:val="007E359A"/>
    <w:rsid w:val="007E371E"/>
    <w:rsid w:val="007E44B7"/>
    <w:rsid w:val="007E50F4"/>
    <w:rsid w:val="007E64A7"/>
    <w:rsid w:val="007E72B2"/>
    <w:rsid w:val="007E7615"/>
    <w:rsid w:val="007F339D"/>
    <w:rsid w:val="007F3AD0"/>
    <w:rsid w:val="007F417B"/>
    <w:rsid w:val="007F54B6"/>
    <w:rsid w:val="007F78FE"/>
    <w:rsid w:val="007F7B99"/>
    <w:rsid w:val="008008E0"/>
    <w:rsid w:val="008009C6"/>
    <w:rsid w:val="00800BEA"/>
    <w:rsid w:val="00802F08"/>
    <w:rsid w:val="00803531"/>
    <w:rsid w:val="00803F9A"/>
    <w:rsid w:val="00805CCF"/>
    <w:rsid w:val="008071C7"/>
    <w:rsid w:val="00810771"/>
    <w:rsid w:val="00811753"/>
    <w:rsid w:val="00812A34"/>
    <w:rsid w:val="00815763"/>
    <w:rsid w:val="0082159B"/>
    <w:rsid w:val="00822102"/>
    <w:rsid w:val="008242A0"/>
    <w:rsid w:val="00824CC6"/>
    <w:rsid w:val="00826530"/>
    <w:rsid w:val="008274F8"/>
    <w:rsid w:val="00830071"/>
    <w:rsid w:val="00831613"/>
    <w:rsid w:val="00833280"/>
    <w:rsid w:val="00834025"/>
    <w:rsid w:val="00834878"/>
    <w:rsid w:val="00837753"/>
    <w:rsid w:val="00843679"/>
    <w:rsid w:val="008476EC"/>
    <w:rsid w:val="00852C34"/>
    <w:rsid w:val="00852E7A"/>
    <w:rsid w:val="00852E7C"/>
    <w:rsid w:val="008534EF"/>
    <w:rsid w:val="008539B7"/>
    <w:rsid w:val="00855CA5"/>
    <w:rsid w:val="00860948"/>
    <w:rsid w:val="00860BC5"/>
    <w:rsid w:val="00862027"/>
    <w:rsid w:val="00862BBF"/>
    <w:rsid w:val="00862EB3"/>
    <w:rsid w:val="00863EB6"/>
    <w:rsid w:val="00867D86"/>
    <w:rsid w:val="00870440"/>
    <w:rsid w:val="00870E9F"/>
    <w:rsid w:val="00873F29"/>
    <w:rsid w:val="00873F33"/>
    <w:rsid w:val="00874F8E"/>
    <w:rsid w:val="008751E3"/>
    <w:rsid w:val="00877FFE"/>
    <w:rsid w:val="0088076A"/>
    <w:rsid w:val="0088089C"/>
    <w:rsid w:val="00883C95"/>
    <w:rsid w:val="00884C1F"/>
    <w:rsid w:val="0088619A"/>
    <w:rsid w:val="008866A9"/>
    <w:rsid w:val="0088691B"/>
    <w:rsid w:val="0088718C"/>
    <w:rsid w:val="0089045B"/>
    <w:rsid w:val="008910A7"/>
    <w:rsid w:val="00891646"/>
    <w:rsid w:val="0089329A"/>
    <w:rsid w:val="00894BAC"/>
    <w:rsid w:val="0089633E"/>
    <w:rsid w:val="0089700D"/>
    <w:rsid w:val="008A1873"/>
    <w:rsid w:val="008A2395"/>
    <w:rsid w:val="008A4535"/>
    <w:rsid w:val="008A4FBD"/>
    <w:rsid w:val="008A5FCD"/>
    <w:rsid w:val="008A6625"/>
    <w:rsid w:val="008B15B3"/>
    <w:rsid w:val="008B2B62"/>
    <w:rsid w:val="008B3733"/>
    <w:rsid w:val="008B46D1"/>
    <w:rsid w:val="008B5201"/>
    <w:rsid w:val="008B5944"/>
    <w:rsid w:val="008B5B19"/>
    <w:rsid w:val="008B689C"/>
    <w:rsid w:val="008B6C0B"/>
    <w:rsid w:val="008B7AA4"/>
    <w:rsid w:val="008C00FC"/>
    <w:rsid w:val="008C041C"/>
    <w:rsid w:val="008C2392"/>
    <w:rsid w:val="008C3016"/>
    <w:rsid w:val="008C330D"/>
    <w:rsid w:val="008C5E9B"/>
    <w:rsid w:val="008C6040"/>
    <w:rsid w:val="008C717E"/>
    <w:rsid w:val="008D0767"/>
    <w:rsid w:val="008D1A1F"/>
    <w:rsid w:val="008D4054"/>
    <w:rsid w:val="008D6401"/>
    <w:rsid w:val="008E1C55"/>
    <w:rsid w:val="008E1F34"/>
    <w:rsid w:val="008E2C25"/>
    <w:rsid w:val="008E743B"/>
    <w:rsid w:val="008F1A79"/>
    <w:rsid w:val="008F2951"/>
    <w:rsid w:val="008F2A8D"/>
    <w:rsid w:val="008F2AAA"/>
    <w:rsid w:val="008F2F09"/>
    <w:rsid w:val="008F398F"/>
    <w:rsid w:val="008F3BA8"/>
    <w:rsid w:val="008F4D6E"/>
    <w:rsid w:val="008F517D"/>
    <w:rsid w:val="008F5B95"/>
    <w:rsid w:val="008F7C05"/>
    <w:rsid w:val="009003BD"/>
    <w:rsid w:val="0090043D"/>
    <w:rsid w:val="00901B74"/>
    <w:rsid w:val="00902F9D"/>
    <w:rsid w:val="0090376B"/>
    <w:rsid w:val="00904AE1"/>
    <w:rsid w:val="009055ED"/>
    <w:rsid w:val="0090670E"/>
    <w:rsid w:val="0090781E"/>
    <w:rsid w:val="0091071C"/>
    <w:rsid w:val="00910F43"/>
    <w:rsid w:val="0091108B"/>
    <w:rsid w:val="00911149"/>
    <w:rsid w:val="00912E10"/>
    <w:rsid w:val="009147FF"/>
    <w:rsid w:val="009154B5"/>
    <w:rsid w:val="00915FBC"/>
    <w:rsid w:val="009169F4"/>
    <w:rsid w:val="00917477"/>
    <w:rsid w:val="009213F9"/>
    <w:rsid w:val="009251E5"/>
    <w:rsid w:val="009256A5"/>
    <w:rsid w:val="00926DAD"/>
    <w:rsid w:val="00933B8A"/>
    <w:rsid w:val="00933DA8"/>
    <w:rsid w:val="00934CB8"/>
    <w:rsid w:val="00936BB8"/>
    <w:rsid w:val="00937494"/>
    <w:rsid w:val="00940B90"/>
    <w:rsid w:val="009428E5"/>
    <w:rsid w:val="00942CDB"/>
    <w:rsid w:val="0094300F"/>
    <w:rsid w:val="00944B7B"/>
    <w:rsid w:val="0095088B"/>
    <w:rsid w:val="00960165"/>
    <w:rsid w:val="009615C9"/>
    <w:rsid w:val="00962774"/>
    <w:rsid w:val="00963048"/>
    <w:rsid w:val="00964F65"/>
    <w:rsid w:val="00964FD3"/>
    <w:rsid w:val="00965798"/>
    <w:rsid w:val="0096679D"/>
    <w:rsid w:val="009717C0"/>
    <w:rsid w:val="00974122"/>
    <w:rsid w:val="00974ECA"/>
    <w:rsid w:val="009758F4"/>
    <w:rsid w:val="0097682D"/>
    <w:rsid w:val="00983F95"/>
    <w:rsid w:val="00986255"/>
    <w:rsid w:val="00990BE5"/>
    <w:rsid w:val="00990E42"/>
    <w:rsid w:val="00993D7F"/>
    <w:rsid w:val="00993F73"/>
    <w:rsid w:val="00994134"/>
    <w:rsid w:val="0099528E"/>
    <w:rsid w:val="00996ABE"/>
    <w:rsid w:val="00997255"/>
    <w:rsid w:val="009A14EF"/>
    <w:rsid w:val="009A2760"/>
    <w:rsid w:val="009A45B6"/>
    <w:rsid w:val="009A4A89"/>
    <w:rsid w:val="009A50CA"/>
    <w:rsid w:val="009A6F32"/>
    <w:rsid w:val="009A70DB"/>
    <w:rsid w:val="009A77F1"/>
    <w:rsid w:val="009B2F7F"/>
    <w:rsid w:val="009B3671"/>
    <w:rsid w:val="009B46C7"/>
    <w:rsid w:val="009C08C9"/>
    <w:rsid w:val="009C15E9"/>
    <w:rsid w:val="009C282C"/>
    <w:rsid w:val="009C286E"/>
    <w:rsid w:val="009C2A6A"/>
    <w:rsid w:val="009C40DD"/>
    <w:rsid w:val="009C4A2A"/>
    <w:rsid w:val="009C5482"/>
    <w:rsid w:val="009C7E50"/>
    <w:rsid w:val="009D1A88"/>
    <w:rsid w:val="009D1F66"/>
    <w:rsid w:val="009D464D"/>
    <w:rsid w:val="009D4EBC"/>
    <w:rsid w:val="009D65AC"/>
    <w:rsid w:val="009D7226"/>
    <w:rsid w:val="009D7D04"/>
    <w:rsid w:val="009E01D6"/>
    <w:rsid w:val="009E0395"/>
    <w:rsid w:val="009E136B"/>
    <w:rsid w:val="009E401D"/>
    <w:rsid w:val="009E45EB"/>
    <w:rsid w:val="009E5C1B"/>
    <w:rsid w:val="009E5F6C"/>
    <w:rsid w:val="009E6924"/>
    <w:rsid w:val="009E71D4"/>
    <w:rsid w:val="009F0322"/>
    <w:rsid w:val="009F12DE"/>
    <w:rsid w:val="009F1D61"/>
    <w:rsid w:val="009F32CA"/>
    <w:rsid w:val="009F3CB7"/>
    <w:rsid w:val="00A00C23"/>
    <w:rsid w:val="00A02544"/>
    <w:rsid w:val="00A042D4"/>
    <w:rsid w:val="00A04B8F"/>
    <w:rsid w:val="00A0502C"/>
    <w:rsid w:val="00A07762"/>
    <w:rsid w:val="00A0794E"/>
    <w:rsid w:val="00A07B21"/>
    <w:rsid w:val="00A10124"/>
    <w:rsid w:val="00A10166"/>
    <w:rsid w:val="00A10970"/>
    <w:rsid w:val="00A1345E"/>
    <w:rsid w:val="00A14513"/>
    <w:rsid w:val="00A1662B"/>
    <w:rsid w:val="00A16CFF"/>
    <w:rsid w:val="00A17253"/>
    <w:rsid w:val="00A17995"/>
    <w:rsid w:val="00A17AB4"/>
    <w:rsid w:val="00A2018E"/>
    <w:rsid w:val="00A20855"/>
    <w:rsid w:val="00A241B0"/>
    <w:rsid w:val="00A25A98"/>
    <w:rsid w:val="00A26567"/>
    <w:rsid w:val="00A26EE2"/>
    <w:rsid w:val="00A307FD"/>
    <w:rsid w:val="00A311ED"/>
    <w:rsid w:val="00A31600"/>
    <w:rsid w:val="00A3273D"/>
    <w:rsid w:val="00A32999"/>
    <w:rsid w:val="00A339A7"/>
    <w:rsid w:val="00A33C1C"/>
    <w:rsid w:val="00A33C95"/>
    <w:rsid w:val="00A33F33"/>
    <w:rsid w:val="00A35FAF"/>
    <w:rsid w:val="00A407D7"/>
    <w:rsid w:val="00A4185B"/>
    <w:rsid w:val="00A4202C"/>
    <w:rsid w:val="00A42C5A"/>
    <w:rsid w:val="00A430E5"/>
    <w:rsid w:val="00A432CE"/>
    <w:rsid w:val="00A466E4"/>
    <w:rsid w:val="00A50C23"/>
    <w:rsid w:val="00A5322A"/>
    <w:rsid w:val="00A534BC"/>
    <w:rsid w:val="00A536E5"/>
    <w:rsid w:val="00A61557"/>
    <w:rsid w:val="00A62508"/>
    <w:rsid w:val="00A635FB"/>
    <w:rsid w:val="00A658D1"/>
    <w:rsid w:val="00A658E4"/>
    <w:rsid w:val="00A667FF"/>
    <w:rsid w:val="00A6680E"/>
    <w:rsid w:val="00A66A4B"/>
    <w:rsid w:val="00A732DB"/>
    <w:rsid w:val="00A73CFA"/>
    <w:rsid w:val="00A77E89"/>
    <w:rsid w:val="00A85C52"/>
    <w:rsid w:val="00A874B9"/>
    <w:rsid w:val="00A9231C"/>
    <w:rsid w:val="00A9381A"/>
    <w:rsid w:val="00A94B78"/>
    <w:rsid w:val="00A9605E"/>
    <w:rsid w:val="00A96367"/>
    <w:rsid w:val="00A97BDD"/>
    <w:rsid w:val="00AA0099"/>
    <w:rsid w:val="00AA0673"/>
    <w:rsid w:val="00AA1326"/>
    <w:rsid w:val="00AA3A86"/>
    <w:rsid w:val="00AA511B"/>
    <w:rsid w:val="00AA5769"/>
    <w:rsid w:val="00AA6132"/>
    <w:rsid w:val="00AA6A1D"/>
    <w:rsid w:val="00AA714A"/>
    <w:rsid w:val="00AA74B4"/>
    <w:rsid w:val="00AA7A72"/>
    <w:rsid w:val="00AB1C98"/>
    <w:rsid w:val="00AB4B51"/>
    <w:rsid w:val="00AB58EF"/>
    <w:rsid w:val="00AB5C4F"/>
    <w:rsid w:val="00AB64D6"/>
    <w:rsid w:val="00AB6B62"/>
    <w:rsid w:val="00AB7035"/>
    <w:rsid w:val="00AC00A8"/>
    <w:rsid w:val="00AC0197"/>
    <w:rsid w:val="00AC3063"/>
    <w:rsid w:val="00AC4A5F"/>
    <w:rsid w:val="00AC65B1"/>
    <w:rsid w:val="00AC759A"/>
    <w:rsid w:val="00AD2013"/>
    <w:rsid w:val="00AD2472"/>
    <w:rsid w:val="00AD4F9A"/>
    <w:rsid w:val="00AD5C84"/>
    <w:rsid w:val="00AD6206"/>
    <w:rsid w:val="00AD6A3E"/>
    <w:rsid w:val="00AD741D"/>
    <w:rsid w:val="00AD7F78"/>
    <w:rsid w:val="00AD7FF1"/>
    <w:rsid w:val="00AE2802"/>
    <w:rsid w:val="00AE370E"/>
    <w:rsid w:val="00AE5A7B"/>
    <w:rsid w:val="00AE5C3B"/>
    <w:rsid w:val="00AE6EB9"/>
    <w:rsid w:val="00AE7785"/>
    <w:rsid w:val="00AF0116"/>
    <w:rsid w:val="00AF240D"/>
    <w:rsid w:val="00AF2632"/>
    <w:rsid w:val="00AF3ACF"/>
    <w:rsid w:val="00AF4F03"/>
    <w:rsid w:val="00AF5539"/>
    <w:rsid w:val="00AF66C9"/>
    <w:rsid w:val="00AF7FAD"/>
    <w:rsid w:val="00B05334"/>
    <w:rsid w:val="00B128AB"/>
    <w:rsid w:val="00B13D3F"/>
    <w:rsid w:val="00B13D81"/>
    <w:rsid w:val="00B157D1"/>
    <w:rsid w:val="00B1589F"/>
    <w:rsid w:val="00B16879"/>
    <w:rsid w:val="00B17B13"/>
    <w:rsid w:val="00B2164F"/>
    <w:rsid w:val="00B2436C"/>
    <w:rsid w:val="00B27868"/>
    <w:rsid w:val="00B31026"/>
    <w:rsid w:val="00B31250"/>
    <w:rsid w:val="00B3363E"/>
    <w:rsid w:val="00B3498E"/>
    <w:rsid w:val="00B35452"/>
    <w:rsid w:val="00B3564E"/>
    <w:rsid w:val="00B36ABD"/>
    <w:rsid w:val="00B37866"/>
    <w:rsid w:val="00B419B4"/>
    <w:rsid w:val="00B41D20"/>
    <w:rsid w:val="00B43248"/>
    <w:rsid w:val="00B437E0"/>
    <w:rsid w:val="00B438A9"/>
    <w:rsid w:val="00B46502"/>
    <w:rsid w:val="00B505D4"/>
    <w:rsid w:val="00B5248A"/>
    <w:rsid w:val="00B52490"/>
    <w:rsid w:val="00B524B8"/>
    <w:rsid w:val="00B527D5"/>
    <w:rsid w:val="00B53886"/>
    <w:rsid w:val="00B55049"/>
    <w:rsid w:val="00B55E38"/>
    <w:rsid w:val="00B565B5"/>
    <w:rsid w:val="00B56FAC"/>
    <w:rsid w:val="00B60825"/>
    <w:rsid w:val="00B64E53"/>
    <w:rsid w:val="00B64F78"/>
    <w:rsid w:val="00B65D69"/>
    <w:rsid w:val="00B662D0"/>
    <w:rsid w:val="00B72C7E"/>
    <w:rsid w:val="00B73F21"/>
    <w:rsid w:val="00B7795E"/>
    <w:rsid w:val="00B77D5A"/>
    <w:rsid w:val="00B80B40"/>
    <w:rsid w:val="00B81B6D"/>
    <w:rsid w:val="00B82F75"/>
    <w:rsid w:val="00B83D4D"/>
    <w:rsid w:val="00B8415B"/>
    <w:rsid w:val="00B84EB8"/>
    <w:rsid w:val="00B851EF"/>
    <w:rsid w:val="00B85559"/>
    <w:rsid w:val="00B91606"/>
    <w:rsid w:val="00B92A42"/>
    <w:rsid w:val="00B93AE6"/>
    <w:rsid w:val="00B93CDE"/>
    <w:rsid w:val="00B95A8B"/>
    <w:rsid w:val="00B96A26"/>
    <w:rsid w:val="00B96E09"/>
    <w:rsid w:val="00BA14A3"/>
    <w:rsid w:val="00BA4391"/>
    <w:rsid w:val="00BA45F3"/>
    <w:rsid w:val="00BA5AE3"/>
    <w:rsid w:val="00BB3071"/>
    <w:rsid w:val="00BB3BE3"/>
    <w:rsid w:val="00BB52E3"/>
    <w:rsid w:val="00BB6020"/>
    <w:rsid w:val="00BB769E"/>
    <w:rsid w:val="00BC21EB"/>
    <w:rsid w:val="00BC2461"/>
    <w:rsid w:val="00BC2ACF"/>
    <w:rsid w:val="00BC564D"/>
    <w:rsid w:val="00BC6080"/>
    <w:rsid w:val="00BC6BF4"/>
    <w:rsid w:val="00BC708D"/>
    <w:rsid w:val="00BC723F"/>
    <w:rsid w:val="00BC757F"/>
    <w:rsid w:val="00BD01F7"/>
    <w:rsid w:val="00BD0FEA"/>
    <w:rsid w:val="00BD2550"/>
    <w:rsid w:val="00BD296D"/>
    <w:rsid w:val="00BD4709"/>
    <w:rsid w:val="00BD4861"/>
    <w:rsid w:val="00BD4968"/>
    <w:rsid w:val="00BD5828"/>
    <w:rsid w:val="00BD68A5"/>
    <w:rsid w:val="00BE1260"/>
    <w:rsid w:val="00BE1486"/>
    <w:rsid w:val="00BE1A1A"/>
    <w:rsid w:val="00BE4720"/>
    <w:rsid w:val="00BE5C06"/>
    <w:rsid w:val="00BE5DC2"/>
    <w:rsid w:val="00BF0E67"/>
    <w:rsid w:val="00BF5CC6"/>
    <w:rsid w:val="00BF64BC"/>
    <w:rsid w:val="00C00357"/>
    <w:rsid w:val="00C01586"/>
    <w:rsid w:val="00C067DA"/>
    <w:rsid w:val="00C06876"/>
    <w:rsid w:val="00C074EC"/>
    <w:rsid w:val="00C07713"/>
    <w:rsid w:val="00C10C15"/>
    <w:rsid w:val="00C11DCD"/>
    <w:rsid w:val="00C1428F"/>
    <w:rsid w:val="00C1507F"/>
    <w:rsid w:val="00C162FF"/>
    <w:rsid w:val="00C17BAE"/>
    <w:rsid w:val="00C20A5C"/>
    <w:rsid w:val="00C2142C"/>
    <w:rsid w:val="00C2196B"/>
    <w:rsid w:val="00C2232F"/>
    <w:rsid w:val="00C22FB2"/>
    <w:rsid w:val="00C232F6"/>
    <w:rsid w:val="00C24E0F"/>
    <w:rsid w:val="00C25494"/>
    <w:rsid w:val="00C25F6E"/>
    <w:rsid w:val="00C27B24"/>
    <w:rsid w:val="00C31DF6"/>
    <w:rsid w:val="00C32662"/>
    <w:rsid w:val="00C34438"/>
    <w:rsid w:val="00C35BB7"/>
    <w:rsid w:val="00C368B3"/>
    <w:rsid w:val="00C3798D"/>
    <w:rsid w:val="00C46142"/>
    <w:rsid w:val="00C47070"/>
    <w:rsid w:val="00C51FFF"/>
    <w:rsid w:val="00C52404"/>
    <w:rsid w:val="00C54C2B"/>
    <w:rsid w:val="00C5532D"/>
    <w:rsid w:val="00C56FA7"/>
    <w:rsid w:val="00C60030"/>
    <w:rsid w:val="00C63E9D"/>
    <w:rsid w:val="00C6727A"/>
    <w:rsid w:val="00C70DC5"/>
    <w:rsid w:val="00C71EC7"/>
    <w:rsid w:val="00C71ED8"/>
    <w:rsid w:val="00C72937"/>
    <w:rsid w:val="00C74B4F"/>
    <w:rsid w:val="00C75040"/>
    <w:rsid w:val="00C75A16"/>
    <w:rsid w:val="00C75EC7"/>
    <w:rsid w:val="00C763DD"/>
    <w:rsid w:val="00C76B78"/>
    <w:rsid w:val="00C779CF"/>
    <w:rsid w:val="00C77B2A"/>
    <w:rsid w:val="00C8026C"/>
    <w:rsid w:val="00C85CE7"/>
    <w:rsid w:val="00C91367"/>
    <w:rsid w:val="00C91939"/>
    <w:rsid w:val="00C91E8E"/>
    <w:rsid w:val="00C92257"/>
    <w:rsid w:val="00C92A8F"/>
    <w:rsid w:val="00C962D4"/>
    <w:rsid w:val="00CA1DC0"/>
    <w:rsid w:val="00CA3CF2"/>
    <w:rsid w:val="00CA5C5A"/>
    <w:rsid w:val="00CA778D"/>
    <w:rsid w:val="00CB05F1"/>
    <w:rsid w:val="00CB179F"/>
    <w:rsid w:val="00CB2156"/>
    <w:rsid w:val="00CB3AC7"/>
    <w:rsid w:val="00CB4B23"/>
    <w:rsid w:val="00CB4D0D"/>
    <w:rsid w:val="00CB5D22"/>
    <w:rsid w:val="00CB5D8A"/>
    <w:rsid w:val="00CB65EA"/>
    <w:rsid w:val="00CC156E"/>
    <w:rsid w:val="00CC31B5"/>
    <w:rsid w:val="00CC4004"/>
    <w:rsid w:val="00CC4FD1"/>
    <w:rsid w:val="00CC5A30"/>
    <w:rsid w:val="00CC6E0A"/>
    <w:rsid w:val="00CC712F"/>
    <w:rsid w:val="00CD0E61"/>
    <w:rsid w:val="00CD108D"/>
    <w:rsid w:val="00CD1384"/>
    <w:rsid w:val="00CD22D7"/>
    <w:rsid w:val="00CD2BB5"/>
    <w:rsid w:val="00CD4DDD"/>
    <w:rsid w:val="00CD5AC6"/>
    <w:rsid w:val="00CD6D46"/>
    <w:rsid w:val="00CE0393"/>
    <w:rsid w:val="00CE1A37"/>
    <w:rsid w:val="00CE72D0"/>
    <w:rsid w:val="00CE745C"/>
    <w:rsid w:val="00CF114E"/>
    <w:rsid w:val="00CF21EB"/>
    <w:rsid w:val="00CF385B"/>
    <w:rsid w:val="00D02EB9"/>
    <w:rsid w:val="00D052D8"/>
    <w:rsid w:val="00D07986"/>
    <w:rsid w:val="00D10D84"/>
    <w:rsid w:val="00D129D7"/>
    <w:rsid w:val="00D1349B"/>
    <w:rsid w:val="00D1399B"/>
    <w:rsid w:val="00D13A2C"/>
    <w:rsid w:val="00D13CAB"/>
    <w:rsid w:val="00D157F8"/>
    <w:rsid w:val="00D16596"/>
    <w:rsid w:val="00D173D3"/>
    <w:rsid w:val="00D2041A"/>
    <w:rsid w:val="00D21AF6"/>
    <w:rsid w:val="00D24AE6"/>
    <w:rsid w:val="00D2555C"/>
    <w:rsid w:val="00D2577E"/>
    <w:rsid w:val="00D30341"/>
    <w:rsid w:val="00D31D06"/>
    <w:rsid w:val="00D3408E"/>
    <w:rsid w:val="00D351E0"/>
    <w:rsid w:val="00D35D40"/>
    <w:rsid w:val="00D40318"/>
    <w:rsid w:val="00D43431"/>
    <w:rsid w:val="00D4596B"/>
    <w:rsid w:val="00D516ED"/>
    <w:rsid w:val="00D55CBF"/>
    <w:rsid w:val="00D6053F"/>
    <w:rsid w:val="00D62546"/>
    <w:rsid w:val="00D64C10"/>
    <w:rsid w:val="00D65623"/>
    <w:rsid w:val="00D65FD4"/>
    <w:rsid w:val="00D663BC"/>
    <w:rsid w:val="00D66656"/>
    <w:rsid w:val="00D67BD9"/>
    <w:rsid w:val="00D72808"/>
    <w:rsid w:val="00D72C69"/>
    <w:rsid w:val="00D73CD3"/>
    <w:rsid w:val="00D77B22"/>
    <w:rsid w:val="00D8108C"/>
    <w:rsid w:val="00D82443"/>
    <w:rsid w:val="00D82492"/>
    <w:rsid w:val="00D84D2F"/>
    <w:rsid w:val="00D925A9"/>
    <w:rsid w:val="00D9753D"/>
    <w:rsid w:val="00D97DDB"/>
    <w:rsid w:val="00DA3A36"/>
    <w:rsid w:val="00DA3FA7"/>
    <w:rsid w:val="00DA62F9"/>
    <w:rsid w:val="00DA6A92"/>
    <w:rsid w:val="00DA7679"/>
    <w:rsid w:val="00DB1710"/>
    <w:rsid w:val="00DB27AF"/>
    <w:rsid w:val="00DB42DF"/>
    <w:rsid w:val="00DB454E"/>
    <w:rsid w:val="00DB5A16"/>
    <w:rsid w:val="00DC08C5"/>
    <w:rsid w:val="00DC31E2"/>
    <w:rsid w:val="00DC437D"/>
    <w:rsid w:val="00DC604A"/>
    <w:rsid w:val="00DC6327"/>
    <w:rsid w:val="00DC6529"/>
    <w:rsid w:val="00DC6817"/>
    <w:rsid w:val="00DC6B29"/>
    <w:rsid w:val="00DC6DEB"/>
    <w:rsid w:val="00DD0F32"/>
    <w:rsid w:val="00DD43A5"/>
    <w:rsid w:val="00DD4FCA"/>
    <w:rsid w:val="00DD5107"/>
    <w:rsid w:val="00DD5645"/>
    <w:rsid w:val="00DD65DD"/>
    <w:rsid w:val="00DE03EB"/>
    <w:rsid w:val="00DE08B9"/>
    <w:rsid w:val="00DE2366"/>
    <w:rsid w:val="00DE33B4"/>
    <w:rsid w:val="00DE39A6"/>
    <w:rsid w:val="00DE4E3E"/>
    <w:rsid w:val="00DE504E"/>
    <w:rsid w:val="00DE5291"/>
    <w:rsid w:val="00DE79D5"/>
    <w:rsid w:val="00DF007C"/>
    <w:rsid w:val="00DF0103"/>
    <w:rsid w:val="00DF1906"/>
    <w:rsid w:val="00DF3393"/>
    <w:rsid w:val="00DF5DAE"/>
    <w:rsid w:val="00DF6800"/>
    <w:rsid w:val="00DF6CED"/>
    <w:rsid w:val="00E0343B"/>
    <w:rsid w:val="00E0657F"/>
    <w:rsid w:val="00E06E60"/>
    <w:rsid w:val="00E106A6"/>
    <w:rsid w:val="00E11DAC"/>
    <w:rsid w:val="00E12041"/>
    <w:rsid w:val="00E12CDA"/>
    <w:rsid w:val="00E12E8C"/>
    <w:rsid w:val="00E12F3F"/>
    <w:rsid w:val="00E15B48"/>
    <w:rsid w:val="00E171A7"/>
    <w:rsid w:val="00E17848"/>
    <w:rsid w:val="00E20851"/>
    <w:rsid w:val="00E21E85"/>
    <w:rsid w:val="00E251D0"/>
    <w:rsid w:val="00E269AD"/>
    <w:rsid w:val="00E26A1D"/>
    <w:rsid w:val="00E26EE4"/>
    <w:rsid w:val="00E314FC"/>
    <w:rsid w:val="00E319E5"/>
    <w:rsid w:val="00E32235"/>
    <w:rsid w:val="00E329F8"/>
    <w:rsid w:val="00E34755"/>
    <w:rsid w:val="00E34AD3"/>
    <w:rsid w:val="00E35ACB"/>
    <w:rsid w:val="00E376F9"/>
    <w:rsid w:val="00E428ED"/>
    <w:rsid w:val="00E43832"/>
    <w:rsid w:val="00E43AA0"/>
    <w:rsid w:val="00E51C69"/>
    <w:rsid w:val="00E51FA0"/>
    <w:rsid w:val="00E5221D"/>
    <w:rsid w:val="00E52A8A"/>
    <w:rsid w:val="00E52C3B"/>
    <w:rsid w:val="00E53480"/>
    <w:rsid w:val="00E54600"/>
    <w:rsid w:val="00E55B41"/>
    <w:rsid w:val="00E564A7"/>
    <w:rsid w:val="00E56D3F"/>
    <w:rsid w:val="00E62901"/>
    <w:rsid w:val="00E63E2A"/>
    <w:rsid w:val="00E64BD9"/>
    <w:rsid w:val="00E67E9F"/>
    <w:rsid w:val="00E715C4"/>
    <w:rsid w:val="00E7253E"/>
    <w:rsid w:val="00E74F99"/>
    <w:rsid w:val="00E757C0"/>
    <w:rsid w:val="00E75960"/>
    <w:rsid w:val="00E75E79"/>
    <w:rsid w:val="00E77788"/>
    <w:rsid w:val="00E80C01"/>
    <w:rsid w:val="00E8329D"/>
    <w:rsid w:val="00E838AD"/>
    <w:rsid w:val="00E83DC7"/>
    <w:rsid w:val="00E840AD"/>
    <w:rsid w:val="00E841BA"/>
    <w:rsid w:val="00E843B9"/>
    <w:rsid w:val="00E84A76"/>
    <w:rsid w:val="00E866D7"/>
    <w:rsid w:val="00E86F4C"/>
    <w:rsid w:val="00E9149B"/>
    <w:rsid w:val="00E92807"/>
    <w:rsid w:val="00E93697"/>
    <w:rsid w:val="00E93FB5"/>
    <w:rsid w:val="00E9462A"/>
    <w:rsid w:val="00E955BB"/>
    <w:rsid w:val="00E9591B"/>
    <w:rsid w:val="00E95A6E"/>
    <w:rsid w:val="00E9678C"/>
    <w:rsid w:val="00EA00F7"/>
    <w:rsid w:val="00EA0F6C"/>
    <w:rsid w:val="00EA14ED"/>
    <w:rsid w:val="00EA1C19"/>
    <w:rsid w:val="00EA3323"/>
    <w:rsid w:val="00EA3D4D"/>
    <w:rsid w:val="00EA6C1D"/>
    <w:rsid w:val="00EB1CAE"/>
    <w:rsid w:val="00EB3539"/>
    <w:rsid w:val="00EB398A"/>
    <w:rsid w:val="00EB5BF6"/>
    <w:rsid w:val="00EB60E3"/>
    <w:rsid w:val="00EB736D"/>
    <w:rsid w:val="00EB741B"/>
    <w:rsid w:val="00EB7E06"/>
    <w:rsid w:val="00EC0262"/>
    <w:rsid w:val="00EC03FB"/>
    <w:rsid w:val="00EC04B4"/>
    <w:rsid w:val="00EC086A"/>
    <w:rsid w:val="00EC15A8"/>
    <w:rsid w:val="00EC3B93"/>
    <w:rsid w:val="00EC45A3"/>
    <w:rsid w:val="00ED0EB6"/>
    <w:rsid w:val="00ED205B"/>
    <w:rsid w:val="00ED32C9"/>
    <w:rsid w:val="00ED5086"/>
    <w:rsid w:val="00ED5463"/>
    <w:rsid w:val="00ED5F70"/>
    <w:rsid w:val="00EE17FF"/>
    <w:rsid w:val="00EE1D1D"/>
    <w:rsid w:val="00EE3A22"/>
    <w:rsid w:val="00EE4745"/>
    <w:rsid w:val="00EE6098"/>
    <w:rsid w:val="00EE6A79"/>
    <w:rsid w:val="00EE6C9D"/>
    <w:rsid w:val="00EF3F37"/>
    <w:rsid w:val="00EF46E2"/>
    <w:rsid w:val="00EF4753"/>
    <w:rsid w:val="00EF54D7"/>
    <w:rsid w:val="00F00A5A"/>
    <w:rsid w:val="00F02759"/>
    <w:rsid w:val="00F02FAA"/>
    <w:rsid w:val="00F03612"/>
    <w:rsid w:val="00F03E9E"/>
    <w:rsid w:val="00F04A6E"/>
    <w:rsid w:val="00F05CA1"/>
    <w:rsid w:val="00F07D6C"/>
    <w:rsid w:val="00F10DBD"/>
    <w:rsid w:val="00F13D5B"/>
    <w:rsid w:val="00F14D6E"/>
    <w:rsid w:val="00F1784E"/>
    <w:rsid w:val="00F209B9"/>
    <w:rsid w:val="00F226DC"/>
    <w:rsid w:val="00F23C99"/>
    <w:rsid w:val="00F24085"/>
    <w:rsid w:val="00F24686"/>
    <w:rsid w:val="00F25473"/>
    <w:rsid w:val="00F254D8"/>
    <w:rsid w:val="00F25897"/>
    <w:rsid w:val="00F26B3F"/>
    <w:rsid w:val="00F27746"/>
    <w:rsid w:val="00F32697"/>
    <w:rsid w:val="00F33D96"/>
    <w:rsid w:val="00F33F3B"/>
    <w:rsid w:val="00F34B97"/>
    <w:rsid w:val="00F3546F"/>
    <w:rsid w:val="00F362F8"/>
    <w:rsid w:val="00F36EFF"/>
    <w:rsid w:val="00F40257"/>
    <w:rsid w:val="00F41059"/>
    <w:rsid w:val="00F437F1"/>
    <w:rsid w:val="00F460F0"/>
    <w:rsid w:val="00F51823"/>
    <w:rsid w:val="00F51A78"/>
    <w:rsid w:val="00F5239C"/>
    <w:rsid w:val="00F52C24"/>
    <w:rsid w:val="00F54546"/>
    <w:rsid w:val="00F54950"/>
    <w:rsid w:val="00F54CB0"/>
    <w:rsid w:val="00F55836"/>
    <w:rsid w:val="00F6038A"/>
    <w:rsid w:val="00F611DC"/>
    <w:rsid w:val="00F61BD6"/>
    <w:rsid w:val="00F639E3"/>
    <w:rsid w:val="00F65749"/>
    <w:rsid w:val="00F65B7B"/>
    <w:rsid w:val="00F66128"/>
    <w:rsid w:val="00F665B5"/>
    <w:rsid w:val="00F7002B"/>
    <w:rsid w:val="00F7136B"/>
    <w:rsid w:val="00F750E3"/>
    <w:rsid w:val="00F756E4"/>
    <w:rsid w:val="00F802A8"/>
    <w:rsid w:val="00F80701"/>
    <w:rsid w:val="00F814A7"/>
    <w:rsid w:val="00F82DC2"/>
    <w:rsid w:val="00F82E97"/>
    <w:rsid w:val="00F83191"/>
    <w:rsid w:val="00F83216"/>
    <w:rsid w:val="00F86A40"/>
    <w:rsid w:val="00F87682"/>
    <w:rsid w:val="00F9005C"/>
    <w:rsid w:val="00F9070C"/>
    <w:rsid w:val="00F9276A"/>
    <w:rsid w:val="00F93B72"/>
    <w:rsid w:val="00F94223"/>
    <w:rsid w:val="00F94F2E"/>
    <w:rsid w:val="00F95F92"/>
    <w:rsid w:val="00F964F7"/>
    <w:rsid w:val="00F97E6F"/>
    <w:rsid w:val="00FA2685"/>
    <w:rsid w:val="00FA4C37"/>
    <w:rsid w:val="00FA5169"/>
    <w:rsid w:val="00FA5550"/>
    <w:rsid w:val="00FA5FD1"/>
    <w:rsid w:val="00FA709F"/>
    <w:rsid w:val="00FA7E8F"/>
    <w:rsid w:val="00FB1537"/>
    <w:rsid w:val="00FB1949"/>
    <w:rsid w:val="00FB25FA"/>
    <w:rsid w:val="00FB6548"/>
    <w:rsid w:val="00FB6D6A"/>
    <w:rsid w:val="00FB7360"/>
    <w:rsid w:val="00FB788C"/>
    <w:rsid w:val="00FC0726"/>
    <w:rsid w:val="00FC3B46"/>
    <w:rsid w:val="00FC6031"/>
    <w:rsid w:val="00FC6510"/>
    <w:rsid w:val="00FD0531"/>
    <w:rsid w:val="00FD1711"/>
    <w:rsid w:val="00FD34AE"/>
    <w:rsid w:val="00FD3A54"/>
    <w:rsid w:val="00FD3F34"/>
    <w:rsid w:val="00FD4B28"/>
    <w:rsid w:val="00FD4E0D"/>
    <w:rsid w:val="00FD5145"/>
    <w:rsid w:val="00FD7A3A"/>
    <w:rsid w:val="00FE1759"/>
    <w:rsid w:val="00FE21D6"/>
    <w:rsid w:val="00FE2E85"/>
    <w:rsid w:val="00FE4422"/>
    <w:rsid w:val="00FE4CCE"/>
    <w:rsid w:val="00FE573C"/>
    <w:rsid w:val="00FE58DA"/>
    <w:rsid w:val="00FE66CC"/>
    <w:rsid w:val="00FE7949"/>
    <w:rsid w:val="00FF27D7"/>
    <w:rsid w:val="00FF5581"/>
    <w:rsid w:val="00FF5985"/>
    <w:rsid w:val="00FF6D69"/>
    <w:rsid w:val="00FF6E6A"/>
    <w:rsid w:val="00FF72AA"/>
    <w:rsid w:val="0DB918EE"/>
    <w:rsid w:val="1B4030D7"/>
    <w:rsid w:val="1C2507D9"/>
    <w:rsid w:val="235822A6"/>
    <w:rsid w:val="24342B56"/>
    <w:rsid w:val="3649352C"/>
    <w:rsid w:val="38AC41A0"/>
    <w:rsid w:val="41F30DBB"/>
    <w:rsid w:val="42973B52"/>
    <w:rsid w:val="44C958B7"/>
    <w:rsid w:val="4A767548"/>
    <w:rsid w:val="4FB16AA7"/>
    <w:rsid w:val="515500CB"/>
    <w:rsid w:val="566F344D"/>
    <w:rsid w:val="63716114"/>
    <w:rsid w:val="64F76AE8"/>
    <w:rsid w:val="656B1338"/>
    <w:rsid w:val="68EC2D43"/>
    <w:rsid w:val="6BB73461"/>
    <w:rsid w:val="6FAE395C"/>
    <w:rsid w:val="702603CC"/>
    <w:rsid w:val="713315CA"/>
    <w:rsid w:val="729B1611"/>
    <w:rsid w:val="734C3358"/>
    <w:rsid w:val="739637F5"/>
    <w:rsid w:val="74270D3C"/>
    <w:rsid w:val="75F02CD1"/>
    <w:rsid w:val="7823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semiHidden="0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semiHidden="0" w:name="footnote text"/>
    <w:lsdException w:qFormat="1" w:uiPriority="99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semiHidden="0" w:name="footnote reference"/>
    <w:lsdException w:qFormat="1"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iPriority="0" w:semiHidden="0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宋体" w:hAnsi="宋体" w:eastAsia="宋体" w:cs="宋体"/>
      <w:color w:val="000000" w:themeColor="text1"/>
      <w:kern w:val="2"/>
      <w:sz w:val="21"/>
      <w:szCs w:val="21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50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link w:val="66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70"/>
    <w:qFormat/>
    <w:uiPriority w:val="0"/>
    <w:pPr>
      <w:keepNext/>
      <w:keepLines/>
      <w:spacing w:before="280" w:after="290" w:line="376" w:lineRule="auto"/>
      <w:outlineLvl w:val="4"/>
    </w:pPr>
    <w:rPr>
      <w:rFonts w:ascii="Calibri" w:hAnsi="Calibri" w:cs="Times New Roman"/>
      <w:b/>
      <w:bCs/>
      <w:color w:val="auto"/>
      <w:sz w:val="28"/>
      <w:szCs w:val="28"/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7"/>
    <w:basedOn w:val="1"/>
    <w:next w:val="1"/>
    <w:unhideWhenUsed/>
    <w:qFormat/>
    <w:uiPriority w:val="39"/>
    <w:pPr>
      <w:ind w:left="1260"/>
    </w:pPr>
  </w:style>
  <w:style w:type="paragraph" w:styleId="8">
    <w:name w:val="Document Map"/>
    <w:basedOn w:val="1"/>
    <w:link w:val="40"/>
    <w:unhideWhenUsed/>
    <w:qFormat/>
    <w:uiPriority w:val="0"/>
    <w:rPr>
      <w:sz w:val="24"/>
      <w:szCs w:val="24"/>
    </w:rPr>
  </w:style>
  <w:style w:type="paragraph" w:styleId="9">
    <w:name w:val="annotation text"/>
    <w:basedOn w:val="1"/>
    <w:link w:val="41"/>
    <w:unhideWhenUsed/>
    <w:qFormat/>
    <w:uiPriority w:val="99"/>
    <w:pPr>
      <w:jc w:val="left"/>
    </w:pPr>
  </w:style>
  <w:style w:type="paragraph" w:styleId="10">
    <w:name w:val="toc 5"/>
    <w:basedOn w:val="1"/>
    <w:next w:val="1"/>
    <w:unhideWhenUsed/>
    <w:qFormat/>
    <w:uiPriority w:val="39"/>
    <w:pPr>
      <w:ind w:left="840"/>
    </w:pPr>
  </w:style>
  <w:style w:type="paragraph" w:styleId="11">
    <w:name w:val="toc 3"/>
    <w:basedOn w:val="1"/>
    <w:next w:val="1"/>
    <w:unhideWhenUsed/>
    <w:qFormat/>
    <w:uiPriority w:val="39"/>
    <w:pPr>
      <w:ind w:left="420"/>
    </w:pPr>
  </w:style>
  <w:style w:type="paragraph" w:styleId="12">
    <w:name w:val="Plain Text"/>
    <w:basedOn w:val="1"/>
    <w:link w:val="38"/>
    <w:unhideWhenUsed/>
    <w:qFormat/>
    <w:uiPriority w:val="99"/>
    <w:rPr>
      <w:rFonts w:hAnsi="Courier New" w:cs="Courier New"/>
      <w:kern w:val="0"/>
      <w:sz w:val="20"/>
    </w:rPr>
  </w:style>
  <w:style w:type="paragraph" w:styleId="13">
    <w:name w:val="toc 8"/>
    <w:basedOn w:val="1"/>
    <w:next w:val="1"/>
    <w:unhideWhenUsed/>
    <w:qFormat/>
    <w:uiPriority w:val="39"/>
    <w:pPr>
      <w:ind w:left="1470"/>
    </w:pPr>
  </w:style>
  <w:style w:type="paragraph" w:styleId="14">
    <w:name w:val="Balloon Text"/>
    <w:basedOn w:val="1"/>
    <w:link w:val="42"/>
    <w:unhideWhenUsed/>
    <w:qFormat/>
    <w:uiPriority w:val="99"/>
    <w:rPr>
      <w:sz w:val="18"/>
      <w:szCs w:val="18"/>
    </w:rPr>
  </w:style>
  <w:style w:type="paragraph" w:styleId="15">
    <w:name w:val="footer"/>
    <w:basedOn w:val="1"/>
    <w:link w:val="4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44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unhideWhenUsed/>
    <w:qFormat/>
    <w:uiPriority w:val="39"/>
  </w:style>
  <w:style w:type="paragraph" w:styleId="18">
    <w:name w:val="toc 4"/>
    <w:basedOn w:val="1"/>
    <w:next w:val="1"/>
    <w:unhideWhenUsed/>
    <w:qFormat/>
    <w:uiPriority w:val="39"/>
    <w:pPr>
      <w:ind w:left="630"/>
    </w:pPr>
  </w:style>
  <w:style w:type="paragraph" w:styleId="19">
    <w:name w:val="Subtitle"/>
    <w:basedOn w:val="1"/>
    <w:next w:val="1"/>
    <w:link w:val="67"/>
    <w:qFormat/>
    <w:uiPriority w:val="11"/>
    <w:pPr>
      <w:spacing w:before="240" w:after="60" w:line="312" w:lineRule="auto"/>
      <w:jc w:val="center"/>
      <w:outlineLvl w:val="1"/>
    </w:pPr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styleId="20">
    <w:name w:val="footnote text"/>
    <w:basedOn w:val="1"/>
    <w:link w:val="48"/>
    <w:unhideWhenUsed/>
    <w:qFormat/>
    <w:uiPriority w:val="99"/>
    <w:pPr>
      <w:snapToGrid w:val="0"/>
      <w:jc w:val="left"/>
    </w:pPr>
    <w:rPr>
      <w:sz w:val="18"/>
    </w:rPr>
  </w:style>
  <w:style w:type="paragraph" w:styleId="21">
    <w:name w:val="toc 6"/>
    <w:basedOn w:val="1"/>
    <w:next w:val="1"/>
    <w:unhideWhenUsed/>
    <w:qFormat/>
    <w:uiPriority w:val="39"/>
    <w:pPr>
      <w:ind w:left="1050"/>
    </w:pPr>
  </w:style>
  <w:style w:type="paragraph" w:styleId="22">
    <w:name w:val="toc 2"/>
    <w:basedOn w:val="1"/>
    <w:next w:val="1"/>
    <w:unhideWhenUsed/>
    <w:qFormat/>
    <w:uiPriority w:val="39"/>
    <w:pPr>
      <w:ind w:left="210"/>
    </w:pPr>
  </w:style>
  <w:style w:type="paragraph" w:styleId="23">
    <w:name w:val="toc 9"/>
    <w:basedOn w:val="1"/>
    <w:next w:val="1"/>
    <w:unhideWhenUsed/>
    <w:qFormat/>
    <w:uiPriority w:val="39"/>
    <w:pPr>
      <w:ind w:left="1680"/>
    </w:pPr>
  </w:style>
  <w:style w:type="paragraph" w:styleId="2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color w:val="auto"/>
      <w:kern w:val="0"/>
      <w:sz w:val="24"/>
      <w:szCs w:val="24"/>
    </w:rPr>
  </w:style>
  <w:style w:type="paragraph" w:styleId="25">
    <w:name w:val="Title"/>
    <w:basedOn w:val="1"/>
    <w:next w:val="1"/>
    <w:link w:val="45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26">
    <w:name w:val="annotation subject"/>
    <w:basedOn w:val="9"/>
    <w:next w:val="9"/>
    <w:link w:val="46"/>
    <w:semiHidden/>
    <w:unhideWhenUsed/>
    <w:qFormat/>
    <w:uiPriority w:val="99"/>
    <w:rPr>
      <w:b/>
      <w:bCs/>
    </w:rPr>
  </w:style>
  <w:style w:type="table" w:styleId="28">
    <w:name w:val="Table Grid"/>
    <w:basedOn w:val="27"/>
    <w:qFormat/>
    <w:uiPriority w:val="0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Strong"/>
    <w:qFormat/>
    <w:uiPriority w:val="0"/>
    <w:rPr>
      <w:b/>
    </w:rPr>
  </w:style>
  <w:style w:type="character" w:styleId="31">
    <w:name w:val="page number"/>
    <w:basedOn w:val="29"/>
    <w:unhideWhenUsed/>
    <w:qFormat/>
    <w:uiPriority w:val="99"/>
  </w:style>
  <w:style w:type="character" w:styleId="32">
    <w:name w:val="FollowedHyperlink"/>
    <w:basedOn w:val="29"/>
    <w:semiHidden/>
    <w:unhideWhenUsed/>
    <w:qFormat/>
    <w:uiPriority w:val="99"/>
    <w:rPr>
      <w:color w:val="954F72"/>
      <w:u w:val="single"/>
    </w:rPr>
  </w:style>
  <w:style w:type="character" w:styleId="33">
    <w:name w:val="Hyperlink"/>
    <w:basedOn w:val="2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annotation reference"/>
    <w:basedOn w:val="29"/>
    <w:semiHidden/>
    <w:unhideWhenUsed/>
    <w:qFormat/>
    <w:uiPriority w:val="99"/>
    <w:rPr>
      <w:sz w:val="21"/>
      <w:szCs w:val="21"/>
    </w:rPr>
  </w:style>
  <w:style w:type="character" w:styleId="35">
    <w:name w:val="footnote reference"/>
    <w:basedOn w:val="29"/>
    <w:unhideWhenUsed/>
    <w:qFormat/>
    <w:uiPriority w:val="0"/>
    <w:rPr>
      <w:vertAlign w:val="superscript"/>
    </w:rPr>
  </w:style>
  <w:style w:type="character" w:customStyle="1" w:styleId="36">
    <w:name w:val="标题 1 字符"/>
    <w:link w:val="2"/>
    <w:qFormat/>
    <w:uiPriority w:val="9"/>
    <w:rPr>
      <w:b/>
      <w:bCs/>
      <w:kern w:val="44"/>
      <w:sz w:val="44"/>
      <w:szCs w:val="44"/>
    </w:rPr>
  </w:style>
  <w:style w:type="character" w:customStyle="1" w:styleId="37">
    <w:name w:val="标题 2 字符"/>
    <w:basedOn w:val="29"/>
    <w:link w:val="3"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38">
    <w:name w:val="纯文本 字符"/>
    <w:link w:val="12"/>
    <w:qFormat/>
    <w:uiPriority w:val="99"/>
    <w:rPr>
      <w:rFonts w:ascii="宋体" w:hAnsi="Courier New" w:cs="Courier New"/>
      <w:szCs w:val="21"/>
    </w:rPr>
  </w:style>
  <w:style w:type="paragraph" w:styleId="39">
    <w:name w:val="List Paragraph"/>
    <w:basedOn w:val="1"/>
    <w:qFormat/>
    <w:uiPriority w:val="34"/>
    <w:pPr>
      <w:ind w:firstLine="420" w:firstLineChars="200"/>
    </w:pPr>
  </w:style>
  <w:style w:type="character" w:customStyle="1" w:styleId="40">
    <w:name w:val="文档结构图 字符"/>
    <w:basedOn w:val="29"/>
    <w:link w:val="8"/>
    <w:qFormat/>
    <w:uiPriority w:val="0"/>
    <w:rPr>
      <w:rFonts w:ascii="宋体" w:hAnsi="宋体" w:cs="宋体"/>
      <w:color w:val="000000" w:themeColor="text1"/>
      <w:kern w:val="2"/>
      <w:sz w:val="24"/>
      <w:szCs w:val="24"/>
      <w14:textFill>
        <w14:solidFill>
          <w14:schemeClr w14:val="tx1"/>
        </w14:solidFill>
      </w14:textFill>
    </w:rPr>
  </w:style>
  <w:style w:type="character" w:customStyle="1" w:styleId="41">
    <w:name w:val="批注文字 字符"/>
    <w:basedOn w:val="29"/>
    <w:link w:val="9"/>
    <w:qFormat/>
    <w:uiPriority w:val="99"/>
    <w:rPr>
      <w:rFonts w:ascii="宋体" w:hAnsi="宋体" w:cs="宋体"/>
      <w:color w:val="000000" w:themeColor="text1"/>
      <w:kern w:val="2"/>
      <w:sz w:val="21"/>
      <w:szCs w:val="21"/>
      <w14:textFill>
        <w14:solidFill>
          <w14:schemeClr w14:val="tx1"/>
        </w14:solidFill>
      </w14:textFill>
    </w:rPr>
  </w:style>
  <w:style w:type="character" w:customStyle="1" w:styleId="42">
    <w:name w:val="批注框文本 字符"/>
    <w:basedOn w:val="29"/>
    <w:link w:val="14"/>
    <w:qFormat/>
    <w:uiPriority w:val="99"/>
    <w:rPr>
      <w:rFonts w:ascii="宋体" w:hAnsi="宋体" w:cs="宋体"/>
      <w:color w:val="000000" w:themeColor="text1"/>
      <w:kern w:val="2"/>
      <w:sz w:val="18"/>
      <w:szCs w:val="18"/>
      <w14:textFill>
        <w14:solidFill>
          <w14:schemeClr w14:val="tx1"/>
        </w14:solidFill>
      </w14:textFill>
    </w:rPr>
  </w:style>
  <w:style w:type="character" w:customStyle="1" w:styleId="43">
    <w:name w:val="页脚 字符"/>
    <w:basedOn w:val="29"/>
    <w:link w:val="15"/>
    <w:qFormat/>
    <w:uiPriority w:val="0"/>
    <w:rPr>
      <w:rFonts w:ascii="宋体" w:hAnsi="宋体" w:cs="宋体"/>
      <w:color w:val="000000" w:themeColor="text1"/>
      <w:kern w:val="2"/>
      <w:sz w:val="18"/>
      <w:szCs w:val="18"/>
      <w14:textFill>
        <w14:solidFill>
          <w14:schemeClr w14:val="tx1"/>
        </w14:solidFill>
      </w14:textFill>
    </w:rPr>
  </w:style>
  <w:style w:type="character" w:customStyle="1" w:styleId="44">
    <w:name w:val="页眉 字符"/>
    <w:basedOn w:val="29"/>
    <w:link w:val="16"/>
    <w:qFormat/>
    <w:uiPriority w:val="0"/>
    <w:rPr>
      <w:rFonts w:ascii="宋体" w:hAnsi="宋体" w:cs="宋体"/>
      <w:color w:val="000000" w:themeColor="text1"/>
      <w:kern w:val="2"/>
      <w:sz w:val="18"/>
      <w:szCs w:val="18"/>
      <w14:textFill>
        <w14:solidFill>
          <w14:schemeClr w14:val="tx1"/>
        </w14:solidFill>
      </w14:textFill>
    </w:rPr>
  </w:style>
  <w:style w:type="character" w:customStyle="1" w:styleId="45">
    <w:name w:val="标题 字符"/>
    <w:basedOn w:val="29"/>
    <w:link w:val="25"/>
    <w:qFormat/>
    <w:uiPriority w:val="10"/>
    <w:rPr>
      <w:rFonts w:asciiTheme="majorHAnsi" w:hAnsiTheme="majorHAnsi" w:eastAsiaTheme="majorEastAsia" w:cstheme="majorBidi"/>
      <w:b/>
      <w:bCs/>
      <w:color w:val="000000" w:themeColor="text1"/>
      <w:kern w:val="2"/>
      <w:sz w:val="32"/>
      <w:szCs w:val="32"/>
      <w14:textFill>
        <w14:solidFill>
          <w14:schemeClr w14:val="tx1"/>
        </w14:solidFill>
      </w14:textFill>
    </w:rPr>
  </w:style>
  <w:style w:type="character" w:customStyle="1" w:styleId="46">
    <w:name w:val="批注主题 字符"/>
    <w:basedOn w:val="41"/>
    <w:link w:val="26"/>
    <w:semiHidden/>
    <w:qFormat/>
    <w:uiPriority w:val="99"/>
    <w:rPr>
      <w:rFonts w:ascii="宋体" w:hAnsi="宋体" w:cs="宋体"/>
      <w:b/>
      <w:bCs/>
      <w:color w:val="000000" w:themeColor="text1"/>
      <w:kern w:val="2"/>
      <w:sz w:val="21"/>
      <w:szCs w:val="21"/>
      <w14:textFill>
        <w14:solidFill>
          <w14:schemeClr w14:val="tx1"/>
        </w14:solidFill>
      </w14:textFill>
    </w:rPr>
  </w:style>
  <w:style w:type="table" w:customStyle="1" w:styleId="47">
    <w:name w:val="网格型1"/>
    <w:basedOn w:val="27"/>
    <w:qFormat/>
    <w:uiPriority w:val="0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8">
    <w:name w:val="脚注文本 字符"/>
    <w:basedOn w:val="29"/>
    <w:link w:val="20"/>
    <w:qFormat/>
    <w:uiPriority w:val="99"/>
    <w:rPr>
      <w:rFonts w:hint="eastAsia" w:ascii="宋体" w:hAnsi="宋体" w:eastAsia="宋体" w:cs="宋体"/>
      <w:kern w:val="2"/>
      <w:sz w:val="18"/>
      <w:szCs w:val="18"/>
    </w:rPr>
  </w:style>
  <w:style w:type="paragraph" w:customStyle="1" w:styleId="49">
    <w:name w:val="msolistparagraph"/>
    <w:basedOn w:val="1"/>
    <w:qFormat/>
    <w:uiPriority w:val="0"/>
    <w:pPr>
      <w:ind w:firstLine="420" w:firstLineChars="200"/>
    </w:pPr>
    <w:rPr>
      <w:rFonts w:hint="eastAsia" w:cs="Times New Roman"/>
      <w:sz w:val="24"/>
      <w:szCs w:val="24"/>
    </w:rPr>
  </w:style>
  <w:style w:type="character" w:customStyle="1" w:styleId="50">
    <w:name w:val="标题 3 字符"/>
    <w:basedOn w:val="29"/>
    <w:link w:val="4"/>
    <w:qFormat/>
    <w:uiPriority w:val="0"/>
    <w:rPr>
      <w:rFonts w:hint="eastAsia" w:ascii="宋体" w:hAnsi="宋体" w:eastAsia="宋体" w:cs="宋体"/>
      <w:b/>
      <w:kern w:val="2"/>
      <w:sz w:val="32"/>
      <w:szCs w:val="32"/>
    </w:rPr>
  </w:style>
  <w:style w:type="character" w:customStyle="1" w:styleId="51">
    <w:name w:val="页脚 字符1"/>
    <w:basedOn w:val="29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52">
    <w:name w:val="批注框文本 字符1"/>
    <w:basedOn w:val="29"/>
    <w:semiHidden/>
    <w:qFormat/>
    <w:uiPriority w:val="99"/>
    <w:rPr>
      <w:rFonts w:ascii="宋体" w:hAnsi="Calibri" w:eastAsia="宋体" w:cs="Times New Roman"/>
      <w:sz w:val="18"/>
      <w:szCs w:val="18"/>
    </w:rPr>
  </w:style>
  <w:style w:type="character" w:customStyle="1" w:styleId="53">
    <w:name w:val="文档结构图 字符1"/>
    <w:basedOn w:val="29"/>
    <w:semiHidden/>
    <w:qFormat/>
    <w:uiPriority w:val="99"/>
    <w:rPr>
      <w:rFonts w:ascii="ACADEMY ENGRAVED LET PLAIN:1.0" w:hAnsi="ACADEMY ENGRAVED LET PLAIN:1.0" w:eastAsia="宋体" w:cs="Times New Roman"/>
      <w:sz w:val="26"/>
      <w:szCs w:val="26"/>
    </w:rPr>
  </w:style>
  <w:style w:type="character" w:customStyle="1" w:styleId="54">
    <w:name w:val="纯文本 字符1"/>
    <w:basedOn w:val="29"/>
    <w:semiHidden/>
    <w:qFormat/>
    <w:uiPriority w:val="99"/>
    <w:rPr>
      <w:rFonts w:hAnsi="Courier New" w:cs="Courier New" w:asciiTheme="minorEastAsia"/>
      <w:sz w:val="21"/>
    </w:rPr>
  </w:style>
  <w:style w:type="character" w:customStyle="1" w:styleId="55">
    <w:name w:val="脚注文本 字符1"/>
    <w:basedOn w:val="29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56">
    <w:name w:val="页眉 字符1"/>
    <w:basedOn w:val="29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57">
    <w:name w:val="列出段落1"/>
    <w:basedOn w:val="1"/>
    <w:qFormat/>
    <w:uiPriority w:val="34"/>
    <w:pPr>
      <w:ind w:firstLine="420" w:firstLineChars="200"/>
    </w:pPr>
    <w:rPr>
      <w:rFonts w:ascii="Calibri" w:hAnsi="Calibri" w:cs="Times New Roman"/>
      <w:color w:val="auto"/>
      <w:szCs w:val="24"/>
    </w:rPr>
  </w:style>
  <w:style w:type="paragraph" w:customStyle="1" w:styleId="58">
    <w:name w:val="无间隔1"/>
    <w:qFormat/>
    <w:uiPriority w:val="1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59">
    <w:name w:val="列出段落11"/>
    <w:basedOn w:val="1"/>
    <w:qFormat/>
    <w:uiPriority w:val="34"/>
    <w:pPr>
      <w:ind w:firstLine="420" w:firstLineChars="200"/>
    </w:pPr>
    <w:rPr>
      <w:rFonts w:ascii="Calibri" w:hAnsi="Calibri" w:cs="Times New Roman"/>
      <w:color w:val="auto"/>
      <w:szCs w:val="24"/>
    </w:rPr>
  </w:style>
  <w:style w:type="table" w:customStyle="1" w:styleId="60">
    <w:name w:val="Table Normal"/>
    <w:qFormat/>
    <w:uiPriority w:val="0"/>
    <w:rPr>
      <w:rFonts w:eastAsia="等线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61">
    <w:name w:val="无"/>
    <w:qFormat/>
    <w:uiPriority w:val="0"/>
  </w:style>
  <w:style w:type="table" w:customStyle="1" w:styleId="62">
    <w:name w:val="Table Normal1"/>
    <w:qFormat/>
    <w:uiPriority w:val="0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63">
    <w:name w:val="Hyperlink.1"/>
    <w:basedOn w:val="61"/>
    <w:qFormat/>
    <w:uiPriority w:val="0"/>
    <w:rPr>
      <w:rFonts w:ascii="宋体" w:hAnsi="宋体" w:eastAsia="宋体" w:cs="宋体"/>
      <w:color w:val="000000"/>
      <w:u w:color="000000"/>
      <w:lang w:val="zh-TW" w:eastAsia="zh-TW"/>
    </w:rPr>
  </w:style>
  <w:style w:type="paragraph" w:customStyle="1" w:styleId="64">
    <w:name w:val="正文 A"/>
    <w:qFormat/>
    <w:uiPriority w:val="0"/>
    <w:pPr>
      <w:widowControl w:val="0"/>
      <w:spacing w:after="160" w:line="278" w:lineRule="auto"/>
      <w:jc w:val="both"/>
    </w:pPr>
    <w:rPr>
      <w:rFonts w:ascii="Calibri" w:hAnsi="Calibri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65">
    <w:name w:val="表格标题1"/>
    <w:basedOn w:val="1"/>
    <w:qFormat/>
    <w:uiPriority w:val="0"/>
    <w:pPr>
      <w:tabs>
        <w:tab w:val="left" w:pos="420"/>
      </w:tabs>
      <w:spacing w:before="10" w:beforeLines="10" w:after="20" w:afterLines="20" w:line="280" w:lineRule="exact"/>
      <w:jc w:val="center"/>
    </w:pPr>
    <w:rPr>
      <w:rFonts w:eastAsia="汉仪中黑简"/>
      <w:color w:val="FF0000"/>
      <w:sz w:val="20"/>
    </w:rPr>
  </w:style>
  <w:style w:type="character" w:customStyle="1" w:styleId="66">
    <w:name w:val="标题 4 字符"/>
    <w:basedOn w:val="29"/>
    <w:link w:val="5"/>
    <w:semiHidden/>
    <w:qFormat/>
    <w:uiPriority w:val="9"/>
    <w:rPr>
      <w:rFonts w:asciiTheme="majorHAnsi" w:hAnsiTheme="majorHAnsi" w:eastAsiaTheme="majorEastAsia" w:cstheme="majorBidi"/>
      <w:b/>
      <w:bCs/>
      <w:color w:val="000000" w:themeColor="text1"/>
      <w:kern w:val="2"/>
      <w:sz w:val="28"/>
      <w:szCs w:val="28"/>
      <w14:textFill>
        <w14:solidFill>
          <w14:schemeClr w14:val="tx1"/>
        </w14:solidFill>
      </w14:textFill>
    </w:rPr>
  </w:style>
  <w:style w:type="character" w:customStyle="1" w:styleId="67">
    <w:name w:val="副标题 字符"/>
    <w:basedOn w:val="29"/>
    <w:link w:val="19"/>
    <w:qFormat/>
    <w:uiPriority w:val="11"/>
    <w:rPr>
      <w:rFonts w:asciiTheme="minorHAnsi" w:hAnsiTheme="minorHAnsi" w:eastAsiaTheme="minorEastAsia" w:cstheme="minorBidi"/>
      <w:b/>
      <w:bCs/>
      <w:color w:val="000000" w:themeColor="text1"/>
      <w:kern w:val="28"/>
      <w:sz w:val="32"/>
      <w:szCs w:val="32"/>
      <w14:textFill>
        <w14:solidFill>
          <w14:schemeClr w14:val="tx1"/>
        </w14:solidFill>
      </w14:textFill>
    </w:rPr>
  </w:style>
  <w:style w:type="character" w:customStyle="1" w:styleId="68">
    <w:name w:val="样式1 字符"/>
    <w:link w:val="69"/>
    <w:qFormat/>
    <w:uiPriority w:val="0"/>
    <w:rPr>
      <w:rFonts w:ascii="黑体" w:hAnsi="黑体" w:eastAsia="黑体" w:cs="黑体"/>
      <w:kern w:val="2"/>
      <w:sz w:val="17"/>
      <w:szCs w:val="17"/>
    </w:rPr>
  </w:style>
  <w:style w:type="paragraph" w:customStyle="1" w:styleId="69">
    <w:name w:val="样式1"/>
    <w:basedOn w:val="1"/>
    <w:link w:val="68"/>
    <w:qFormat/>
    <w:uiPriority w:val="0"/>
    <w:pPr>
      <w:spacing w:line="207" w:lineRule="exact"/>
      <w:jc w:val="left"/>
    </w:pPr>
    <w:rPr>
      <w:rFonts w:ascii="黑体" w:hAnsi="黑体" w:eastAsia="黑体" w:cs="黑体"/>
      <w:color w:val="auto"/>
      <w:sz w:val="17"/>
      <w:szCs w:val="17"/>
    </w:rPr>
  </w:style>
  <w:style w:type="character" w:customStyle="1" w:styleId="70">
    <w:name w:val="标题 5 字符"/>
    <w:basedOn w:val="29"/>
    <w:link w:val="6"/>
    <w:qFormat/>
    <w:uiPriority w:val="0"/>
    <w:rPr>
      <w:rFonts w:ascii="Calibri" w:hAnsi="Calibri"/>
      <w:b/>
      <w:bCs/>
      <w:kern w:val="2"/>
      <w:sz w:val="28"/>
      <w:szCs w:val="28"/>
    </w:rPr>
  </w:style>
  <w:style w:type="paragraph" w:customStyle="1" w:styleId="71">
    <w:name w:val="列表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color w:val="auto"/>
      <w:szCs w:val="22"/>
    </w:rPr>
  </w:style>
  <w:style w:type="character" w:customStyle="1" w:styleId="72">
    <w:name w:val="未处理的提及1"/>
    <w:basedOn w:val="2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73">
    <w:name w:val="未处理的提及2"/>
    <w:basedOn w:val="29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74">
    <w:name w:val="网格型2"/>
    <w:basedOn w:val="27"/>
    <w:qFormat/>
    <w:uiPriority w:val="0"/>
    <w:pPr>
      <w:spacing w:after="0" w:line="240" w:lineRule="auto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5">
    <w:name w:val="网格型11"/>
    <w:basedOn w:val="27"/>
    <w:qFormat/>
    <w:uiPriority w:val="0"/>
    <w:pPr>
      <w:spacing w:after="0" w:line="240" w:lineRule="auto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6">
    <w:name w:val="Table Normal2"/>
    <w:qFormat/>
    <w:uiPriority w:val="0"/>
    <w:pPr>
      <w:spacing w:after="0" w:line="240" w:lineRule="auto"/>
    </w:pPr>
    <w:rPr>
      <w:rFonts w:eastAsia="等线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">
    <w:name w:val="Table Normal11"/>
    <w:qFormat/>
    <w:uiPriority w:val="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8">
    <w:name w:val="Unresolved Mention"/>
    <w:basedOn w:val="2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EF7D8D-3A44-4765-8B2A-718795FD18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3195</Words>
  <Characters>3201</Characters>
  <Lines>34</Lines>
  <Paragraphs>9</Paragraphs>
  <TotalTime>69</TotalTime>
  <ScaleCrop>false</ScaleCrop>
  <LinksUpToDate>false</LinksUpToDate>
  <CharactersWithSpaces>3229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2021-06-07T08:31:00Z</dcterms:created>
  <dc:creator>Microsoft Office 用户</dc:creator>
  <cp:lastModifiedBy>yjx</cp:lastModifiedBy>
  <cp:lastPrinted>2026-08-20T02:56:00Z</cp:lastPrinted>
  <dcterms:modified xsi:type="dcterms:W3CDTF">2026-09-08T12:41:55Z</dcterms:modified>
  <cp:revision>707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eyJoZGlkIjoiMzU1Yzg5MTNmMDUxMzE3MmE5ZDg2NDI0NjZlNWY3YjMiLCJ1c2VySWQiOiI3MzExMzM3NjgifQ==</vt:lpwstr>
  </property>
  <property fmtid="{D5CDD505-2E9C-101B-9397-08002B2CF9AE}" pid="4" name="ICV">
    <vt:lpwstr>09D87D8C63564E739AC72E39A7AC8D57_13</vt:lpwstr>
  </property>
</Properties>
</file>