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D98D2">
      <w:pPr>
        <w:keepNext/>
        <w:keepLines/>
        <w:spacing w:after="0" w:line="600" w:lineRule="exact"/>
        <w:jc w:val="center"/>
        <w:outlineLvl w:val="4"/>
        <w:rPr>
          <w:rFonts w:ascii="汉仪书宋二简" w:hAnsi="仿宋" w:eastAsia="汉仪书宋二简" w:cs="仿宋_GB2312"/>
          <w:b/>
          <w:bCs/>
          <w:color w:val="000000"/>
          <w:kern w:val="0"/>
          <w:sz w:val="30"/>
          <w:szCs w:val="30"/>
        </w:rPr>
      </w:pPr>
      <w:bookmarkStart w:id="0" w:name="_Toc236829072"/>
      <w:r>
        <w:rPr>
          <w:rFonts w:hint="eastAsia" w:ascii="宋体" w:hAnsi="宋体" w:eastAsia="宋体" w:cs="宋体"/>
          <w:b/>
          <w:bCs/>
          <w:color w:val="auto"/>
          <w:sz w:val="30"/>
          <w:szCs w:val="30"/>
        </w:rPr>
        <w:t>国际法</w:t>
      </w:r>
      <w:bookmarkEnd w:id="0"/>
    </w:p>
    <w:p w14:paraId="6769EA8F">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1" w:name="_Toc236829073"/>
      <w:r>
        <w:rPr>
          <w:rFonts w:hint="eastAsia" w:ascii="宋体" w:hAnsi="宋体" w:eastAsia="宋体" w:cs="宋体"/>
          <w:b/>
          <w:bCs/>
          <w:color w:val="auto"/>
          <w:sz w:val="21"/>
          <w:szCs w:val="21"/>
        </w:rPr>
        <w:t>预测考点1  国际法主体与国际法律责任</w:t>
      </w:r>
      <w:bookmarkEnd w:id="1"/>
    </w:p>
    <w:p w14:paraId="15D67728">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1．国家管辖权：</w:t>
      </w:r>
      <w:r>
        <w:rPr>
          <w:rFonts w:hint="eastAsia" w:ascii="宋体" w:hAnsi="宋体" w:eastAsia="宋体" w:cs="宋体"/>
          <w:b/>
          <w:bCs w:val="0"/>
          <w:color w:val="auto"/>
          <w:sz w:val="21"/>
          <w:szCs w:val="21"/>
        </w:rPr>
        <w:t>属地管辖权</w:t>
      </w:r>
      <w:r>
        <w:rPr>
          <w:rFonts w:hint="eastAsia" w:ascii="宋体" w:hAnsi="宋体" w:eastAsia="宋体" w:cs="宋体"/>
          <w:bCs/>
          <w:color w:val="auto"/>
          <w:sz w:val="21"/>
          <w:szCs w:val="21"/>
        </w:rPr>
        <w:t>、</w:t>
      </w:r>
      <w:r>
        <w:rPr>
          <w:rFonts w:hint="eastAsia" w:ascii="宋体" w:hAnsi="宋体" w:eastAsia="宋体" w:cs="宋体"/>
          <w:b/>
          <w:bCs w:val="0"/>
          <w:color w:val="auto"/>
          <w:sz w:val="21"/>
          <w:szCs w:val="21"/>
        </w:rPr>
        <w:t>属人管辖权</w:t>
      </w:r>
      <w:r>
        <w:rPr>
          <w:rFonts w:hint="eastAsia" w:ascii="宋体" w:hAnsi="宋体" w:eastAsia="宋体" w:cs="宋体"/>
          <w:bCs/>
          <w:color w:val="auto"/>
          <w:sz w:val="21"/>
          <w:szCs w:val="21"/>
        </w:rPr>
        <w:t>，特别是</w:t>
      </w:r>
      <w:r>
        <w:rPr>
          <w:rFonts w:hint="eastAsia" w:ascii="宋体" w:hAnsi="宋体" w:eastAsia="宋体" w:cs="宋体"/>
          <w:b/>
          <w:bCs w:val="0"/>
          <w:color w:val="auto"/>
          <w:sz w:val="21"/>
          <w:szCs w:val="21"/>
        </w:rPr>
        <w:t>保护性管辖权</w:t>
      </w:r>
      <w:r>
        <w:rPr>
          <w:rFonts w:hint="eastAsia" w:ascii="宋体" w:hAnsi="宋体" w:eastAsia="宋体" w:cs="宋体"/>
          <w:bCs/>
          <w:color w:val="auto"/>
          <w:sz w:val="21"/>
          <w:szCs w:val="21"/>
        </w:rPr>
        <w:t>和</w:t>
      </w:r>
      <w:r>
        <w:rPr>
          <w:rFonts w:hint="eastAsia" w:ascii="宋体" w:hAnsi="宋体" w:eastAsia="宋体" w:cs="宋体"/>
          <w:b/>
          <w:bCs w:val="0"/>
          <w:color w:val="auto"/>
          <w:sz w:val="21"/>
          <w:szCs w:val="21"/>
        </w:rPr>
        <w:t>普遍性管辖权</w:t>
      </w:r>
      <w:r>
        <w:rPr>
          <w:rFonts w:hint="eastAsia" w:ascii="宋体" w:hAnsi="宋体" w:eastAsia="宋体" w:cs="宋体"/>
          <w:bCs/>
          <w:color w:val="auto"/>
          <w:sz w:val="21"/>
          <w:szCs w:val="21"/>
        </w:rPr>
        <w:t>的适用。</w:t>
      </w:r>
    </w:p>
    <w:p w14:paraId="6F84D700">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2．国家主权豁免：熟练掌握《外国国家豁免法》的重点法条，包括</w:t>
      </w:r>
      <w:r>
        <w:rPr>
          <w:rFonts w:hint="eastAsia" w:ascii="宋体" w:hAnsi="宋体" w:eastAsia="宋体" w:cs="宋体"/>
          <w:b/>
          <w:bCs w:val="0"/>
          <w:color w:val="auto"/>
          <w:sz w:val="21"/>
          <w:szCs w:val="21"/>
        </w:rPr>
        <w:t>豁免的放弃（明示和默示）、不视为放弃豁免</w:t>
      </w:r>
      <w:r>
        <w:rPr>
          <w:rFonts w:hint="eastAsia" w:ascii="宋体" w:hAnsi="宋体" w:eastAsia="宋体" w:cs="宋体"/>
          <w:bCs/>
          <w:color w:val="auto"/>
          <w:sz w:val="21"/>
          <w:szCs w:val="21"/>
        </w:rPr>
        <w:t>的情形。</w:t>
      </w:r>
    </w:p>
    <w:p w14:paraId="069F6D71">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3．国际法律责任：代表国家的人或机关违背国际义务的，构成传统国际责任；国家疏于管理的是间接责任；国际法不加禁止的行为，如造成损失，需要负赔偿责任。</w:t>
      </w:r>
    </w:p>
    <w:p w14:paraId="6B0FEA72">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w:t>
      </w:r>
      <w:r>
        <w:rPr>
          <w:rFonts w:hint="eastAsia" w:ascii="宋体" w:hAnsi="宋体" w:eastAsia="宋体" w:cs="宋体"/>
          <w:b/>
          <w:bCs w:val="0"/>
          <w:color w:val="auto"/>
          <w:sz w:val="21"/>
          <w:szCs w:val="21"/>
        </w:rPr>
        <w:t>反措施：</w:t>
      </w:r>
      <w:r>
        <w:rPr>
          <w:rFonts w:hint="eastAsia" w:ascii="宋体" w:hAnsi="宋体" w:eastAsia="宋体" w:cs="宋体"/>
          <w:bCs/>
          <w:color w:val="auto"/>
          <w:sz w:val="21"/>
          <w:szCs w:val="21"/>
        </w:rPr>
        <w:t>反措施是国际法框架下受害国针对</w:t>
      </w:r>
      <w:r>
        <w:rPr>
          <w:rFonts w:hint="eastAsia" w:ascii="宋体" w:hAnsi="宋体" w:eastAsia="宋体" w:cs="宋体"/>
          <w:b/>
          <w:bCs/>
          <w:color w:val="FF0000"/>
          <w:kern w:val="0"/>
          <w:sz w:val="21"/>
          <w:szCs w:val="21"/>
          <w:lang w:val="en-US" w:eastAsia="zh-CN" w:bidi="ar-SA"/>
        </w:rPr>
        <w:t>国际不法行为</w:t>
      </w:r>
      <w:r>
        <w:rPr>
          <w:rFonts w:hint="eastAsia" w:ascii="宋体" w:hAnsi="宋体" w:eastAsia="宋体" w:cs="宋体"/>
          <w:bCs/>
          <w:color w:val="auto"/>
          <w:sz w:val="21"/>
          <w:szCs w:val="21"/>
          <w:lang w:val="en-US" w:eastAsia="zh-CN"/>
        </w:rPr>
        <w:t>责</w:t>
      </w:r>
      <w:r>
        <w:rPr>
          <w:rFonts w:hint="eastAsia" w:ascii="宋体" w:hAnsi="宋体" w:eastAsia="宋体" w:cs="宋体"/>
          <w:bCs/>
          <w:color w:val="auto"/>
          <w:sz w:val="21"/>
          <w:szCs w:val="21"/>
        </w:rPr>
        <w:t>任国采取的</w:t>
      </w:r>
      <w:r>
        <w:rPr>
          <w:rFonts w:hint="eastAsia" w:ascii="宋体" w:hAnsi="宋体" w:eastAsia="宋体" w:cs="宋体"/>
          <w:b/>
          <w:bCs/>
          <w:color w:val="FF0000"/>
          <w:kern w:val="0"/>
          <w:sz w:val="21"/>
          <w:szCs w:val="21"/>
          <w:lang w:val="en-US" w:eastAsia="zh-CN" w:bidi="ar-SA"/>
        </w:rPr>
        <w:t>非武力回应措施</w:t>
      </w:r>
      <w:r>
        <w:rPr>
          <w:rFonts w:hint="eastAsia" w:ascii="宋体" w:hAnsi="宋体" w:eastAsia="宋体" w:cs="宋体"/>
          <w:bCs/>
          <w:color w:val="auto"/>
          <w:sz w:val="21"/>
          <w:szCs w:val="21"/>
        </w:rPr>
        <w:t>，其核心目的在于促使责任国停止违法行为并履行国际义务。反措施需遵循</w:t>
      </w:r>
      <w:r>
        <w:rPr>
          <w:rFonts w:hint="eastAsia" w:ascii="宋体" w:hAnsi="宋体" w:eastAsia="宋体" w:cs="宋体"/>
          <w:b/>
          <w:bCs w:val="0"/>
          <w:color w:val="auto"/>
          <w:sz w:val="21"/>
          <w:szCs w:val="21"/>
        </w:rPr>
        <w:t>必要性、相称性</w:t>
      </w:r>
      <w:r>
        <w:rPr>
          <w:rFonts w:hint="eastAsia" w:ascii="宋体" w:hAnsi="宋体" w:eastAsia="宋体" w:cs="宋体"/>
          <w:bCs/>
          <w:color w:val="auto"/>
          <w:sz w:val="21"/>
          <w:szCs w:val="21"/>
        </w:rPr>
        <w:t>原则，实施方式包括</w:t>
      </w:r>
      <w:r>
        <w:rPr>
          <w:rFonts w:hint="eastAsia" w:ascii="宋体" w:hAnsi="宋体" w:eastAsia="宋体" w:cs="宋体"/>
          <w:b/>
          <w:bCs w:val="0"/>
          <w:color w:val="auto"/>
          <w:sz w:val="21"/>
          <w:szCs w:val="21"/>
        </w:rPr>
        <w:t>经济制裁、中止条约义务、外交孤立</w:t>
      </w:r>
      <w:r>
        <w:rPr>
          <w:rFonts w:hint="eastAsia" w:ascii="宋体" w:hAnsi="宋体" w:eastAsia="宋体" w:cs="宋体"/>
          <w:bCs/>
          <w:color w:val="auto"/>
          <w:sz w:val="21"/>
          <w:szCs w:val="21"/>
        </w:rPr>
        <w:t>等具体手段。</w:t>
      </w:r>
    </w:p>
    <w:p w14:paraId="20B61F59">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5．</w:t>
      </w:r>
      <w:r>
        <w:rPr>
          <w:rFonts w:hint="eastAsia" w:ascii="宋体" w:hAnsi="宋体" w:eastAsia="宋体" w:cs="宋体"/>
          <w:b/>
          <w:bCs/>
          <w:color w:val="FF0000"/>
          <w:kern w:val="0"/>
          <w:sz w:val="21"/>
          <w:szCs w:val="21"/>
          <w:lang w:val="en-US" w:eastAsia="zh-CN" w:bidi="ar-SA"/>
        </w:rPr>
        <w:t>《反外国不当域外管辖条例》（2026年新增法规）</w:t>
      </w:r>
      <w:r>
        <w:rPr>
          <w:rFonts w:hint="eastAsia" w:ascii="宋体" w:hAnsi="宋体" w:eastAsia="宋体" w:cs="宋体"/>
          <w:bCs/>
          <w:color w:val="auto"/>
          <w:sz w:val="21"/>
          <w:szCs w:val="21"/>
        </w:rPr>
        <w:t>：外国违反国际法实施不当域外管辖措施的，国务院法制部门可予公告，任何组织、个人不得执行或协助执行；对推动或参与实施的外国组织、个人可列入恶意实体清单，采取签证限制、财产冻结、交易禁止等反制措施；涉嫌执行或协助执行的，可被约谈、责令改正或颁布禁执令。</w:t>
      </w:r>
    </w:p>
    <w:p w14:paraId="0699AAD2">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2" w:name="_Toc236829074"/>
      <w:r>
        <w:rPr>
          <w:rFonts w:hint="eastAsia" w:ascii="宋体" w:hAnsi="宋体" w:eastAsia="宋体" w:cs="宋体"/>
          <w:b/>
          <w:bCs/>
          <w:color w:val="auto"/>
          <w:sz w:val="21"/>
          <w:szCs w:val="21"/>
        </w:rPr>
        <w:t>预测考点2  联合国体系与国际法院</w:t>
      </w:r>
      <w:bookmarkEnd w:id="2"/>
    </w:p>
    <w:p w14:paraId="3A016ECC">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1．联合国大会的相关内容：大会决议对内部事项有拘束力，对外部事项没有拘束力。</w:t>
      </w:r>
    </w:p>
    <w:p w14:paraId="3F80F7D1">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
          <w:bCs w:val="0"/>
          <w:color w:val="auto"/>
          <w:sz w:val="21"/>
          <w:szCs w:val="21"/>
        </w:rPr>
      </w:pPr>
      <w:r>
        <w:rPr>
          <w:rFonts w:hint="eastAsia" w:ascii="宋体" w:hAnsi="宋体" w:eastAsia="宋体" w:cs="宋体"/>
          <w:bCs/>
          <w:color w:val="auto"/>
          <w:sz w:val="21"/>
          <w:szCs w:val="21"/>
        </w:rPr>
        <w:t>2．安理会表决制度和决议拘束力：安理会投票事项均为9票通过，实质性事项常任理事国有一票否决权。决议对于当事国和所有成员国都有拘束力。</w:t>
      </w:r>
      <w:r>
        <w:rPr>
          <w:rFonts w:hint="eastAsia" w:ascii="宋体" w:hAnsi="宋体" w:eastAsia="宋体" w:cs="宋体"/>
          <w:b/>
          <w:bCs w:val="0"/>
          <w:color w:val="auto"/>
          <w:sz w:val="21"/>
          <w:szCs w:val="21"/>
        </w:rPr>
        <w:t>注意区分“决议”与“建议”，安理会的建议通常不具有普遍约束力。</w:t>
      </w:r>
    </w:p>
    <w:p w14:paraId="0EE8CA22">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3．国际法院：国际法院的</w:t>
      </w:r>
      <w:r>
        <w:rPr>
          <w:rFonts w:hint="eastAsia" w:ascii="宋体" w:hAnsi="宋体" w:eastAsia="宋体" w:cs="宋体"/>
          <w:b/>
          <w:bCs w:val="0"/>
          <w:color w:val="auto"/>
          <w:sz w:val="21"/>
          <w:szCs w:val="21"/>
        </w:rPr>
        <w:t>管辖权</w:t>
      </w:r>
      <w:r>
        <w:rPr>
          <w:rFonts w:hint="eastAsia" w:ascii="宋体" w:hAnsi="宋体" w:eastAsia="宋体" w:cs="宋体"/>
          <w:bCs/>
          <w:color w:val="auto"/>
          <w:sz w:val="21"/>
          <w:szCs w:val="21"/>
        </w:rPr>
        <w:t>（自愿管辖、协定管辖、任择强制管辖</w:t>
      </w:r>
      <w:r>
        <w:rPr>
          <w:rFonts w:hint="eastAsia" w:cs="宋体"/>
          <w:bCs/>
          <w:color w:val="auto"/>
          <w:sz w:val="21"/>
          <w:szCs w:val="21"/>
          <w:lang w:eastAsia="zh-CN"/>
        </w:rPr>
        <w:t>（</w:t>
      </w:r>
      <w:r>
        <w:rPr>
          <w:rFonts w:hint="eastAsia" w:cs="宋体"/>
          <w:bCs/>
          <w:color w:val="auto"/>
          <w:sz w:val="21"/>
          <w:szCs w:val="21"/>
          <w:lang w:val="en-US" w:eastAsia="zh-CN"/>
        </w:rPr>
        <w:t>都需要成员国的自愿，且是会员这个事情并不能代表自愿接受国际法院管辖</w:t>
      </w:r>
      <w:r>
        <w:rPr>
          <w:rFonts w:hint="eastAsia" w:cs="宋体"/>
          <w:bCs/>
          <w:color w:val="auto"/>
          <w:sz w:val="21"/>
          <w:szCs w:val="21"/>
          <w:lang w:eastAsia="zh-CN"/>
        </w:rPr>
        <w:t>）</w:t>
      </w:r>
      <w:r>
        <w:rPr>
          <w:rFonts w:hint="eastAsia" w:ascii="宋体" w:hAnsi="宋体" w:eastAsia="宋体" w:cs="宋体"/>
          <w:bCs/>
          <w:color w:val="auto"/>
          <w:sz w:val="21"/>
          <w:szCs w:val="21"/>
        </w:rPr>
        <w:t>），国际法院的</w:t>
      </w:r>
      <w:r>
        <w:rPr>
          <w:rFonts w:hint="eastAsia" w:ascii="宋体" w:hAnsi="宋体" w:eastAsia="宋体" w:cs="宋体"/>
          <w:b/>
          <w:bCs w:val="0"/>
          <w:color w:val="auto"/>
          <w:sz w:val="21"/>
          <w:szCs w:val="21"/>
        </w:rPr>
        <w:t>判决效力</w:t>
      </w:r>
      <w:r>
        <w:rPr>
          <w:rFonts w:hint="eastAsia" w:ascii="宋体" w:hAnsi="宋体" w:eastAsia="宋体" w:cs="宋体"/>
          <w:bCs/>
          <w:color w:val="auto"/>
          <w:sz w:val="21"/>
          <w:szCs w:val="21"/>
        </w:rPr>
        <w:t>（仅对当事国及本案有拘束力）。注意国际法院法官选举中常任理事国无否决权。</w:t>
      </w:r>
    </w:p>
    <w:p w14:paraId="262B5879">
      <w:pPr>
        <w:pageBreakBefore w:val="0"/>
        <w:widowControl w:val="0"/>
        <w:tabs>
          <w:tab w:val="left" w:pos="832"/>
        </w:tabs>
        <w:kinsoku/>
        <w:wordWrap/>
        <w:overflowPunct/>
        <w:topLinePunct w:val="0"/>
        <w:bidi w:val="0"/>
        <w:adjustRightInd w:val="0"/>
        <w:snapToGrid w:val="0"/>
        <w:spacing w:after="0" w:line="288" w:lineRule="auto"/>
        <w:jc w:val="center"/>
        <w:rPr>
          <w:rFonts w:hint="eastAsia" w:ascii="宋体" w:hAnsi="宋体" w:eastAsia="宋体" w:cs="宋体"/>
          <w:bCs/>
          <w:color w:val="auto"/>
          <w:sz w:val="21"/>
          <w:szCs w:val="21"/>
          <w:lang w:eastAsia="zh-CN"/>
        </w:rPr>
      </w:pPr>
      <w:bookmarkStart w:id="3" w:name="_Toc236829075"/>
      <w:r>
        <w:rPr>
          <w:rFonts w:hint="eastAsia" w:ascii="宋体" w:hAnsi="宋体" w:eastAsia="宋体" w:cs="宋体"/>
          <w:b/>
          <w:bCs/>
          <w:color w:val="auto"/>
          <w:sz w:val="21"/>
          <w:szCs w:val="21"/>
        </w:rPr>
        <w:t>预测考点3  海洋法重要制度</w:t>
      </w:r>
      <w:bookmarkEnd w:id="3"/>
    </w:p>
    <w:p w14:paraId="302B558F">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1．公海上的管辖权：船旗国管辖、普遍性管辖及其例外（登临权、紧追权）。</w:t>
      </w:r>
    </w:p>
    <w:p w14:paraId="129F51C5">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2．领海、专属经济区、大陆架法律制度：</w:t>
      </w:r>
      <w:r>
        <w:rPr>
          <w:rFonts w:hint="eastAsia" w:ascii="宋体" w:hAnsi="宋体" w:eastAsia="宋体" w:cs="宋体"/>
          <w:b/>
          <w:bCs w:val="0"/>
          <w:color w:val="auto"/>
          <w:sz w:val="21"/>
          <w:szCs w:val="21"/>
        </w:rPr>
        <w:t>领海无害通过制度</w:t>
      </w:r>
      <w:r>
        <w:rPr>
          <w:rFonts w:hint="eastAsia" w:cs="宋体"/>
          <w:b/>
          <w:bCs w:val="0"/>
          <w:color w:val="auto"/>
          <w:sz w:val="21"/>
          <w:szCs w:val="21"/>
          <w:lang w:eastAsia="zh-CN"/>
        </w:rPr>
        <w:t>（</w:t>
      </w:r>
      <w:r>
        <w:rPr>
          <w:rFonts w:hint="eastAsia" w:cs="宋体"/>
          <w:b/>
          <w:bCs w:val="0"/>
          <w:color w:val="auto"/>
          <w:sz w:val="21"/>
          <w:szCs w:val="21"/>
          <w:lang w:val="en-US" w:eastAsia="zh-CN"/>
        </w:rPr>
        <w:t>连续不间断</w:t>
      </w:r>
      <w:r>
        <w:rPr>
          <w:rFonts w:hint="eastAsia" w:cs="宋体"/>
          <w:b/>
          <w:bCs w:val="0"/>
          <w:color w:val="auto"/>
          <w:sz w:val="21"/>
          <w:szCs w:val="21"/>
          <w:lang w:eastAsia="zh-CN"/>
        </w:rPr>
        <w:t>）</w:t>
      </w:r>
      <w:r>
        <w:rPr>
          <w:rFonts w:hint="eastAsia" w:ascii="宋体" w:hAnsi="宋体" w:eastAsia="宋体" w:cs="宋体"/>
          <w:bCs/>
          <w:color w:val="auto"/>
          <w:sz w:val="21"/>
          <w:szCs w:val="21"/>
        </w:rPr>
        <w:t>、各个海域沿海国权利。注意外国军用船舶通过中国领海须经中国政府批准。</w:t>
      </w:r>
    </w:p>
    <w:p w14:paraId="31C4D512">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3．《联合国海洋法公约》的争端解决机制：</w:t>
      </w:r>
      <w:r>
        <w:rPr>
          <w:rFonts w:hint="eastAsia" w:ascii="宋体" w:hAnsi="宋体" w:eastAsia="宋体" w:cs="宋体"/>
          <w:b/>
          <w:bCs/>
          <w:color w:val="FF0000"/>
          <w:kern w:val="0"/>
          <w:sz w:val="21"/>
          <w:szCs w:val="21"/>
          <w:lang w:val="en-US" w:eastAsia="zh-CN" w:bidi="ar-SA"/>
        </w:rPr>
        <w:t>有四个平行、并列机构可以选择：国际法院、海洋法法庭、仲裁庭、特别仲裁庭。</w:t>
      </w:r>
      <w:r>
        <w:rPr>
          <w:rFonts w:hint="eastAsia" w:ascii="宋体" w:hAnsi="宋体" w:eastAsia="宋体" w:cs="宋体"/>
          <w:bCs/>
          <w:color w:val="auto"/>
          <w:sz w:val="21"/>
          <w:szCs w:val="21"/>
        </w:rPr>
        <w:t>如双方无法达成一致，由依附件七组成的仲裁庭审理。</w:t>
      </w:r>
      <w:bookmarkStart w:id="4" w:name="_Toc236829076"/>
    </w:p>
    <w:p w14:paraId="656ECBEF">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r>
        <w:rPr>
          <w:rFonts w:hint="eastAsia" w:ascii="宋体" w:hAnsi="宋体" w:eastAsia="宋体" w:cs="宋体"/>
          <w:b/>
          <w:bCs/>
          <w:color w:val="auto"/>
          <w:sz w:val="21"/>
          <w:szCs w:val="21"/>
        </w:rPr>
        <w:t>预测考点4  国际法上的个人</w:t>
      </w:r>
      <w:bookmarkEnd w:id="4"/>
    </w:p>
    <w:p w14:paraId="42F71538">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lang w:eastAsia="zh-CN"/>
        </w:rPr>
      </w:pPr>
      <w:r>
        <w:rPr>
          <w:rFonts w:hint="eastAsia" w:ascii="宋体" w:hAnsi="宋体" w:eastAsia="宋体" w:cs="宋体"/>
          <w:bCs/>
          <w:color w:val="auto"/>
          <w:sz w:val="21"/>
          <w:szCs w:val="21"/>
        </w:rPr>
        <w:t>1．引渡的一般规则：国际司法协助行为，国家没有一般的引渡义务；双重犯罪原则和罪名特定原则。</w:t>
      </w:r>
      <w:r>
        <w:rPr>
          <w:rFonts w:hint="eastAsia" w:cs="宋体"/>
          <w:b/>
          <w:bCs w:val="0"/>
          <w:color w:val="auto"/>
          <w:sz w:val="21"/>
          <w:szCs w:val="21"/>
          <w:lang w:eastAsia="zh-CN"/>
        </w:rPr>
        <w:t>（</w:t>
      </w:r>
      <w:r>
        <w:rPr>
          <w:rFonts w:hint="eastAsia" w:cs="宋体"/>
          <w:b/>
          <w:bCs w:val="0"/>
          <w:color w:val="auto"/>
          <w:sz w:val="21"/>
          <w:szCs w:val="21"/>
          <w:lang w:val="en-US" w:eastAsia="zh-CN"/>
        </w:rPr>
        <w:t>引渡一般不引渡政治犯，庇护一般只接受政治犯</w:t>
      </w:r>
      <w:r>
        <w:rPr>
          <w:rFonts w:hint="eastAsia" w:cs="宋体"/>
          <w:b/>
          <w:bCs w:val="0"/>
          <w:color w:val="auto"/>
          <w:sz w:val="21"/>
          <w:szCs w:val="21"/>
          <w:lang w:eastAsia="zh-CN"/>
        </w:rPr>
        <w:t>）</w:t>
      </w:r>
    </w:p>
    <w:p w14:paraId="7A00E2E6">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2．我国《引渡法》中的重要内容：外国向我国提出引渡的审查机关是</w:t>
      </w:r>
      <w:r>
        <w:rPr>
          <w:rFonts w:hint="eastAsia" w:ascii="宋体" w:hAnsi="宋体" w:eastAsia="宋体" w:cs="宋体"/>
          <w:b/>
          <w:bCs w:val="0"/>
          <w:color w:val="auto"/>
          <w:sz w:val="21"/>
          <w:szCs w:val="21"/>
        </w:rPr>
        <w:t>最高人民法院指定的高级人民法院和最高人民检察院</w:t>
      </w:r>
      <w:r>
        <w:rPr>
          <w:rFonts w:hint="eastAsia" w:ascii="宋体" w:hAnsi="宋体" w:eastAsia="宋体" w:cs="宋体"/>
          <w:bCs/>
          <w:color w:val="auto"/>
          <w:sz w:val="21"/>
          <w:szCs w:val="21"/>
        </w:rPr>
        <w:t>；我国向外国提出引渡时，对所附条件的决定机关是最高人民法院和最高人民检察院。</w:t>
      </w:r>
    </w:p>
    <w:p w14:paraId="28877AF4">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3．国籍：中国《国籍法》的主要内容，国籍的取得、丧失。注意中国不承认双重国籍，定居外国的中国公民自愿加入或取得外国国籍的，即自动丧失中国国籍。</w:t>
      </w:r>
    </w:p>
    <w:p w14:paraId="2E1A4E50">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4．《出境入境管理法》：外国人的入境、居留、出境管理规定，特别是签证签发、不准入境的情形、非法就业、出境限制等。</w:t>
      </w:r>
    </w:p>
    <w:p w14:paraId="2AEE8639">
      <w:pPr>
        <w:pageBreakBefore w:val="0"/>
        <w:widowControl w:val="0"/>
        <w:tabs>
          <w:tab w:val="left" w:pos="832"/>
        </w:tabs>
        <w:kinsoku/>
        <w:wordWrap/>
        <w:overflowPunct/>
        <w:topLinePunct w:val="0"/>
        <w:bidi w:val="0"/>
        <w:adjustRightInd w:val="0"/>
        <w:snapToGrid w:val="0"/>
        <w:spacing w:after="0" w:line="288" w:lineRule="auto"/>
        <w:jc w:val="center"/>
        <w:rPr>
          <w:rFonts w:hint="eastAsia" w:ascii="宋体" w:hAnsi="宋体" w:eastAsia="宋体" w:cs="宋体"/>
          <w:bCs/>
          <w:color w:val="auto"/>
          <w:sz w:val="21"/>
          <w:szCs w:val="21"/>
          <w:lang w:eastAsia="zh-CN"/>
        </w:rPr>
      </w:pPr>
      <w:bookmarkStart w:id="5" w:name="_Toc236829077"/>
      <w:r>
        <w:rPr>
          <w:rFonts w:hint="eastAsia" w:ascii="宋体" w:hAnsi="宋体" w:eastAsia="宋体" w:cs="宋体"/>
          <w:b/>
          <w:bCs/>
          <w:color w:val="auto"/>
          <w:sz w:val="21"/>
          <w:szCs w:val="21"/>
        </w:rPr>
        <w:t>预测考点5  使领馆的特权与豁免</w:t>
      </w:r>
      <w:bookmarkEnd w:id="5"/>
    </w:p>
    <w:p w14:paraId="7E56D956">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1．外交机关和使馆人员：使馆馆长、武官、参赞、秘书、随员都是外交官。</w:t>
      </w:r>
    </w:p>
    <w:p w14:paraId="16B7F05F">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2．使馆特权与豁免：</w:t>
      </w:r>
      <w:r>
        <w:rPr>
          <w:rFonts w:hint="eastAsia" w:ascii="宋体" w:hAnsi="宋体" w:eastAsia="宋体" w:cs="宋体"/>
          <w:b/>
          <w:bCs w:val="0"/>
          <w:color w:val="auto"/>
          <w:sz w:val="21"/>
          <w:szCs w:val="21"/>
        </w:rPr>
        <w:t>使馆馆舍不得侵犯（无例外）</w:t>
      </w:r>
      <w:r>
        <w:rPr>
          <w:rFonts w:hint="eastAsia" w:ascii="宋体" w:hAnsi="宋体" w:eastAsia="宋体" w:cs="宋体"/>
          <w:bCs/>
          <w:color w:val="auto"/>
          <w:sz w:val="21"/>
          <w:szCs w:val="21"/>
        </w:rPr>
        <w:t>；通讯自由特权的具体规定。</w:t>
      </w:r>
    </w:p>
    <w:p w14:paraId="77C56BE8">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3．外交人员的特权与豁免：刑事管辖豁免无例外；免除作证义务；民事管辖豁免有例外（私有不动产、继承、商业活动）。</w:t>
      </w:r>
    </w:p>
    <w:p w14:paraId="15FC2F79">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4．使馆及享有外交特权和豁免人员的义务：使馆馆舍不得用于庇护、关押等；外交代表不应在接受国内为私人利益从事任何专业或商业活动。</w:t>
      </w:r>
    </w:p>
    <w:p w14:paraId="715B8071">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5．领事特权与豁免：</w:t>
      </w:r>
      <w:r>
        <w:rPr>
          <w:rFonts w:hint="eastAsia" w:ascii="宋体" w:hAnsi="宋体" w:eastAsia="宋体" w:cs="宋体"/>
          <w:b/>
          <w:bCs w:val="0"/>
          <w:color w:val="auto"/>
          <w:sz w:val="21"/>
          <w:szCs w:val="21"/>
        </w:rPr>
        <w:t>领事官员人身不受侵犯有例外（犯严重罪行）</w:t>
      </w:r>
      <w:r>
        <w:rPr>
          <w:rFonts w:hint="eastAsia" w:ascii="宋体" w:hAnsi="宋体" w:eastAsia="宋体" w:cs="宋体"/>
          <w:bCs/>
          <w:color w:val="auto"/>
          <w:sz w:val="21"/>
          <w:szCs w:val="21"/>
        </w:rPr>
        <w:t>；执行职务行为享有管辖豁免；仅对执行职务所涉事项免除作证义务。</w:t>
      </w:r>
    </w:p>
    <w:p w14:paraId="3889492A">
      <w:pPr>
        <w:pageBreakBefore w:val="0"/>
        <w:widowControl w:val="0"/>
        <w:tabs>
          <w:tab w:val="left" w:pos="832"/>
        </w:tabs>
        <w:kinsoku/>
        <w:wordWrap/>
        <w:overflowPunct/>
        <w:topLinePunct w:val="0"/>
        <w:bidi w:val="0"/>
        <w:adjustRightInd w:val="0"/>
        <w:snapToGrid w:val="0"/>
        <w:spacing w:after="0" w:line="288" w:lineRule="auto"/>
        <w:jc w:val="center"/>
        <w:rPr>
          <w:rFonts w:hint="eastAsia" w:ascii="宋体" w:hAnsi="宋体" w:eastAsia="宋体" w:cs="宋体"/>
          <w:b/>
          <w:bCs/>
          <w:color w:val="auto"/>
          <w:sz w:val="21"/>
          <w:szCs w:val="21"/>
          <w:lang w:eastAsia="zh-CN"/>
        </w:rPr>
      </w:pPr>
      <w:bookmarkStart w:id="6" w:name="_Toc236829078"/>
      <w:r>
        <w:rPr>
          <w:rFonts w:hint="eastAsia" w:ascii="宋体" w:hAnsi="宋体" w:eastAsia="宋体" w:cs="宋体"/>
          <w:b/>
          <w:bCs/>
          <w:color w:val="auto"/>
          <w:sz w:val="21"/>
          <w:szCs w:val="21"/>
        </w:rPr>
        <w:t>预测考点6  条约法</w:t>
      </w:r>
      <w:bookmarkEnd w:id="6"/>
    </w:p>
    <w:p w14:paraId="482F5466">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w:t>
      </w:r>
      <w:r>
        <w:rPr>
          <w:rFonts w:hint="eastAsia" w:ascii="宋体" w:hAnsi="宋体" w:eastAsia="宋体" w:cs="宋体"/>
          <w:b/>
          <w:bCs/>
          <w:color w:val="FF0000"/>
          <w:kern w:val="0"/>
          <w:sz w:val="21"/>
          <w:szCs w:val="21"/>
          <w:lang w:val="en-US" w:eastAsia="zh-CN" w:bidi="ar-SA"/>
        </w:rPr>
        <w:t>条约的保留</w:t>
      </w:r>
      <w:r>
        <w:rPr>
          <w:rFonts w:hint="eastAsia" w:ascii="宋体" w:hAnsi="宋体" w:eastAsia="宋体" w:cs="宋体"/>
          <w:b/>
          <w:bCs w:val="0"/>
          <w:color w:val="auto"/>
          <w:sz w:val="21"/>
          <w:szCs w:val="21"/>
        </w:rPr>
        <w:t>：</w:t>
      </w:r>
      <w:r>
        <w:rPr>
          <w:rFonts w:hint="eastAsia" w:ascii="宋体" w:hAnsi="宋体" w:eastAsia="宋体" w:cs="宋体"/>
          <w:bCs/>
          <w:color w:val="auto"/>
          <w:sz w:val="21"/>
          <w:szCs w:val="21"/>
        </w:rPr>
        <w:t>保留的概念和保留的法律效果。在保留国与接受保留国之间，按保留范围修改条约规定；在保留国与反对保留国之间，保留所涉规定在保留范围内不适用。</w:t>
      </w:r>
    </w:p>
    <w:p w14:paraId="6EA9253C">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2．条约的适用和解释：条约的冲突的解决一般采用</w:t>
      </w:r>
      <w:r>
        <w:rPr>
          <w:rFonts w:hint="eastAsia" w:ascii="宋体" w:hAnsi="宋体" w:eastAsia="宋体" w:cs="宋体"/>
          <w:b/>
          <w:bCs/>
          <w:color w:val="FF0000"/>
          <w:kern w:val="0"/>
          <w:sz w:val="21"/>
          <w:szCs w:val="21"/>
          <w:lang w:val="en-US" w:eastAsia="zh-CN" w:bidi="ar-SA"/>
        </w:rPr>
        <w:t>后约优于先约、后约当事国和先约非当事国之间适用先约</w:t>
      </w:r>
      <w:r>
        <w:rPr>
          <w:rFonts w:hint="eastAsia" w:ascii="宋体" w:hAnsi="宋体" w:eastAsia="宋体" w:cs="宋体"/>
          <w:bCs/>
          <w:color w:val="auto"/>
          <w:sz w:val="21"/>
          <w:szCs w:val="21"/>
        </w:rPr>
        <w:t>；条约解释的一般规则（善意、通常意义、上下文、目的和宗旨）。</w:t>
      </w:r>
    </w:p>
    <w:p w14:paraId="0328CC74">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3．条约的修订和终止：多边条约的修正规则；断绝外交关系、战争、一方违约带来的终止情形。</w:t>
      </w:r>
    </w:p>
    <w:p w14:paraId="6CEDAAF2">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4．中国缔结条约程序：</w:t>
      </w:r>
      <w:r>
        <w:rPr>
          <w:rFonts w:hint="eastAsia" w:ascii="宋体" w:hAnsi="宋体" w:eastAsia="宋体" w:cs="宋体"/>
          <w:b/>
          <w:bCs w:val="0"/>
          <w:color w:val="auto"/>
          <w:sz w:val="21"/>
          <w:szCs w:val="21"/>
        </w:rPr>
        <w:t>国务院总理、外交部长谈判签缔条约无须出具全权证书</w:t>
      </w:r>
      <w:r>
        <w:rPr>
          <w:rFonts w:hint="eastAsia" w:ascii="宋体" w:hAnsi="宋体" w:eastAsia="宋体" w:cs="宋体"/>
          <w:bCs/>
          <w:color w:val="auto"/>
          <w:sz w:val="21"/>
          <w:szCs w:val="21"/>
        </w:rPr>
        <w:t>；条约和重要协定的批准由</w:t>
      </w:r>
      <w:r>
        <w:rPr>
          <w:rFonts w:hint="eastAsia" w:ascii="宋体" w:hAnsi="宋体" w:eastAsia="宋体" w:cs="宋体"/>
          <w:b/>
          <w:bCs w:val="0"/>
          <w:color w:val="auto"/>
          <w:sz w:val="21"/>
          <w:szCs w:val="21"/>
        </w:rPr>
        <w:t>全国人大常委会</w:t>
      </w:r>
      <w:r>
        <w:rPr>
          <w:rFonts w:hint="eastAsia" w:ascii="宋体" w:hAnsi="宋体" w:eastAsia="宋体" w:cs="宋体"/>
          <w:bCs/>
          <w:color w:val="auto"/>
          <w:sz w:val="21"/>
          <w:szCs w:val="21"/>
        </w:rPr>
        <w:t>决定。</w:t>
      </w:r>
    </w:p>
    <w:p w14:paraId="502BC0F3">
      <w:pPr>
        <w:pageBreakBefore w:val="0"/>
        <w:widowControl w:val="0"/>
        <w:tabs>
          <w:tab w:val="left" w:pos="832"/>
        </w:tabs>
        <w:kinsoku/>
        <w:wordWrap/>
        <w:overflowPunct/>
        <w:topLinePunct w:val="0"/>
        <w:bidi w:val="0"/>
        <w:adjustRightInd w:val="0"/>
        <w:snapToGrid w:val="0"/>
        <w:spacing w:after="0" w:line="288" w:lineRule="auto"/>
        <w:jc w:val="center"/>
        <w:rPr>
          <w:rFonts w:hint="eastAsia" w:ascii="宋体" w:hAnsi="宋体" w:eastAsia="宋体" w:cs="宋体"/>
          <w:bCs/>
          <w:color w:val="auto"/>
          <w:sz w:val="21"/>
          <w:szCs w:val="21"/>
          <w:lang w:eastAsia="zh-CN"/>
        </w:rPr>
      </w:pPr>
      <w:bookmarkStart w:id="7" w:name="_Toc236829079"/>
      <w:r>
        <w:rPr>
          <w:rFonts w:hint="eastAsia" w:ascii="宋体" w:hAnsi="宋体" w:eastAsia="宋体" w:cs="宋体"/>
          <w:b/>
          <w:bCs/>
          <w:color w:val="auto"/>
          <w:sz w:val="21"/>
          <w:szCs w:val="21"/>
        </w:rPr>
        <w:t>预测考点7  战争与武装冲突法</w:t>
      </w:r>
      <w:bookmarkEnd w:id="7"/>
    </w:p>
    <w:p w14:paraId="3F8FC013">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1．战争开始的法律后果：外交和领事关系的断绝、条约关系发生变化（政治性条约立即废止，边界条约继续有效）、经贸往来的禁止、对敌产和敌国公民的影响。</w:t>
      </w:r>
    </w:p>
    <w:p w14:paraId="132322DD">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2．战时中立国的权利和义务：义务包括</w:t>
      </w:r>
      <w:r>
        <w:rPr>
          <w:rFonts w:hint="eastAsia" w:ascii="宋体" w:hAnsi="宋体" w:eastAsia="宋体" w:cs="宋体"/>
          <w:b/>
          <w:bCs w:val="0"/>
          <w:color w:val="auto"/>
          <w:sz w:val="21"/>
          <w:szCs w:val="21"/>
        </w:rPr>
        <w:t>不作为、防止、容忍</w:t>
      </w:r>
      <w:r>
        <w:rPr>
          <w:rFonts w:hint="eastAsia" w:ascii="宋体" w:hAnsi="宋体" w:eastAsia="宋体" w:cs="宋体"/>
          <w:bCs/>
          <w:color w:val="auto"/>
          <w:sz w:val="21"/>
          <w:szCs w:val="21"/>
        </w:rPr>
        <w:t>等。中立国有义务采取一切可能措施防止交战国在其领土从事战争行为。</w:t>
      </w:r>
    </w:p>
    <w:p w14:paraId="5B91348B">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3．战俘待遇：战俘应保有其被俘时所享有的民事权利；战俘的金钱和贵重财产可由拘留国保存但不得没收；尊重战俘的风俗习惯和宗教信仰。</w:t>
      </w:r>
    </w:p>
    <w:p w14:paraId="6B9F77A9">
      <w:pPr>
        <w:keepNext/>
        <w:keepLines/>
        <w:spacing w:after="0" w:line="600" w:lineRule="exact"/>
        <w:jc w:val="center"/>
        <w:outlineLvl w:val="4"/>
        <w:rPr>
          <w:rFonts w:hint="eastAsia" w:ascii="宋体" w:hAnsi="宋体" w:eastAsia="宋体" w:cs="宋体"/>
          <w:b/>
          <w:bCs/>
          <w:color w:val="auto"/>
          <w:sz w:val="30"/>
          <w:szCs w:val="30"/>
        </w:rPr>
      </w:pPr>
      <w:bookmarkStart w:id="8" w:name="_Toc236829080"/>
      <w:r>
        <w:rPr>
          <w:rFonts w:hint="eastAsia" w:ascii="宋体" w:hAnsi="宋体" w:eastAsia="宋体" w:cs="宋体"/>
          <w:b/>
          <w:bCs/>
          <w:color w:val="auto"/>
          <w:sz w:val="30"/>
          <w:szCs w:val="30"/>
        </w:rPr>
        <w:t>国际私法</w:t>
      </w:r>
      <w:bookmarkEnd w:id="8"/>
    </w:p>
    <w:p w14:paraId="70E2CF7C">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9" w:name="_Toc236829081"/>
      <w:r>
        <w:rPr>
          <w:rFonts w:hint="eastAsia" w:ascii="宋体" w:hAnsi="宋体" w:eastAsia="宋体" w:cs="宋体"/>
          <w:b/>
          <w:bCs/>
          <w:color w:val="auto"/>
          <w:sz w:val="21"/>
          <w:szCs w:val="21"/>
        </w:rPr>
        <w:t>预测考点1  适用冲突规范的制度</w:t>
      </w:r>
      <w:bookmarkEnd w:id="9"/>
    </w:p>
    <w:p w14:paraId="7D1DD713">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lang w:eastAsia="zh-CN"/>
        </w:rPr>
      </w:pPr>
      <w:r>
        <w:rPr>
          <w:rFonts w:hint="eastAsia" w:ascii="宋体" w:hAnsi="宋体" w:eastAsia="宋体" w:cs="宋体"/>
          <w:bCs/>
          <w:color w:val="auto"/>
          <w:sz w:val="21"/>
          <w:szCs w:val="21"/>
        </w:rPr>
        <w:t>1．外国法的查明：《法律适用法司法解释二》的内容规定。当事人选择适用外国法律的，应当提供该国法律；外国法律为判例法的，应当提交判例全文。</w:t>
      </w:r>
      <w:r>
        <w:rPr>
          <w:rFonts w:hint="eastAsia" w:cs="宋体"/>
          <w:bCs/>
          <w:color w:val="auto"/>
          <w:sz w:val="21"/>
          <w:szCs w:val="21"/>
          <w:lang w:eastAsia="zh-CN"/>
        </w:rPr>
        <w:t>（</w:t>
      </w:r>
      <w:r>
        <w:rPr>
          <w:rFonts w:hint="eastAsia" w:cs="宋体"/>
          <w:b/>
          <w:bCs w:val="0"/>
          <w:color w:val="0070C0"/>
          <w:sz w:val="21"/>
          <w:szCs w:val="21"/>
          <w:lang w:val="en-US" w:eastAsia="zh-CN"/>
        </w:rPr>
        <w:t>只能够明示选择，“双方援引相同法律且对其法律解释没有异议，法院可以认定双方选择了该国法律”学理上不认为是默示选择</w:t>
      </w:r>
      <w:r>
        <w:rPr>
          <w:rFonts w:hint="eastAsia" w:cs="宋体"/>
          <w:bCs/>
          <w:color w:val="auto"/>
          <w:sz w:val="21"/>
          <w:szCs w:val="21"/>
          <w:lang w:eastAsia="zh-CN"/>
        </w:rPr>
        <w:t>）</w:t>
      </w:r>
    </w:p>
    <w:p w14:paraId="0E8C15BF">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lang w:eastAsia="zh-CN"/>
        </w:rPr>
      </w:pPr>
      <w:r>
        <w:rPr>
          <w:rFonts w:hint="eastAsia" w:ascii="宋体" w:hAnsi="宋体" w:eastAsia="宋体" w:cs="宋体"/>
          <w:bCs/>
          <w:color w:val="auto"/>
          <w:sz w:val="21"/>
          <w:szCs w:val="21"/>
        </w:rPr>
        <w:t>2．公共秩序保留和强制性规定的直接适用：公共秩序保留制度不仅用在外国法的适用，还用在外国法院判决、裁定的承认和执行、国际条约和国际惯例的适用中。</w:t>
      </w:r>
      <w:r>
        <w:rPr>
          <w:rFonts w:hint="eastAsia" w:ascii="宋体" w:hAnsi="宋体" w:eastAsia="宋体" w:cs="宋体"/>
          <w:b/>
          <w:bCs/>
          <w:color w:val="FF0000"/>
          <w:kern w:val="0"/>
          <w:sz w:val="21"/>
          <w:szCs w:val="21"/>
          <w:lang w:val="en-US" w:eastAsia="zh-CN" w:bidi="ar-SA"/>
        </w:rPr>
        <w:t>（公共秩序保留制度需要个案判定，所以很难提前给出）</w:t>
      </w:r>
      <w:r>
        <w:rPr>
          <w:rFonts w:hint="eastAsia" w:ascii="宋体" w:hAnsi="宋体" w:eastAsia="宋体" w:cs="宋体"/>
          <w:bCs/>
          <w:color w:val="auto"/>
          <w:sz w:val="21"/>
          <w:szCs w:val="21"/>
        </w:rPr>
        <w:t>涉及劳动者权益保护、食品或公共卫生安全、环境安全、外汇管制等金融安全以及反垄断、反倾销这几个方面的事项，直接适用中国法。</w:t>
      </w:r>
      <w:r>
        <w:rPr>
          <w:rFonts w:hint="eastAsia" w:ascii="宋体" w:hAnsi="宋体" w:eastAsia="宋体" w:cs="宋体"/>
          <w:b/>
          <w:bCs/>
          <w:color w:val="FF0000"/>
          <w:kern w:val="0"/>
          <w:sz w:val="21"/>
          <w:szCs w:val="21"/>
          <w:lang w:val="en-US" w:eastAsia="zh-CN" w:bidi="ar-SA"/>
        </w:rPr>
        <w:t>（强制性规定：一保二反三安全）</w:t>
      </w:r>
    </w:p>
    <w:p w14:paraId="31FB47AC">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3．反致制度：人民法院在适用外国法时，不适用外国的法律适用法（法律适用法也被称为冲突法、冲突规范、国际私法规则），即</w:t>
      </w:r>
      <w:r>
        <w:rPr>
          <w:rFonts w:hint="eastAsia" w:ascii="宋体" w:hAnsi="宋体" w:eastAsia="宋体" w:cs="宋体"/>
          <w:b/>
          <w:bCs w:val="0"/>
          <w:color w:val="auto"/>
          <w:sz w:val="21"/>
          <w:szCs w:val="21"/>
        </w:rPr>
        <w:t>我国不接受反致、转致</w:t>
      </w:r>
      <w:r>
        <w:rPr>
          <w:rFonts w:hint="eastAsia" w:ascii="宋体" w:hAnsi="宋体" w:eastAsia="宋体" w:cs="宋体"/>
          <w:bCs/>
          <w:color w:val="auto"/>
          <w:sz w:val="21"/>
          <w:szCs w:val="21"/>
        </w:rPr>
        <w:t>。</w:t>
      </w:r>
    </w:p>
    <w:p w14:paraId="185DCBC2">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4．定性：又叫识别，适用法院地法。</w:t>
      </w:r>
    </w:p>
    <w:p w14:paraId="369A4A40">
      <w:pPr>
        <w:pageBreakBefore w:val="0"/>
        <w:widowControl w:val="0"/>
        <w:tabs>
          <w:tab w:val="left" w:pos="832"/>
        </w:tabs>
        <w:kinsoku/>
        <w:wordWrap/>
        <w:overflowPunct/>
        <w:topLinePunct w:val="0"/>
        <w:bidi w:val="0"/>
        <w:adjustRightInd w:val="0"/>
        <w:snapToGrid w:val="0"/>
        <w:spacing w:after="0" w:line="288" w:lineRule="auto"/>
        <w:jc w:val="center"/>
        <w:rPr>
          <w:rFonts w:hint="eastAsia" w:ascii="宋体" w:hAnsi="宋体" w:eastAsia="宋体" w:cs="宋体"/>
          <w:b/>
          <w:bCs/>
          <w:color w:val="auto"/>
          <w:sz w:val="21"/>
          <w:szCs w:val="21"/>
          <w:lang w:eastAsia="zh-CN"/>
        </w:rPr>
      </w:pPr>
      <w:bookmarkStart w:id="10" w:name="_Toc236829082"/>
      <w:r>
        <w:rPr>
          <w:rFonts w:hint="eastAsia" w:ascii="宋体" w:hAnsi="宋体" w:eastAsia="宋体" w:cs="宋体"/>
          <w:b/>
          <w:bCs/>
          <w:color w:val="auto"/>
          <w:sz w:val="21"/>
          <w:szCs w:val="21"/>
          <w:lang w:eastAsia="zh-CN"/>
        </w:rPr>
        <w:t>预测考点2  自然人、法人的权利能力和行为能力</w:t>
      </w:r>
      <w:bookmarkEnd w:id="10"/>
    </w:p>
    <w:p w14:paraId="1D3B4A49">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1．自然人权利能力的法律适用：适用自然人经常居所地法。宣告失踪或者宣告死亡，适用自然人经常居所地法律。</w:t>
      </w:r>
    </w:p>
    <w:p w14:paraId="2C40EC80">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
          <w:bCs w:val="0"/>
          <w:color w:val="auto"/>
          <w:sz w:val="21"/>
          <w:szCs w:val="21"/>
          <w:lang w:eastAsia="zh-CN"/>
        </w:rPr>
      </w:pPr>
      <w:r>
        <w:rPr>
          <w:rFonts w:hint="eastAsia" w:ascii="宋体" w:hAnsi="宋体" w:eastAsia="宋体" w:cs="宋体"/>
          <w:bCs/>
          <w:color w:val="auto"/>
          <w:sz w:val="21"/>
          <w:szCs w:val="21"/>
        </w:rPr>
        <w:t>2．自然人行为能力的法律适用：原则上适用经常居所地法，有商事例外时适用行为地法。</w:t>
      </w:r>
      <w:r>
        <w:rPr>
          <w:rFonts w:hint="eastAsia" w:cs="宋体"/>
          <w:b/>
          <w:bCs w:val="0"/>
          <w:color w:val="auto"/>
          <w:sz w:val="21"/>
          <w:szCs w:val="21"/>
          <w:lang w:eastAsia="zh-CN"/>
        </w:rPr>
        <w:t>（</w:t>
      </w:r>
      <w:r>
        <w:rPr>
          <w:rFonts w:hint="eastAsia" w:cs="宋体"/>
          <w:b/>
          <w:bCs w:val="0"/>
          <w:color w:val="auto"/>
          <w:sz w:val="21"/>
          <w:szCs w:val="21"/>
          <w:lang w:val="en-US" w:eastAsia="zh-CN"/>
        </w:rPr>
        <w:t>尽量有效，哪里有效用哪里</w:t>
      </w:r>
      <w:r>
        <w:rPr>
          <w:rFonts w:hint="eastAsia" w:cs="宋体"/>
          <w:b/>
          <w:bCs w:val="0"/>
          <w:color w:val="auto"/>
          <w:sz w:val="21"/>
          <w:szCs w:val="21"/>
          <w:lang w:eastAsia="zh-CN"/>
        </w:rPr>
        <w:t>）</w:t>
      </w:r>
    </w:p>
    <w:p w14:paraId="5AF95059">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3．法人权利能力和行为能力的法律适用：适用登记地法律。法人的主营业地与登记地不一致的，可以适用主营业地法律。</w:t>
      </w:r>
    </w:p>
    <w:p w14:paraId="43966DAF">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4．经常居所地的认定：自然人在涉外民事关系产生或者变更、终止时已经连续居住一年以上且作为其生活中心的地方，但就医、劳务派遣、公务等情形除外。</w:t>
      </w:r>
    </w:p>
    <w:p w14:paraId="3FB36CFA">
      <w:pPr>
        <w:pageBreakBefore w:val="0"/>
        <w:widowControl w:val="0"/>
        <w:tabs>
          <w:tab w:val="left" w:pos="832"/>
        </w:tabs>
        <w:kinsoku/>
        <w:wordWrap/>
        <w:overflowPunct/>
        <w:topLinePunct w:val="0"/>
        <w:bidi w:val="0"/>
        <w:adjustRightInd w:val="0"/>
        <w:snapToGrid w:val="0"/>
        <w:spacing w:after="0" w:line="288" w:lineRule="auto"/>
        <w:jc w:val="center"/>
        <w:rPr>
          <w:rFonts w:hint="eastAsia" w:ascii="宋体" w:hAnsi="宋体" w:eastAsia="宋体" w:cs="宋体"/>
          <w:bCs/>
          <w:color w:val="auto"/>
          <w:sz w:val="21"/>
          <w:szCs w:val="21"/>
          <w:lang w:eastAsia="zh-CN"/>
        </w:rPr>
      </w:pPr>
      <w:bookmarkStart w:id="11" w:name="_Toc236829083"/>
      <w:r>
        <w:rPr>
          <w:rFonts w:hint="eastAsia" w:ascii="宋体" w:hAnsi="宋体" w:eastAsia="宋体" w:cs="宋体"/>
          <w:b/>
          <w:bCs/>
          <w:color w:val="auto"/>
          <w:sz w:val="21"/>
          <w:szCs w:val="21"/>
          <w:lang w:eastAsia="zh-CN"/>
        </w:rPr>
        <w:t>预测考点3  侵权行为的法律适用</w:t>
      </w:r>
      <w:bookmarkEnd w:id="11"/>
    </w:p>
    <w:p w14:paraId="64E0AC06">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
          <w:bCs w:val="0"/>
          <w:color w:val="auto"/>
          <w:sz w:val="21"/>
          <w:szCs w:val="21"/>
          <w:lang w:eastAsia="zh-CN"/>
        </w:rPr>
      </w:pPr>
      <w:r>
        <w:rPr>
          <w:rFonts w:hint="eastAsia" w:ascii="宋体" w:hAnsi="宋体" w:eastAsia="宋体" w:cs="宋体"/>
          <w:bCs/>
          <w:color w:val="auto"/>
          <w:sz w:val="21"/>
          <w:szCs w:val="21"/>
        </w:rPr>
        <w:t>1．侵权责任一般规定：适用侵权行为地法律，但当事人有共同经常居所地的，适用共同经常居所地法律。侵权行为发生后，当事人协议选择适用法律的，按照其协议。</w:t>
      </w:r>
      <w:r>
        <w:rPr>
          <w:rFonts w:hint="eastAsia" w:cs="宋体"/>
          <w:b/>
          <w:bCs w:val="0"/>
          <w:color w:val="auto"/>
          <w:sz w:val="21"/>
          <w:szCs w:val="21"/>
          <w:lang w:eastAsia="zh-CN"/>
        </w:rPr>
        <w:t>（协议选择＞共同经常居所地＞侵权行为地）。</w:t>
      </w:r>
    </w:p>
    <w:p w14:paraId="6DF1AA50">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产品责任：适用被侵权人经常居所地法律；被侵权人选择适用侵权人主营业地法律、损害发生地法律的，或者侵权人在被侵权人经常居所地没有从事相关经营活动的，适用侵权人主营业地法律或者损害发生地法律。注意产品责任中被侵权人有单方选择权。</w:t>
      </w:r>
    </w:p>
    <w:p w14:paraId="46B9FCED">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3．网络侵权：通过网络或者采用其他方式侵害姓名权、肖像权、名誉权、隐私权等人格权的，适用</w:t>
      </w:r>
      <w:r>
        <w:rPr>
          <w:rFonts w:hint="eastAsia" w:ascii="宋体" w:hAnsi="宋体" w:eastAsia="宋体" w:cs="宋体"/>
          <w:b/>
          <w:bCs/>
          <w:color w:val="FF0000"/>
          <w:kern w:val="0"/>
          <w:sz w:val="21"/>
          <w:szCs w:val="21"/>
          <w:lang w:val="en-US" w:eastAsia="zh-CN" w:bidi="ar-SA"/>
        </w:rPr>
        <w:t>被侵权人经常居所地法律。</w:t>
      </w:r>
    </w:p>
    <w:p w14:paraId="32D05424">
      <w:pPr>
        <w:pageBreakBefore w:val="0"/>
        <w:widowControl w:val="0"/>
        <w:tabs>
          <w:tab w:val="left" w:pos="832"/>
        </w:tabs>
        <w:kinsoku/>
        <w:wordWrap/>
        <w:overflowPunct/>
        <w:topLinePunct w:val="0"/>
        <w:bidi w:val="0"/>
        <w:adjustRightInd w:val="0"/>
        <w:snapToGrid w:val="0"/>
        <w:spacing w:after="0" w:line="288" w:lineRule="auto"/>
        <w:jc w:val="center"/>
        <w:rPr>
          <w:rFonts w:hint="eastAsia" w:ascii="宋体" w:hAnsi="宋体" w:eastAsia="宋体" w:cs="宋体"/>
          <w:bCs/>
          <w:color w:val="auto"/>
          <w:sz w:val="21"/>
          <w:szCs w:val="21"/>
          <w:lang w:eastAsia="zh-CN"/>
        </w:rPr>
      </w:pPr>
      <w:bookmarkStart w:id="12" w:name="_Toc236829084"/>
      <w:r>
        <w:rPr>
          <w:rFonts w:hint="eastAsia" w:ascii="宋体" w:hAnsi="宋体" w:eastAsia="宋体" w:cs="宋体"/>
          <w:b/>
          <w:bCs/>
          <w:color w:val="auto"/>
          <w:sz w:val="21"/>
          <w:szCs w:val="21"/>
          <w:lang w:eastAsia="zh-CN"/>
        </w:rPr>
        <w:t>预测考点4  中国关于合同法律适用的规定</w:t>
      </w:r>
      <w:bookmarkEnd w:id="12"/>
    </w:p>
    <w:p w14:paraId="0083238A">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1．必须适用中国法律的合同种类：在中国境内履行的中外合资经营、合作经营、合作勘探开发自然资源合同，适用中国法律。主要熟记“合作勘探开发自然资源合同，适用中国法律”这一条即可。</w:t>
      </w:r>
    </w:p>
    <w:p w14:paraId="1ED314AD">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2．中国关于合同法律适用的规定：当事人可以协议选择合同适用的法律（</w:t>
      </w:r>
      <w:r>
        <w:rPr>
          <w:rFonts w:hint="eastAsia" w:ascii="宋体" w:hAnsi="宋体" w:eastAsia="宋体" w:cs="宋体"/>
          <w:b/>
          <w:bCs w:val="0"/>
          <w:color w:val="FF0000"/>
          <w:sz w:val="21"/>
          <w:szCs w:val="21"/>
        </w:rPr>
        <w:t>一审法庭辩论终结前均可选择，不要求有实际联系</w:t>
      </w:r>
      <w:r>
        <w:rPr>
          <w:rFonts w:hint="eastAsia" w:ascii="宋体" w:hAnsi="宋体" w:eastAsia="宋体" w:cs="宋体"/>
          <w:bCs/>
          <w:color w:val="auto"/>
          <w:sz w:val="21"/>
          <w:szCs w:val="21"/>
        </w:rPr>
        <w:t>）；当事人没有选择的，适用</w:t>
      </w:r>
      <w:r>
        <w:rPr>
          <w:rFonts w:hint="eastAsia" w:ascii="宋体" w:hAnsi="宋体" w:eastAsia="宋体" w:cs="宋体"/>
          <w:b/>
          <w:bCs w:val="0"/>
          <w:color w:val="auto"/>
          <w:sz w:val="21"/>
          <w:szCs w:val="21"/>
        </w:rPr>
        <w:t>履行义务最能体现该合同特征的一方当事人经常居所地法律</w:t>
      </w:r>
      <w:r>
        <w:rPr>
          <w:rFonts w:hint="eastAsia" w:ascii="宋体" w:hAnsi="宋体" w:eastAsia="宋体" w:cs="宋体"/>
          <w:b/>
          <w:bCs w:val="0"/>
          <w:color w:val="FF0000"/>
          <w:sz w:val="21"/>
          <w:szCs w:val="21"/>
        </w:rPr>
        <w:t>或者</w:t>
      </w:r>
      <w:r>
        <w:rPr>
          <w:rFonts w:hint="eastAsia" w:ascii="宋体" w:hAnsi="宋体" w:eastAsia="宋体" w:cs="宋体"/>
          <w:b/>
          <w:bCs w:val="0"/>
          <w:color w:val="auto"/>
          <w:sz w:val="21"/>
          <w:szCs w:val="21"/>
        </w:rPr>
        <w:t>其他与该合同有最密切联系</w:t>
      </w:r>
      <w:r>
        <w:rPr>
          <w:rFonts w:hint="eastAsia" w:ascii="宋体" w:hAnsi="宋体" w:eastAsia="宋体" w:cs="宋体"/>
          <w:bCs/>
          <w:color w:val="auto"/>
          <w:sz w:val="21"/>
          <w:szCs w:val="21"/>
        </w:rPr>
        <w:t>的法律。</w:t>
      </w:r>
    </w:p>
    <w:p w14:paraId="7C554652">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lang w:eastAsia="zh-CN"/>
        </w:rPr>
      </w:pPr>
      <w:r>
        <w:rPr>
          <w:rFonts w:hint="eastAsia" w:ascii="宋体" w:hAnsi="宋体" w:eastAsia="宋体" w:cs="宋体"/>
          <w:bCs/>
          <w:color w:val="auto"/>
          <w:sz w:val="21"/>
          <w:szCs w:val="21"/>
        </w:rPr>
        <w:t>3．消费者合同：适用消费者经常居所地法律；消费者选择适用商品、服务提供地法律或者经营者在消费者经常居所地没有从事相关经营活动的，适用商品、服务提供地法律。</w:t>
      </w:r>
      <w:r>
        <w:rPr>
          <w:rFonts w:hint="eastAsia" w:cs="宋体"/>
          <w:bCs/>
          <w:color w:val="auto"/>
          <w:sz w:val="21"/>
          <w:szCs w:val="21"/>
          <w:lang w:eastAsia="zh-CN"/>
        </w:rPr>
        <w:t>（</w:t>
      </w:r>
      <w:r>
        <w:rPr>
          <w:rFonts w:hint="eastAsia" w:cs="宋体"/>
          <w:b/>
          <w:bCs w:val="0"/>
          <w:color w:val="auto"/>
          <w:sz w:val="21"/>
          <w:szCs w:val="21"/>
          <w:lang w:val="en-US" w:eastAsia="zh-CN"/>
        </w:rPr>
        <w:t>最重要的是消费者的感受</w:t>
      </w:r>
      <w:r>
        <w:rPr>
          <w:rFonts w:hint="eastAsia" w:cs="宋体"/>
          <w:bCs/>
          <w:color w:val="auto"/>
          <w:sz w:val="21"/>
          <w:szCs w:val="21"/>
          <w:lang w:eastAsia="zh-CN"/>
        </w:rPr>
        <w:t>）</w:t>
      </w:r>
    </w:p>
    <w:p w14:paraId="422E0B0E">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4．劳动合同：适用劳动者工作地法律；难以确定劳动者工作地的，适用用人单位主营业地法律。劳务派遣，可以适用劳务派出地法律。</w:t>
      </w:r>
    </w:p>
    <w:p w14:paraId="3F358B60">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13" w:name="_Toc236829085"/>
      <w:r>
        <w:rPr>
          <w:rFonts w:hint="eastAsia" w:ascii="宋体" w:hAnsi="宋体" w:eastAsia="宋体" w:cs="宋体"/>
          <w:b/>
          <w:bCs/>
          <w:color w:val="auto"/>
          <w:sz w:val="21"/>
          <w:szCs w:val="21"/>
          <w:lang w:eastAsia="zh-CN"/>
        </w:rPr>
        <w:t>预测考点5  婚姻家庭与继承</w:t>
      </w:r>
      <w:bookmarkEnd w:id="13"/>
    </w:p>
    <w:p w14:paraId="4B9739BA">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1．结婚的法律适用：</w:t>
      </w:r>
      <w:r>
        <w:rPr>
          <w:rFonts w:hint="eastAsia" w:ascii="宋体" w:hAnsi="宋体" w:eastAsia="宋体" w:cs="宋体"/>
          <w:b/>
          <w:bCs w:val="0"/>
          <w:color w:val="auto"/>
          <w:sz w:val="21"/>
          <w:szCs w:val="21"/>
        </w:rPr>
        <w:t>结婚条件</w:t>
      </w:r>
      <w:r>
        <w:rPr>
          <w:rFonts w:hint="eastAsia" w:ascii="宋体" w:hAnsi="宋体" w:eastAsia="宋体" w:cs="宋体"/>
          <w:bCs/>
          <w:color w:val="auto"/>
          <w:sz w:val="21"/>
          <w:szCs w:val="21"/>
        </w:rPr>
        <w:t>，适用当事人共同经常居所地法律；没有共同经常居所地的，适用共同国籍国法律；没有共同国籍，在一方当事人经常居所地或者国籍国缔结婚姻的，适用婚姻缔结地法律。</w:t>
      </w:r>
      <w:r>
        <w:rPr>
          <w:rFonts w:hint="eastAsia" w:ascii="宋体" w:hAnsi="宋体" w:eastAsia="宋体" w:cs="宋体"/>
          <w:b/>
          <w:bCs w:val="0"/>
          <w:color w:val="auto"/>
          <w:sz w:val="21"/>
          <w:szCs w:val="21"/>
        </w:rPr>
        <w:t>结婚手续</w:t>
      </w:r>
      <w:r>
        <w:rPr>
          <w:rFonts w:hint="eastAsia" w:ascii="宋体" w:hAnsi="宋体" w:eastAsia="宋体" w:cs="宋体"/>
          <w:bCs/>
          <w:color w:val="auto"/>
          <w:sz w:val="21"/>
          <w:szCs w:val="21"/>
        </w:rPr>
        <w:t>，符合婚姻缔结地法律、一方当事人经常居所地法律或者国籍国法律的，均为有效。</w:t>
      </w:r>
    </w:p>
    <w:p w14:paraId="4EC67480">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2．夫妻人身、财产关系的法律适用：夫妻财产关系，当事人可以协议选择适用一方当事人经常居所地法律、国籍国法律或者主要财产所在地法律。当事人没有选择的，适用共同经常居所地法律。</w:t>
      </w:r>
    </w:p>
    <w:p w14:paraId="6FA6030E">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3．离婚的法律适用：协议离婚，当事人可以协议选择适用一方当事人经常居所地法律或者国籍国法律；没有选择的，适用共同经常居所地法律。诉讼离婚，适用法院地法。</w:t>
      </w:r>
    </w:p>
    <w:p w14:paraId="2314D1D4">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lang w:eastAsia="zh-CN"/>
        </w:rPr>
      </w:pPr>
      <w:r>
        <w:rPr>
          <w:rFonts w:hint="eastAsia" w:ascii="宋体" w:hAnsi="宋体" w:eastAsia="宋体" w:cs="宋体"/>
          <w:bCs/>
          <w:color w:val="auto"/>
          <w:sz w:val="21"/>
          <w:szCs w:val="21"/>
        </w:rPr>
        <w:t>4．收养的法律适用：</w:t>
      </w:r>
      <w:r>
        <w:rPr>
          <w:rFonts w:hint="eastAsia" w:ascii="宋体" w:hAnsi="宋体" w:eastAsia="宋体" w:cs="宋体"/>
          <w:b/>
          <w:bCs w:val="0"/>
          <w:color w:val="FF0000"/>
          <w:sz w:val="21"/>
          <w:szCs w:val="21"/>
        </w:rPr>
        <w:t>收养的条件和手续，适用收养人和被收养人经常居所地法律</w:t>
      </w:r>
      <w:r>
        <w:rPr>
          <w:rFonts w:hint="eastAsia" w:ascii="宋体" w:hAnsi="宋体" w:eastAsia="宋体" w:cs="宋体"/>
          <w:bCs/>
          <w:color w:val="auto"/>
          <w:sz w:val="21"/>
          <w:szCs w:val="21"/>
        </w:rPr>
        <w:t>（重叠适用）。</w:t>
      </w:r>
      <w:r>
        <w:rPr>
          <w:rFonts w:hint="eastAsia" w:ascii="宋体" w:hAnsi="宋体" w:eastAsia="宋体" w:cs="宋体"/>
          <w:b/>
          <w:bCs w:val="0"/>
          <w:color w:val="auto"/>
          <w:sz w:val="21"/>
          <w:szCs w:val="21"/>
        </w:rPr>
        <w:t>收养的效力</w:t>
      </w:r>
      <w:r>
        <w:rPr>
          <w:rFonts w:hint="eastAsia" w:ascii="宋体" w:hAnsi="宋体" w:eastAsia="宋体" w:cs="宋体"/>
          <w:bCs/>
          <w:color w:val="auto"/>
          <w:sz w:val="21"/>
          <w:szCs w:val="21"/>
        </w:rPr>
        <w:t>，适用收养时收养人经常居所地法律。</w:t>
      </w:r>
      <w:r>
        <w:rPr>
          <w:rFonts w:hint="eastAsia" w:ascii="宋体" w:hAnsi="宋体" w:eastAsia="宋体" w:cs="宋体"/>
          <w:b/>
          <w:bCs w:val="0"/>
          <w:color w:val="auto"/>
          <w:sz w:val="21"/>
          <w:szCs w:val="21"/>
        </w:rPr>
        <w:t>收养关系的解除</w:t>
      </w:r>
      <w:r>
        <w:rPr>
          <w:rFonts w:hint="eastAsia" w:ascii="宋体" w:hAnsi="宋体" w:eastAsia="宋体" w:cs="宋体"/>
          <w:bCs/>
          <w:color w:val="auto"/>
          <w:sz w:val="21"/>
          <w:szCs w:val="21"/>
        </w:rPr>
        <w:t>，适用收养时被收养人经常居所地法律或者法院地法律。</w:t>
      </w:r>
      <w:r>
        <w:rPr>
          <w:rFonts w:hint="eastAsia" w:cs="宋体"/>
          <w:bCs/>
          <w:color w:val="auto"/>
          <w:sz w:val="21"/>
          <w:szCs w:val="21"/>
          <w:lang w:eastAsia="zh-CN"/>
        </w:rPr>
        <w:t>（</w:t>
      </w:r>
      <w:r>
        <w:rPr>
          <w:rFonts w:hint="eastAsia" w:cs="宋体"/>
          <w:b/>
          <w:bCs w:val="0"/>
          <w:color w:val="auto"/>
          <w:sz w:val="21"/>
          <w:szCs w:val="21"/>
          <w:lang w:val="en-US" w:eastAsia="zh-CN"/>
        </w:rPr>
        <w:t>没有一个连接点叫做更加照顾弱势群体的法律，但是确实体现了这个精神</w:t>
      </w:r>
      <w:r>
        <w:rPr>
          <w:rFonts w:hint="eastAsia" w:cs="宋体"/>
          <w:bCs/>
          <w:color w:val="auto"/>
          <w:sz w:val="21"/>
          <w:szCs w:val="21"/>
          <w:lang w:eastAsia="zh-CN"/>
        </w:rPr>
        <w:t>）</w:t>
      </w:r>
    </w:p>
    <w:p w14:paraId="357E23BE">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5．继承的法律适用：法定继承区分动产和不动产适用法律——动产适用被继承人死亡时经常居所地法律，不动产适用不动产所在地法律。</w:t>
      </w:r>
    </w:p>
    <w:p w14:paraId="6F5BEF4D">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14" w:name="_Toc236829086"/>
      <w:r>
        <w:rPr>
          <w:rFonts w:hint="eastAsia" w:ascii="宋体" w:hAnsi="宋体" w:eastAsia="宋体" w:cs="宋体"/>
          <w:b/>
          <w:bCs/>
          <w:color w:val="auto"/>
          <w:sz w:val="21"/>
          <w:szCs w:val="21"/>
          <w:lang w:eastAsia="zh-CN"/>
        </w:rPr>
        <w:t>预测考点6  物权的法律适用</w:t>
      </w:r>
      <w:bookmarkEnd w:id="14"/>
    </w:p>
    <w:p w14:paraId="094684B2">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1．不动产物权：适用</w:t>
      </w:r>
      <w:r>
        <w:rPr>
          <w:rFonts w:hint="eastAsia" w:ascii="宋体" w:hAnsi="宋体" w:eastAsia="宋体" w:cs="宋体"/>
          <w:b/>
          <w:bCs w:val="0"/>
          <w:color w:val="FF0000"/>
          <w:sz w:val="21"/>
          <w:szCs w:val="21"/>
        </w:rPr>
        <w:t>不动产所在地法律</w:t>
      </w:r>
      <w:r>
        <w:rPr>
          <w:rFonts w:hint="eastAsia" w:ascii="宋体" w:hAnsi="宋体" w:eastAsia="宋体" w:cs="宋体"/>
          <w:bCs/>
          <w:color w:val="auto"/>
          <w:sz w:val="21"/>
          <w:szCs w:val="21"/>
        </w:rPr>
        <w:t>。</w:t>
      </w:r>
    </w:p>
    <w:p w14:paraId="092E15E9">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2．动产物权法律适用：当事人可以协议选择动产物权适用的法律。当事人没有选择的，适用</w:t>
      </w:r>
      <w:r>
        <w:rPr>
          <w:rFonts w:hint="eastAsia" w:cs="宋体"/>
          <w:b/>
          <w:bCs w:val="0"/>
          <w:color w:val="FF0000"/>
          <w:sz w:val="21"/>
          <w:szCs w:val="21"/>
          <w:lang w:eastAsia="zh-CN"/>
        </w:rPr>
        <w:t>（</w:t>
      </w:r>
      <w:r>
        <w:rPr>
          <w:rFonts w:hint="eastAsia" w:cs="宋体"/>
          <w:b/>
          <w:bCs w:val="0"/>
          <w:color w:val="FF0000"/>
          <w:sz w:val="21"/>
          <w:szCs w:val="21"/>
          <w:lang w:val="en-US" w:eastAsia="zh-CN"/>
        </w:rPr>
        <w:t>物权</w:t>
      </w:r>
      <w:r>
        <w:rPr>
          <w:rFonts w:hint="eastAsia" w:cs="宋体"/>
          <w:b/>
          <w:bCs w:val="0"/>
          <w:color w:val="FF0000"/>
          <w:sz w:val="21"/>
          <w:szCs w:val="21"/>
          <w:lang w:eastAsia="zh-CN"/>
        </w:rPr>
        <w:t>）</w:t>
      </w:r>
      <w:r>
        <w:rPr>
          <w:rFonts w:hint="eastAsia" w:ascii="宋体" w:hAnsi="宋体" w:eastAsia="宋体" w:cs="宋体"/>
          <w:bCs/>
          <w:color w:val="auto"/>
          <w:sz w:val="21"/>
          <w:szCs w:val="21"/>
        </w:rPr>
        <w:t>法律事实发生时动产所在地法律。</w:t>
      </w:r>
    </w:p>
    <w:p w14:paraId="6F6DEE73">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3．运输中动产物权：当事人可以协议选择运输中动产物权发生变更适用的法律。当事人没有选择的，</w:t>
      </w:r>
      <w:r>
        <w:rPr>
          <w:rFonts w:hint="eastAsia" w:ascii="宋体" w:hAnsi="宋体" w:eastAsia="宋体" w:cs="宋体"/>
          <w:b/>
          <w:bCs w:val="0"/>
          <w:color w:val="auto"/>
          <w:sz w:val="21"/>
          <w:szCs w:val="21"/>
        </w:rPr>
        <w:t>适用运输目的地法律。</w:t>
      </w:r>
    </w:p>
    <w:p w14:paraId="2192CD7C">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4．有价证券：适用有价证券权利实现地法律或者其他与该有价证券有最密切联系的法律。</w:t>
      </w:r>
    </w:p>
    <w:p w14:paraId="63470A30">
      <w:pPr>
        <w:pageBreakBefore w:val="0"/>
        <w:widowControl w:val="0"/>
        <w:tabs>
          <w:tab w:val="left" w:pos="832"/>
        </w:tabs>
        <w:kinsoku/>
        <w:wordWrap/>
        <w:overflowPunct/>
        <w:topLinePunct w:val="0"/>
        <w:bidi w:val="0"/>
        <w:adjustRightInd w:val="0"/>
        <w:snapToGrid w:val="0"/>
        <w:spacing w:after="0" w:line="288" w:lineRule="auto"/>
        <w:jc w:val="center"/>
        <w:rPr>
          <w:rFonts w:hint="eastAsia" w:ascii="宋体" w:hAnsi="宋体" w:eastAsia="宋体" w:cs="宋体"/>
          <w:bCs/>
          <w:color w:val="auto"/>
          <w:sz w:val="21"/>
          <w:szCs w:val="21"/>
          <w:lang w:eastAsia="zh-CN"/>
        </w:rPr>
      </w:pPr>
      <w:bookmarkStart w:id="15" w:name="_Toc236829087"/>
      <w:r>
        <w:rPr>
          <w:rFonts w:hint="eastAsia" w:ascii="宋体" w:hAnsi="宋体" w:eastAsia="宋体" w:cs="宋体"/>
          <w:b/>
          <w:bCs/>
          <w:color w:val="auto"/>
          <w:sz w:val="21"/>
          <w:szCs w:val="21"/>
          <w:lang w:eastAsia="zh-CN"/>
        </w:rPr>
        <w:t>预测考点7  知识产权、商事关系的法律适用</w:t>
      </w:r>
      <w:bookmarkEnd w:id="15"/>
    </w:p>
    <w:p w14:paraId="231DEBF8">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知识产权法律适用：知识产权的归属和内容，适用被请求保护地法律。当事人在知识产权侵权发生后，可以协议选择适用法院地法律。知识产权的侵权责任，适用被请求保护地法律，当事人也可以在侵权行为发生后协议选择适用法院地法律。</w:t>
      </w:r>
    </w:p>
    <w:p w14:paraId="146E86BD">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w:t>
      </w:r>
      <w:r>
        <w:rPr>
          <w:rFonts w:hint="eastAsia" w:ascii="宋体" w:hAnsi="宋体" w:eastAsia="宋体" w:cs="宋体"/>
          <w:b/>
          <w:bCs w:val="0"/>
          <w:color w:val="FF0000"/>
          <w:sz w:val="21"/>
          <w:szCs w:val="21"/>
        </w:rPr>
        <w:t>时效的法律适用：诉讼时效属于实体法问题，适用相关涉外民事关系应当适用的法律。</w:t>
      </w:r>
    </w:p>
    <w:p w14:paraId="60B4551A">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3．信托的法律适用：当事人可以协议选择适用信托适用的法律。当事人没有选择的，适用信托财产所在地法律或者信托关系发生地法律。</w:t>
      </w:r>
    </w:p>
    <w:p w14:paraId="112A2DD2">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4．代理的法律适用：代理行为适用代理行为发生地法律，被代理人与代理人的民事关系，适用代理关系发生地法律。当事人可以协议选择委托代理适用的法律。</w:t>
      </w:r>
    </w:p>
    <w:p w14:paraId="2EE1EAE1">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16" w:name="_Toc236829088"/>
      <w:r>
        <w:rPr>
          <w:rFonts w:hint="eastAsia" w:ascii="宋体" w:hAnsi="宋体" w:eastAsia="宋体" w:cs="宋体"/>
          <w:b/>
          <w:bCs/>
          <w:color w:val="auto"/>
          <w:sz w:val="21"/>
          <w:szCs w:val="21"/>
          <w:lang w:eastAsia="zh-CN"/>
        </w:rPr>
        <w:t>预测考点8  国际民事诉讼和国际商事仲裁</w:t>
      </w:r>
      <w:bookmarkEnd w:id="16"/>
    </w:p>
    <w:p w14:paraId="2306C366">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1．中国关于国际民事案件管辖权的规定：《民事诉讼法》涉外编特殊规定，包括平行诉讼、协议管辖、应诉管辖等。</w:t>
      </w:r>
    </w:p>
    <w:p w14:paraId="12E3C30C">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
          <w:bCs w:val="0"/>
          <w:color w:val="auto"/>
          <w:sz w:val="21"/>
          <w:szCs w:val="21"/>
        </w:rPr>
      </w:pPr>
      <w:r>
        <w:rPr>
          <w:rFonts w:hint="eastAsia" w:ascii="宋体" w:hAnsi="宋体" w:eastAsia="宋体" w:cs="宋体"/>
          <w:bCs/>
          <w:color w:val="auto"/>
          <w:sz w:val="21"/>
          <w:szCs w:val="21"/>
        </w:rPr>
        <w:t>2．外国法院判决的承认与执行：可以由当事人直接提出，也可以由法院按照条约或互惠原则请求对方法院承认和执行。</w:t>
      </w:r>
      <w:r>
        <w:rPr>
          <w:rFonts w:hint="eastAsia" w:ascii="宋体" w:hAnsi="宋体" w:eastAsia="宋体" w:cs="宋体"/>
          <w:b/>
          <w:bCs w:val="0"/>
          <w:color w:val="auto"/>
          <w:sz w:val="21"/>
          <w:szCs w:val="21"/>
        </w:rPr>
        <w:t>不予承认和执行的情形包括无管辖权、程序不公、欺诈、冲突判决、违反公共秩序等。</w:t>
      </w:r>
    </w:p>
    <w:p w14:paraId="7D630BF1">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3．涉外仲裁协议的法律适用：当事人可以协议选择仲裁协议适用的法律。当事人没有选择的，适用</w:t>
      </w:r>
      <w:r>
        <w:rPr>
          <w:rFonts w:hint="eastAsia" w:ascii="宋体" w:hAnsi="宋体" w:eastAsia="宋体" w:cs="宋体"/>
          <w:b/>
          <w:bCs w:val="0"/>
          <w:color w:val="auto"/>
          <w:sz w:val="21"/>
          <w:szCs w:val="21"/>
        </w:rPr>
        <w:t>仲裁机构所在地法律</w:t>
      </w:r>
      <w:r>
        <w:rPr>
          <w:rFonts w:hint="eastAsia" w:ascii="宋体" w:hAnsi="宋体" w:eastAsia="宋体" w:cs="宋体"/>
          <w:b/>
          <w:bCs w:val="0"/>
          <w:color w:val="FF0000"/>
          <w:sz w:val="21"/>
          <w:szCs w:val="21"/>
        </w:rPr>
        <w:t>或者</w:t>
      </w:r>
      <w:r>
        <w:rPr>
          <w:rFonts w:hint="eastAsia" w:ascii="宋体" w:hAnsi="宋体" w:eastAsia="宋体" w:cs="宋体"/>
          <w:b/>
          <w:bCs w:val="0"/>
          <w:color w:val="auto"/>
          <w:sz w:val="21"/>
          <w:szCs w:val="21"/>
        </w:rPr>
        <w:t>仲裁地法律</w:t>
      </w:r>
      <w:r>
        <w:rPr>
          <w:rFonts w:hint="eastAsia" w:ascii="宋体" w:hAnsi="宋体" w:eastAsia="宋体" w:cs="宋体"/>
          <w:bCs/>
          <w:color w:val="auto"/>
          <w:sz w:val="21"/>
          <w:szCs w:val="21"/>
        </w:rPr>
        <w:t>。适用仲裁机构所在地法律与适用仲裁地法律将对仲裁协议的效力作出不同认定的，</w:t>
      </w:r>
      <w:r>
        <w:rPr>
          <w:rFonts w:hint="eastAsia" w:ascii="宋体" w:hAnsi="宋体" w:eastAsia="宋体" w:cs="宋体"/>
          <w:b/>
          <w:bCs w:val="0"/>
          <w:color w:val="auto"/>
          <w:sz w:val="21"/>
          <w:szCs w:val="21"/>
        </w:rPr>
        <w:t>人民法院应当适用确认仲裁协议有效的法律</w:t>
      </w:r>
      <w:r>
        <w:rPr>
          <w:rFonts w:hint="eastAsia" w:cs="宋体"/>
          <w:b/>
          <w:bCs w:val="0"/>
          <w:color w:val="auto"/>
          <w:sz w:val="21"/>
          <w:szCs w:val="21"/>
          <w:lang w:eastAsia="zh-CN"/>
        </w:rPr>
        <w:t>（</w:t>
      </w:r>
      <w:r>
        <w:rPr>
          <w:rFonts w:hint="eastAsia" w:cs="宋体"/>
          <w:b/>
          <w:bCs w:val="0"/>
          <w:color w:val="auto"/>
          <w:sz w:val="21"/>
          <w:szCs w:val="21"/>
          <w:lang w:val="en-US" w:eastAsia="zh-CN"/>
        </w:rPr>
        <w:t>尽量要使仲裁协议有效</w:t>
      </w:r>
      <w:r>
        <w:rPr>
          <w:rFonts w:hint="eastAsia" w:cs="宋体"/>
          <w:b/>
          <w:bCs w:val="0"/>
          <w:color w:val="auto"/>
          <w:sz w:val="21"/>
          <w:szCs w:val="21"/>
          <w:lang w:eastAsia="zh-CN"/>
        </w:rPr>
        <w:t>）</w:t>
      </w:r>
      <w:r>
        <w:rPr>
          <w:rFonts w:hint="eastAsia" w:ascii="宋体" w:hAnsi="宋体" w:eastAsia="宋体" w:cs="宋体"/>
          <w:bCs/>
          <w:color w:val="auto"/>
          <w:sz w:val="21"/>
          <w:szCs w:val="21"/>
        </w:rPr>
        <w:t>。注意：仅约定合同适用的法律，不能作为确认合同中仲裁条款效力适用的法律。</w:t>
      </w:r>
    </w:p>
    <w:p w14:paraId="1DEABFBE">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4．2025年《仲裁法》修订新增内容：</w:t>
      </w:r>
    </w:p>
    <w:p w14:paraId="15053E49">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（1）仲裁地制度——</w:t>
      </w:r>
      <w:r>
        <w:rPr>
          <w:rFonts w:hint="eastAsia" w:ascii="宋体" w:hAnsi="宋体" w:eastAsia="宋体" w:cs="宋体"/>
          <w:b/>
          <w:bCs w:val="0"/>
          <w:color w:val="auto"/>
          <w:sz w:val="21"/>
          <w:szCs w:val="21"/>
        </w:rPr>
        <w:t>当事人可协议选择仲裁地，未选择的以仲裁机构所在地为仲裁地，仲裁地决定裁决国籍和司法管辖。</w:t>
      </w:r>
    </w:p>
    <w:p w14:paraId="1F91B8B9">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 w:val="0"/>
          <w:bCs/>
          <w:color w:val="FF0000"/>
          <w:sz w:val="21"/>
          <w:szCs w:val="21"/>
        </w:rPr>
      </w:pPr>
      <w:r>
        <w:rPr>
          <w:rFonts w:hint="eastAsia" w:ascii="宋体" w:hAnsi="宋体" w:eastAsia="宋体" w:cs="宋体"/>
          <w:bCs/>
          <w:color w:val="auto"/>
          <w:sz w:val="21"/>
          <w:szCs w:val="21"/>
        </w:rPr>
        <w:t>（2）涉外临时仲裁——仅适用于特定涉外纠纷，当事人可约定不通过仲裁机构而直接组成仲裁庭；</w:t>
      </w:r>
      <w:r>
        <w:rPr>
          <w:rFonts w:hint="eastAsia" w:ascii="宋体" w:hAnsi="宋体" w:eastAsia="宋体" w:cs="宋体"/>
          <w:b w:val="0"/>
          <w:bCs/>
          <w:color w:val="FF0000"/>
          <w:sz w:val="21"/>
          <w:szCs w:val="21"/>
        </w:rPr>
        <w:t>这意味着当事人可以根据其纠纷特点，自主选择任何国际通行的仲裁规则作为仲裁程序规则，同时不受仲裁机构仲裁员名单的限制，选定符合仲裁法规定的专业性人员担任仲裁员。此举在充分尊重当事人意思自治的同时，将极大地提升仲裁的灵活性和专业性。以此种方式组成的仲裁庭应及时向仲裁协会完成备案。</w:t>
      </w:r>
    </w:p>
    <w:p w14:paraId="28BF2AE3">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此处的“特定涉外纠纷”包含两类：</w:t>
      </w:r>
    </w:p>
    <w:p w14:paraId="351F4C65">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A．涉外海事纠纷；</w:t>
      </w:r>
    </w:p>
    <w:p w14:paraId="69589448">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B．在经国务院批准设立的自由贸易试验区、海南自由贸易港以及国家规定的其他区域内设立登记的企业之间发生的涉外纠纷。</w:t>
      </w:r>
    </w:p>
    <w:p w14:paraId="66BD2AE8">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17" w:name="_Toc236829089"/>
      <w:r>
        <w:rPr>
          <w:rFonts w:hint="eastAsia" w:ascii="宋体" w:hAnsi="宋体" w:eastAsia="宋体" w:cs="宋体"/>
          <w:b/>
          <w:bCs/>
          <w:color w:val="auto"/>
          <w:sz w:val="21"/>
          <w:szCs w:val="21"/>
          <w:lang w:eastAsia="zh-CN"/>
        </w:rPr>
        <w:t>预测考点9  区际司法协助</w:t>
      </w:r>
      <w:bookmarkEnd w:id="17"/>
    </w:p>
    <w:p w14:paraId="251F8317">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1．内地与香港、澳门特别行政区法院判决的承认与执行：注意申请承认与执行的法院、能否同时提起执行申请、能否同时提起保全措施等情况。</w:t>
      </w:r>
    </w:p>
    <w:p w14:paraId="7555ACE5">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2．内地与香港、澳门特别行政区仲裁裁决的承认与执行：注意能否同时向两地法院提出执行仲裁裁决的申请、能否同时向两地法院提出保全申请的情况。</w:t>
      </w:r>
    </w:p>
    <w:p w14:paraId="6798AC32">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w:t>
      </w:r>
      <w:r>
        <w:rPr>
          <w:rFonts w:hint="eastAsia" w:ascii="宋体" w:hAnsi="宋体" w:eastAsia="宋体" w:cs="宋体"/>
          <w:b/>
          <w:bCs w:val="0"/>
          <w:color w:val="auto"/>
          <w:sz w:val="21"/>
          <w:szCs w:val="21"/>
        </w:rPr>
        <w:t>涉台民事判决的认可与执行</w:t>
      </w:r>
      <w:r>
        <w:rPr>
          <w:rFonts w:hint="eastAsia" w:ascii="宋体" w:hAnsi="宋体" w:eastAsia="宋体" w:cs="宋体"/>
          <w:bCs/>
          <w:color w:val="auto"/>
          <w:sz w:val="21"/>
          <w:szCs w:val="21"/>
        </w:rPr>
        <w:t>：不予认可的六种情形：（1）缺席且未经合法传唤或无诉讼行为能力未得适当代理；（2）专属管辖；（3）有效仲裁协议；（4）欺诈取得；（5）已就同一纠纷作出裁判或认可其他国家/地区裁判；（6）已就同一纠纷作出仲裁裁决。兜底：违反一个中国原则或损害国家主权、安全、社会公共利益。</w:t>
      </w:r>
    </w:p>
    <w:p w14:paraId="2082F402">
      <w:pPr>
        <w:keepNext/>
        <w:keepLines/>
        <w:spacing w:after="0" w:line="600" w:lineRule="exact"/>
        <w:jc w:val="center"/>
        <w:outlineLvl w:val="4"/>
        <w:rPr>
          <w:rFonts w:hint="eastAsia" w:ascii="宋体" w:hAnsi="宋体" w:eastAsia="宋体" w:cs="宋体"/>
          <w:b/>
          <w:bCs/>
          <w:color w:val="auto"/>
          <w:sz w:val="30"/>
          <w:szCs w:val="30"/>
        </w:rPr>
      </w:pPr>
      <w:bookmarkStart w:id="18" w:name="_Toc236829090"/>
      <w:r>
        <w:rPr>
          <w:rFonts w:hint="eastAsia" w:ascii="宋体" w:hAnsi="宋体" w:eastAsia="宋体" w:cs="宋体"/>
          <w:b/>
          <w:bCs/>
          <w:color w:val="auto"/>
          <w:sz w:val="30"/>
          <w:szCs w:val="30"/>
        </w:rPr>
        <w:t>国际经济法</w:t>
      </w:r>
      <w:bookmarkEnd w:id="18"/>
    </w:p>
    <w:p w14:paraId="38AB3B32">
      <w:pPr>
        <w:pageBreakBefore w:val="0"/>
        <w:widowControl w:val="0"/>
        <w:tabs>
          <w:tab w:val="left" w:pos="832"/>
        </w:tabs>
        <w:kinsoku/>
        <w:wordWrap/>
        <w:overflowPunct/>
        <w:topLinePunct w:val="0"/>
        <w:bidi w:val="0"/>
        <w:adjustRightInd w:val="0"/>
        <w:snapToGrid w:val="0"/>
        <w:spacing w:after="0" w:line="288" w:lineRule="auto"/>
        <w:jc w:val="center"/>
        <w:rPr>
          <w:rFonts w:hint="eastAsia" w:ascii="宋体" w:hAnsi="宋体" w:eastAsia="宋体" w:cs="宋体"/>
          <w:b/>
          <w:bCs/>
          <w:color w:val="auto"/>
          <w:sz w:val="21"/>
          <w:szCs w:val="21"/>
          <w:lang w:eastAsia="zh-CN"/>
        </w:rPr>
      </w:pPr>
      <w:bookmarkStart w:id="19" w:name="_Toc236829091"/>
      <w:r>
        <w:rPr>
          <w:rFonts w:hint="eastAsia" w:ascii="宋体" w:hAnsi="宋体" w:eastAsia="宋体" w:cs="宋体"/>
          <w:b/>
          <w:bCs/>
          <w:color w:val="auto"/>
          <w:sz w:val="21"/>
          <w:szCs w:val="21"/>
          <w:lang w:eastAsia="zh-CN"/>
        </w:rPr>
        <w:t>预测考点1  国际贸易术语、联合国国际货物销售合同公约</w:t>
      </w:r>
      <w:bookmarkEnd w:id="19"/>
    </w:p>
    <w:p w14:paraId="20DF9388">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FF0000"/>
          <w:sz w:val="21"/>
          <w:szCs w:val="21"/>
        </w:rPr>
      </w:pPr>
      <w:r>
        <w:rPr>
          <w:rFonts w:hint="eastAsia" w:ascii="宋体" w:hAnsi="宋体" w:eastAsia="宋体" w:cs="宋体"/>
          <w:bCs/>
          <w:color w:val="auto"/>
          <w:sz w:val="21"/>
          <w:szCs w:val="21"/>
        </w:rPr>
        <w:t>1．</w:t>
      </w:r>
      <w:r>
        <w:rPr>
          <w:rFonts w:hint="eastAsia" w:ascii="宋体" w:hAnsi="宋体" w:eastAsia="宋体" w:cs="宋体"/>
          <w:bCs/>
          <w:color w:val="FF0000"/>
          <w:sz w:val="21"/>
          <w:szCs w:val="21"/>
        </w:rPr>
        <w:t>FOB、CIF、CFR、DPU、CIP等术语：术语的价格构成、双方义务、风险转移时间点。特别注意CIP术语下卖方投保义务（一切险）和CIF术语下卖方投保义务（平安险）。</w:t>
      </w:r>
    </w:p>
    <w:p w14:paraId="05DB0981">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2．《公约》的适用：</w:t>
      </w:r>
      <w:r>
        <w:rPr>
          <w:rFonts w:hint="eastAsia" w:ascii="宋体" w:hAnsi="宋体" w:eastAsia="宋体" w:cs="宋体"/>
          <w:b/>
          <w:bCs w:val="0"/>
          <w:color w:val="auto"/>
          <w:sz w:val="21"/>
          <w:szCs w:val="21"/>
        </w:rPr>
        <w:t>公约只适用于营业地处于不同缔约国的一般货物的销售，不涉及卖方对货物引起的人身伤亡的责任问题</w:t>
      </w:r>
      <w:r>
        <w:rPr>
          <w:rFonts w:hint="eastAsia" w:ascii="宋体" w:hAnsi="宋体" w:eastAsia="宋体" w:cs="宋体"/>
          <w:bCs/>
          <w:color w:val="auto"/>
          <w:sz w:val="21"/>
          <w:szCs w:val="21"/>
        </w:rPr>
        <w:t>。当事人可以通过明确选择其他法律排除公约适用。</w:t>
      </w:r>
    </w:p>
    <w:p w14:paraId="3578EAD5">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3．买卖双方的义务：特别是卖方的义务，包括交货、担保（质量担保和权利担保，包括所有权和知识产权担保）；买方的支付义务和收取货物义务。</w:t>
      </w:r>
    </w:p>
    <w:p w14:paraId="1BCA55E8">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4．风险转移：货物在风险转移到买方后发生灭失或损坏，买方仍需支付价款（除非损失由卖方的行为或不行为造成）。</w:t>
      </w:r>
    </w:p>
    <w:p w14:paraId="3CC19312">
      <w:pPr>
        <w:pageBreakBefore w:val="0"/>
        <w:widowControl w:val="0"/>
        <w:tabs>
          <w:tab w:val="left" w:pos="832"/>
        </w:tabs>
        <w:kinsoku/>
        <w:wordWrap/>
        <w:overflowPunct/>
        <w:topLinePunct w:val="0"/>
        <w:bidi w:val="0"/>
        <w:adjustRightInd w:val="0"/>
        <w:snapToGrid w:val="0"/>
        <w:spacing w:after="0" w:line="288" w:lineRule="auto"/>
        <w:jc w:val="center"/>
        <w:rPr>
          <w:rFonts w:hint="eastAsia" w:ascii="宋体" w:hAnsi="宋体" w:eastAsia="宋体" w:cs="宋体"/>
          <w:b/>
          <w:bCs/>
          <w:color w:val="auto"/>
          <w:sz w:val="21"/>
          <w:szCs w:val="21"/>
          <w:lang w:eastAsia="zh-CN"/>
        </w:rPr>
      </w:pPr>
      <w:bookmarkStart w:id="20" w:name="_Toc236829092"/>
      <w:r>
        <w:rPr>
          <w:rFonts w:hint="eastAsia" w:ascii="宋体" w:hAnsi="宋体" w:eastAsia="宋体" w:cs="宋体"/>
          <w:b/>
          <w:bCs/>
          <w:color w:val="auto"/>
          <w:sz w:val="21"/>
          <w:szCs w:val="21"/>
          <w:lang w:eastAsia="zh-CN"/>
        </w:rPr>
        <w:t>预测考点2  国际货物运输与保险</w:t>
      </w:r>
      <w:bookmarkEnd w:id="20"/>
    </w:p>
    <w:p w14:paraId="6B9446F2">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1．海牙规则的主要内容：承运人最低义务（适航、管货）和承运人的免责，包括航行过失免责和无过失免责。</w:t>
      </w:r>
    </w:p>
    <w:p w14:paraId="6C0F8224">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最高人民法院关于审理无正本提单交付货物案件适用法律若干问题的规定》：承运人无单放货的后果，是“竞合责任”，可要求违约责任或侵权责任；属于故意，不享受责任限制；责任存在免除条件，例如海关或者港口当局强制承运人交付。</w:t>
      </w:r>
    </w:p>
    <w:p w14:paraId="0F074C72">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中国海洋货物运输保险的主要险别：平安险（自然灾害全损+意外事故全损/部分损失）、水渍险（平安险+自然灾害部分损失）、一切险（水渍险+一般外来风险）。特别注意平安险不赔单纯自然灾害造成的部分损失。</w:t>
      </w:r>
    </w:p>
    <w:p w14:paraId="0DDC37A7">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21" w:name="_Toc236829093"/>
      <w:r>
        <w:rPr>
          <w:rFonts w:hint="eastAsia" w:ascii="宋体" w:hAnsi="宋体" w:eastAsia="宋体" w:cs="宋体"/>
          <w:b/>
          <w:bCs/>
          <w:color w:val="auto"/>
          <w:sz w:val="21"/>
          <w:szCs w:val="21"/>
          <w:lang w:eastAsia="zh-CN"/>
        </w:rPr>
        <w:t>预测考点3  信用证和独立保函规定</w:t>
      </w:r>
      <w:bookmarkEnd w:id="21"/>
    </w:p>
    <w:p w14:paraId="2FE630DC">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1．信用证规则：信用证是银行信用，独立于基础合同；银行处理单据时遵循单证一致、单单一致原则；银行仅审查单据表面，不涉及货物实际情况。</w:t>
      </w:r>
    </w:p>
    <w:p w14:paraId="4FFE6C96">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2．UCP600的核心规定：信用证是不可撤销的；开证行在单证相符条件下承担独立付款义务；议付行议付后有权向开证行索偿。</w:t>
      </w:r>
    </w:p>
    <w:p w14:paraId="04AD194B">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最高人民法院关于审理独立保函纠纷案件若干问题的规定》：独立保函是开立人出具的附单据条件的付款承诺，在受益人提交符合保函要求的单据时，开立人即需独立承担付款义务。受益人无需证明债务人在基础交易中的违约事实，开立人不享有传统保证所具有的主债务人抗辩权以及先诉抗辩权。</w:t>
      </w:r>
    </w:p>
    <w:p w14:paraId="164336D2">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22" w:name="_Toc236829094"/>
      <w:r>
        <w:rPr>
          <w:rFonts w:hint="eastAsia" w:ascii="宋体" w:hAnsi="宋体" w:eastAsia="宋体" w:cs="宋体"/>
          <w:b/>
          <w:bCs/>
          <w:color w:val="auto"/>
          <w:sz w:val="21"/>
          <w:szCs w:val="21"/>
          <w:lang w:eastAsia="zh-CN"/>
        </w:rPr>
        <w:t>预测考点4  贸易救济措施</w:t>
      </w:r>
      <w:bookmarkEnd w:id="22"/>
    </w:p>
    <w:p w14:paraId="5FFBE5DE">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1．反倾销措施：倾销与损害的确定，因果关系，反倾销调查、反倾销措施的期限和审查等。反倾销税的纳税人为倾销进口产品的进口经营者。反倾销税税额不超过终裁决定确定的倾销幅度。</w:t>
      </w:r>
    </w:p>
    <w:p w14:paraId="37E70571">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2．保障措施：采取保障措施的基本条件（进口产品数量增加、严重损害、因果关系），保障措施的实施（提高关税、数量限制）。保障措施针对公平贸易行为，而反倾销、反补贴针对不公平贸易行为。</w:t>
      </w:r>
    </w:p>
    <w:p w14:paraId="1816D001">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23" w:name="_Toc236829095"/>
      <w:r>
        <w:rPr>
          <w:rFonts w:hint="eastAsia" w:ascii="宋体" w:hAnsi="宋体" w:eastAsia="宋体" w:cs="宋体"/>
          <w:b/>
          <w:bCs/>
          <w:color w:val="auto"/>
          <w:sz w:val="21"/>
          <w:szCs w:val="21"/>
          <w:lang w:eastAsia="zh-CN"/>
        </w:rPr>
        <w:t>预测考点5  对外贸易管理制度</w:t>
      </w:r>
      <w:bookmarkEnd w:id="23"/>
    </w:p>
    <w:p w14:paraId="106DF64B">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1．对外贸易调查：调查可采取书面问卷、召开听证会、实地调查、委托调查等方式；有关个人、组织应当配合调查；调查部门对知悉的国家秘密、商业秘密、个人隐私负有保密义务。</w:t>
      </w:r>
    </w:p>
    <w:p w14:paraId="635401D3">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w:t>
      </w:r>
      <w:r>
        <w:rPr>
          <w:rFonts w:hint="eastAsia" w:ascii="宋体" w:hAnsi="宋体" w:eastAsia="宋体" w:cs="宋体"/>
          <w:b/>
          <w:bCs w:val="0"/>
          <w:color w:val="auto"/>
          <w:sz w:val="21"/>
          <w:szCs w:val="21"/>
        </w:rPr>
        <w:t>《出口管制法》：管制物项包括货物、技术、服务等；出口经营者应确保最终用户作出不擅自改变最终用途或向第三方转让的承诺；任何组织和个人不得为出口经营者从事出口管制违法行为提供代理、货运、寄递、报关、第三方电子商务交易平台和金融等服务。</w:t>
      </w:r>
    </w:p>
    <w:p w14:paraId="25F83026">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3．《对外贸易法》的基本原则：统一管理、公平自由、平等互利、区域合作、非歧视、对等原则。</w:t>
      </w:r>
    </w:p>
    <w:p w14:paraId="67A5B3CD">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24" w:name="_Toc236829096"/>
      <w:r>
        <w:rPr>
          <w:rFonts w:hint="eastAsia" w:ascii="宋体" w:hAnsi="宋体" w:eastAsia="宋体" w:cs="宋体"/>
          <w:b/>
          <w:bCs/>
          <w:color w:val="auto"/>
          <w:sz w:val="21"/>
          <w:szCs w:val="21"/>
          <w:lang w:eastAsia="zh-CN"/>
        </w:rPr>
        <w:t>预测考点6  世界贸易组织的主要法律制度</w:t>
      </w:r>
      <w:bookmarkEnd w:id="24"/>
    </w:p>
    <w:p w14:paraId="6B9082CC">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1．最惠国待遇制度：掌握特点（普遍性、自动性、无条件、相互性）和例外情形（一般例外、安全例外、关税同盟和自由贸易区、普惠制等）。</w:t>
      </w:r>
    </w:p>
    <w:p w14:paraId="6B3F83E8">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2．与贸易有关的投资措施（TRIMS）：投资措施不得违反国民待遇义务（如当地成分要求），不得违反数量限制规则（如贸易平衡要求、进口用汇限制、国内销售要求）。</w:t>
      </w:r>
    </w:p>
    <w:p w14:paraId="235A2223">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世界贸易组织争端解决制度：磋商、专家组、上诉机构、执行和监督。其裁决由成员方在合理时间内履行，程序中没有强制执行，如果不履行，另一方可以向争端解决机构申请授权报复，对被诉方中止减让或中止其他义务。</w:t>
      </w:r>
    </w:p>
    <w:p w14:paraId="1AF534C2">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25" w:name="_Toc236829097"/>
      <w:r>
        <w:rPr>
          <w:rFonts w:hint="eastAsia" w:ascii="宋体" w:hAnsi="宋体" w:eastAsia="宋体" w:cs="宋体"/>
          <w:b/>
          <w:bCs/>
          <w:color w:val="auto"/>
          <w:sz w:val="21"/>
          <w:szCs w:val="21"/>
          <w:lang w:eastAsia="zh-CN"/>
        </w:rPr>
        <w:t>预测考点7  国际投资法</w:t>
      </w:r>
      <w:bookmarkEnd w:id="25"/>
    </w:p>
    <w:p w14:paraId="4EC44038">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
          <w:bCs w:val="0"/>
          <w:color w:val="auto"/>
          <w:sz w:val="21"/>
          <w:szCs w:val="21"/>
        </w:rPr>
      </w:pPr>
      <w:r>
        <w:rPr>
          <w:rFonts w:hint="eastAsia" w:ascii="宋体" w:hAnsi="宋体" w:eastAsia="宋体" w:cs="宋体"/>
          <w:bCs/>
          <w:color w:val="auto"/>
          <w:sz w:val="21"/>
          <w:szCs w:val="21"/>
        </w:rPr>
        <w:t>1．《多边投资担保机构公约》（MIGA）：依该公约设立的机构直接承保成员国私人投资者在向</w:t>
      </w:r>
      <w:r>
        <w:rPr>
          <w:rFonts w:hint="eastAsia" w:ascii="宋体" w:hAnsi="宋体" w:eastAsia="宋体" w:cs="宋体"/>
          <w:b/>
          <w:bCs w:val="0"/>
          <w:color w:val="FF0000"/>
          <w:sz w:val="21"/>
          <w:szCs w:val="21"/>
        </w:rPr>
        <w:t>发展中国家</w:t>
      </w:r>
      <w:r>
        <w:rPr>
          <w:rFonts w:hint="eastAsia" w:ascii="宋体" w:hAnsi="宋体" w:eastAsia="宋体" w:cs="宋体"/>
          <w:bCs/>
          <w:color w:val="auto"/>
          <w:sz w:val="21"/>
          <w:szCs w:val="21"/>
        </w:rPr>
        <w:t>成员投资时可能遭遇的</w:t>
      </w:r>
      <w:r>
        <w:rPr>
          <w:rFonts w:hint="eastAsia" w:ascii="宋体" w:hAnsi="宋体" w:eastAsia="宋体" w:cs="宋体"/>
          <w:b/>
          <w:bCs w:val="0"/>
          <w:color w:val="auto"/>
          <w:sz w:val="21"/>
          <w:szCs w:val="21"/>
        </w:rPr>
        <w:t>货币汇兑险、征收和类似措施险、战争内乱险、政府违约险。</w:t>
      </w:r>
    </w:p>
    <w:p w14:paraId="3B434EF6">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
          <w:bCs w:val="0"/>
          <w:color w:val="FF0000"/>
          <w:sz w:val="21"/>
          <w:szCs w:val="21"/>
        </w:rPr>
      </w:pPr>
      <w:r>
        <w:rPr>
          <w:rFonts w:hint="eastAsia" w:ascii="宋体" w:hAnsi="宋体" w:eastAsia="宋体" w:cs="宋体"/>
          <w:bCs/>
          <w:color w:val="auto"/>
          <w:sz w:val="21"/>
          <w:szCs w:val="21"/>
        </w:rPr>
        <w:t>2．《解决国家和他国国民之间投资争端公约》（ICSID）：其机构为解决缔约国和其他缔约国国民之间的投资争端提供调解或仲裁的便利。</w:t>
      </w:r>
      <w:r>
        <w:rPr>
          <w:rFonts w:hint="eastAsia" w:ascii="宋体" w:hAnsi="宋体" w:eastAsia="宋体" w:cs="宋体"/>
          <w:b/>
          <w:bCs w:val="0"/>
          <w:color w:val="FF0000"/>
          <w:sz w:val="21"/>
          <w:szCs w:val="21"/>
        </w:rPr>
        <w:t>中心管辖的条件：争端当事人一方必须是缔约国政府，另一方是缔约国国民；争端必须是直接因投资而引起的法律争端；双方当事人必须书面同意将争端提交中心管辖。</w:t>
      </w:r>
    </w:p>
    <w:p w14:paraId="4304662A">
      <w:pPr>
        <w:pageBreakBefore w:val="0"/>
        <w:widowControl w:val="0"/>
        <w:tabs>
          <w:tab w:val="left" w:pos="832"/>
        </w:tabs>
        <w:kinsoku/>
        <w:wordWrap/>
        <w:overflowPunct/>
        <w:topLinePunct w:val="0"/>
        <w:bidi w:val="0"/>
        <w:adjustRightInd w:val="0"/>
        <w:snapToGrid w:val="0"/>
        <w:spacing w:after="0" w:line="288" w:lineRule="auto"/>
        <w:jc w:val="center"/>
        <w:rPr>
          <w:rFonts w:hint="eastAsia" w:ascii="汉仪大宋简" w:hAnsi="汉仪大宋简" w:eastAsia="汉仪大宋简" w:cs="汉仪大宋简"/>
          <w:bCs/>
          <w:sz w:val="26"/>
          <w:szCs w:val="24"/>
          <w:lang w:eastAsia="zh-CN"/>
        </w:rPr>
      </w:pPr>
      <w:bookmarkStart w:id="26" w:name="_Toc236829098"/>
      <w:r>
        <w:rPr>
          <w:rFonts w:hint="eastAsia" w:ascii="宋体" w:hAnsi="宋体" w:eastAsia="宋体" w:cs="宋体"/>
          <w:b/>
          <w:bCs/>
          <w:color w:val="auto"/>
          <w:sz w:val="21"/>
          <w:szCs w:val="21"/>
          <w:lang w:eastAsia="zh-CN"/>
        </w:rPr>
        <w:t>预测考点8  国际税法</w:t>
      </w:r>
      <w:bookmarkEnd w:id="26"/>
    </w:p>
    <w:p w14:paraId="74909B9B">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1．税收管辖权：居民税收管辖权和来源地税收管辖权的行使。</w:t>
      </w:r>
    </w:p>
    <w:p w14:paraId="22A4F39E">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w:t>
      </w:r>
      <w:r>
        <w:rPr>
          <w:rFonts w:hint="eastAsia" w:ascii="宋体" w:hAnsi="宋体" w:eastAsia="宋体" w:cs="宋体"/>
          <w:b/>
          <w:bCs w:val="0"/>
          <w:color w:val="FF0000"/>
          <w:sz w:val="21"/>
          <w:szCs w:val="21"/>
        </w:rPr>
        <w:t>国际双重征税</w:t>
      </w:r>
      <w:r>
        <w:rPr>
          <w:rFonts w:hint="eastAsia" w:ascii="宋体" w:hAnsi="宋体" w:eastAsia="宋体" w:cs="宋体"/>
          <w:bCs/>
          <w:color w:val="auto"/>
          <w:sz w:val="21"/>
          <w:szCs w:val="21"/>
        </w:rPr>
        <w:t>：国际重复征税（两个或两个以上国家各依自己的税收管辖权按同一税种对同一纳税人的同一征税对象在同一征税期限内同时征税）和国际重叠征税（两个或两个以上国家对同一笔所得在具有某种经济联系的不同纳税人手中各征一次税）的内容和区别。</w:t>
      </w:r>
    </w:p>
    <w:p w14:paraId="6400746F">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w:t>
      </w:r>
      <w:r>
        <w:rPr>
          <w:rFonts w:hint="eastAsia" w:ascii="宋体" w:hAnsi="宋体" w:eastAsia="宋体" w:cs="宋体"/>
          <w:b/>
          <w:bCs w:val="0"/>
          <w:color w:val="FF0000"/>
          <w:sz w:val="21"/>
          <w:szCs w:val="21"/>
        </w:rPr>
        <w:t>避免国际重复征税的方法</w:t>
      </w:r>
      <w:r>
        <w:rPr>
          <w:rFonts w:hint="eastAsia" w:ascii="宋体" w:hAnsi="宋体" w:eastAsia="宋体" w:cs="宋体"/>
          <w:bCs/>
          <w:color w:val="auto"/>
          <w:sz w:val="21"/>
          <w:szCs w:val="21"/>
        </w:rPr>
        <w:t>：免税法、抵免法（直接抵免和间接抵免）、扣除法、减税法。</w:t>
      </w:r>
    </w:p>
    <w:p w14:paraId="4CA76FDD">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
          <w:bCs w:val="0"/>
          <w:color w:val="FF0000"/>
          <w:sz w:val="21"/>
          <w:szCs w:val="21"/>
        </w:rPr>
      </w:pPr>
      <w:r>
        <w:rPr>
          <w:rFonts w:hint="eastAsia" w:ascii="宋体" w:hAnsi="宋体" w:eastAsia="宋体" w:cs="宋体"/>
          <w:bCs/>
          <w:color w:val="auto"/>
          <w:sz w:val="21"/>
          <w:szCs w:val="21"/>
        </w:rPr>
        <w:t>4．国际逃税与避税：</w:t>
      </w:r>
      <w:r>
        <w:rPr>
          <w:rFonts w:hint="eastAsia" w:ascii="宋体" w:hAnsi="宋体" w:eastAsia="宋体" w:cs="宋体"/>
          <w:b/>
          <w:bCs w:val="0"/>
          <w:color w:val="FF0000"/>
          <w:sz w:val="21"/>
          <w:szCs w:val="21"/>
        </w:rPr>
        <w:t>通过转让定价、不合理分摊成本费用、利用避税港等方式进行国际避税。</w:t>
      </w:r>
    </w:p>
    <w:p w14:paraId="76EB6529">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5．CRS：自动的、无需提供理由的跨境金融账户信息交换。交换信息包括存款账户、托管账户、投资机构股权/债券权益账户、基金、信托、具有现金价值的保险合同或者年金合同等；</w:t>
      </w:r>
    </w:p>
    <w:p w14:paraId="753714B2">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不需要申报的包括：境外税务居民所控制的公司拥有的金融账户在25万美元以下的；投资海外房产、珠宝、艺术品、贵金属等不属于金融资产的品类。</w:t>
      </w:r>
    </w:p>
    <w:p w14:paraId="04BA5DD7">
      <w:pPr>
        <w:rPr>
          <w:rFonts w:hint="eastAsia"/>
        </w:rPr>
      </w:pPr>
      <w:bookmarkStart w:id="27" w:name="_GoBack"/>
      <w:bookmarkEnd w:id="27"/>
    </w:p>
    <w:sectPr>
      <w:headerReference r:id="rId5" w:type="default"/>
      <w:footerReference r:id="rId7" w:type="default"/>
      <w:headerReference r:id="rId6" w:type="even"/>
      <w:footerReference r:id="rId8" w:type="even"/>
      <w:pgSz w:w="11900" w:h="16840"/>
      <w:pgMar w:top="1701" w:right="1588" w:bottom="1247" w:left="1588" w:header="851" w:footer="709" w:gutter="0"/>
      <w:pgNumType w:start="2"/>
      <w:cols w:space="425" w:num="1"/>
      <w:docGrid w:type="lines" w:linePitch="42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embedRegular r:id="rId1" w:fontKey="{054D70BC-83AD-41A3-BD61-520C437BBC6C}"/>
  </w:font>
  <w:font w:name="ACADEMY ENGRAVED LET PLAIN:1.0">
    <w:altName w:val="Wide Latin"/>
    <w:panose1 w:val="00000000000000000000"/>
    <w:charset w:val="00"/>
    <w:family w:val="auto"/>
    <w:pitch w:val="default"/>
    <w:sig w:usb0="00000000" w:usb1="00000000" w:usb2="00000000" w:usb3="00000000" w:csb0="00000001" w:csb1="00000000"/>
  </w:font>
  <w:font w:name="Wide Latin">
    <w:panose1 w:val="020A0A07050505020404"/>
    <w:charset w:val="00"/>
    <w:family w:val="auto"/>
    <w:pitch w:val="default"/>
    <w:sig w:usb0="00000003" w:usb1="00000000" w:usb2="00000000" w:usb3="00000000" w:csb0="20000001" w:csb1="00000000"/>
  </w:font>
  <w:font w:name="Arial Unicode MS">
    <w:altName w:val="宋体"/>
    <w:panose1 w:val="020B0604020202020204"/>
    <w:charset w:val="86"/>
    <w:family w:val="swiss"/>
    <w:pitch w:val="default"/>
    <w:sig w:usb0="00000000" w:usb1="00000000" w:usb2="0000003F" w:usb3="00000000" w:csb0="003F01FF" w:csb1="00000000"/>
  </w:font>
  <w:font w:name="汉仪中黑简">
    <w:panose1 w:val="02010600000101010101"/>
    <w:charset w:val="86"/>
    <w:family w:val="modern"/>
    <w:pitch w:val="default"/>
    <w:sig w:usb0="00000001" w:usb1="080E0800" w:usb2="00000002" w:usb3="00000000" w:csb0="00040000" w:csb1="00000000"/>
    <w:embedRegular r:id="rId2" w:fontKey="{D6330E4D-6FEB-4B6C-B153-83F0C3A53425}"/>
  </w:font>
  <w:font w:name="汉仪书宋二简">
    <w:altName w:val="微软雅黑"/>
    <w:panose1 w:val="02010609000101010101"/>
    <w:charset w:val="86"/>
    <w:family w:val="modern"/>
    <w:pitch w:val="default"/>
    <w:sig w:usb0="00000000" w:usb1="00000000" w:usb2="00000012" w:usb3="00000000" w:csb0="00040000" w:csb1="00000000"/>
    <w:embedRegular r:id="rId3" w:fontKey="{AAAB6BFA-2844-4501-87F2-16E6DB507CA8}"/>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embedRegular r:id="rId4" w:fontKey="{B20EC851-EECE-422A-A585-06FBF65048A7}"/>
  </w:font>
  <w:font w:name="仿宋">
    <w:panose1 w:val="02010609060101010101"/>
    <w:charset w:val="86"/>
    <w:family w:val="modern"/>
    <w:pitch w:val="default"/>
    <w:sig w:usb0="800002BF" w:usb1="38CF7CFA" w:usb2="00000016" w:usb3="00000000" w:csb0="00040001" w:csb1="00000000"/>
    <w:embedRegular r:id="rId5" w:fontKey="{1B2BD8D8-1A7E-452F-B1FE-8A364BD7B5B6}"/>
  </w:font>
  <w:font w:name="仿宋_GB2312">
    <w:panose1 w:val="02010609030101010101"/>
    <w:charset w:val="86"/>
    <w:family w:val="modern"/>
    <w:pitch w:val="default"/>
    <w:sig w:usb0="00000001" w:usb1="080E0000" w:usb2="00000000" w:usb3="00000000" w:csb0="00040000" w:csb1="00000000"/>
    <w:embedRegular r:id="rId6" w:fontKey="{31FD9B0D-D393-46B5-AE3E-68FE12096CAE}"/>
  </w:font>
  <w:font w:name="汉仪大宋简">
    <w:altName w:val="宋体"/>
    <w:panose1 w:val="02010609000101010101"/>
    <w:charset w:val="86"/>
    <w:family w:val="modern"/>
    <w:pitch w:val="default"/>
    <w:sig w:usb0="00000000" w:usb1="00000000" w:usb2="00000012" w:usb3="00000000" w:csb0="00040000" w:csb1="00000000"/>
    <w:embedRegular r:id="rId7" w:fontKey="{3A50AB20-1964-449A-932A-80445EBC5489}"/>
  </w:font>
  <w:font w:name="汉仪大黑简">
    <w:altName w:val="黑体"/>
    <w:panose1 w:val="02010609000101010101"/>
    <w:charset w:val="86"/>
    <w:family w:val="modern"/>
    <w:pitch w:val="default"/>
    <w:sig w:usb0="00000000" w:usb1="00000000" w:usb2="00000012" w:usb3="00000000" w:csb0="00040000" w:csb1="00000000"/>
  </w:font>
  <w:font w:name="汉仪粗黑简">
    <w:altName w:val="微软雅黑"/>
    <w:panose1 w:val="02010609000101010101"/>
    <w:charset w:val="86"/>
    <w:family w:val="modern"/>
    <w:pitch w:val="default"/>
    <w:sig w:usb0="00000000" w:usb1="00000000" w:usb2="00000012" w:usb3="00000000" w:csb0="00040000" w:csb1="00000000"/>
    <w:embedRegular r:id="rId8" w:fontKey="{9D442E58-BD7F-41D4-9C8B-A06A54EB9404}"/>
  </w:font>
  <w:font w:name="汉仪中等线简">
    <w:altName w:val="宋体"/>
    <w:panose1 w:val="02010609000101010101"/>
    <w:charset w:val="86"/>
    <w:family w:val="modern"/>
    <w:pitch w:val="default"/>
    <w:sig w:usb0="00000000" w:usb1="00000000" w:usb2="00000012" w:usb3="00000000" w:csb0="00040000" w:csb1="00000000"/>
    <w:embedRegular r:id="rId9" w:fontKey="{E698D004-3811-44AF-BCF4-EF63895FC0AC}"/>
  </w:font>
  <w:font w:name="MS Mincho">
    <w:altName w:val="Yu Gothic UI"/>
    <w:panose1 w:val="02020609040205080304"/>
    <w:charset w:val="80"/>
    <w:family w:val="modern"/>
    <w:pitch w:val="default"/>
    <w:sig w:usb0="00000000" w:usb1="00000000" w:usb2="00000012" w:usb3="00000000" w:csb0="0002009F" w:csb1="00000000"/>
    <w:embedRegular r:id="rId10" w:fontKey="{ACCE487D-1514-490C-963C-AC3D77912924}"/>
  </w:font>
  <w:font w:name="ＭＳ 明朝">
    <w:altName w:val="Segoe Print"/>
    <w:panose1 w:val="00000000000000000000"/>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KSOF2A9ED157">
    <w:panose1 w:val="02010609060101010101"/>
    <w:charset w:val="86"/>
    <w:family w:val="auto"/>
    <w:pitch w:val="default"/>
    <w:sig w:usb0="00000001"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汉仪书宋一简">
    <w:altName w:val="宋体"/>
    <w:panose1 w:val="02010609000101010101"/>
    <w:charset w:val="86"/>
    <w:family w:val="modern"/>
    <w:pitch w:val="default"/>
    <w:sig w:usb0="00000000" w:usb1="00000000" w:usb2="0000001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汉仪书宋二简" w:eastAsia="汉仪书宋二简"/>
      </w:rPr>
      <w:id w:val="1109088194"/>
    </w:sdtPr>
    <w:sdtEndPr>
      <w:rPr>
        <w:rFonts w:hint="eastAsia" w:ascii="汉仪书宋二简" w:eastAsia="汉仪书宋二简"/>
      </w:rPr>
    </w:sdtEndPr>
    <w:sdtContent>
      <w:p w14:paraId="4A9E174D">
        <w:pPr>
          <w:pStyle w:val="15"/>
          <w:spacing w:after="0" w:line="240" w:lineRule="auto"/>
          <w:jc w:val="right"/>
          <w:rPr>
            <w:rFonts w:hint="eastAsia" w:ascii="汉仪书宋二简" w:eastAsia="汉仪书宋二简"/>
          </w:rPr>
        </w:pPr>
        <w:r>
          <w:rPr>
            <w:rFonts w:hint="eastAsia" w:ascii="汉仪书宋二简" w:eastAsia="汉仪书宋二简"/>
          </w:rPr>
          <w:fldChar w:fldCharType="begin"/>
        </w:r>
        <w:r>
          <w:rPr>
            <w:rFonts w:hint="eastAsia" w:ascii="汉仪书宋二简" w:eastAsia="汉仪书宋二简"/>
          </w:rPr>
          <w:instrText xml:space="preserve">PAGE   \* MERGEFORMAT</w:instrText>
        </w:r>
        <w:r>
          <w:rPr>
            <w:rFonts w:hint="eastAsia" w:ascii="汉仪书宋二简" w:eastAsia="汉仪书宋二简"/>
          </w:rPr>
          <w:fldChar w:fldCharType="separate"/>
        </w:r>
        <w:r>
          <w:rPr>
            <w:rFonts w:hint="eastAsia" w:ascii="汉仪书宋二简" w:eastAsia="汉仪书宋二简"/>
            <w:lang w:val="zh-CN"/>
          </w:rPr>
          <w:t>2</w:t>
        </w:r>
        <w:r>
          <w:rPr>
            <w:rFonts w:hint="eastAsia" w:ascii="汉仪书宋二简" w:eastAsia="汉仪书宋二简"/>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汉仪书宋二简" w:eastAsia="汉仪书宋二简"/>
      </w:rPr>
      <w:id w:val="180933698"/>
    </w:sdtPr>
    <w:sdtEndPr>
      <w:rPr>
        <w:rFonts w:hint="eastAsia" w:ascii="汉仪书宋二简" w:eastAsia="汉仪书宋二简"/>
      </w:rPr>
    </w:sdtEndPr>
    <w:sdtContent>
      <w:p w14:paraId="0B632FBC">
        <w:pPr>
          <w:pStyle w:val="15"/>
          <w:spacing w:after="0" w:line="240" w:lineRule="auto"/>
          <w:rPr>
            <w:rFonts w:hint="eastAsia" w:ascii="汉仪书宋二简" w:eastAsia="汉仪书宋二简"/>
          </w:rPr>
        </w:pPr>
        <w:r>
          <w:rPr>
            <w:rFonts w:hint="eastAsia" w:ascii="汉仪书宋二简" w:eastAsia="汉仪书宋二简"/>
          </w:rPr>
          <w:fldChar w:fldCharType="begin"/>
        </w:r>
        <w:r>
          <w:rPr>
            <w:rFonts w:hint="eastAsia" w:ascii="汉仪书宋二简" w:eastAsia="汉仪书宋二简"/>
          </w:rPr>
          <w:instrText xml:space="preserve">PAGE   \* MERGEFORMAT</w:instrText>
        </w:r>
        <w:r>
          <w:rPr>
            <w:rFonts w:hint="eastAsia" w:ascii="汉仪书宋二简" w:eastAsia="汉仪书宋二简"/>
          </w:rPr>
          <w:fldChar w:fldCharType="separate"/>
        </w:r>
        <w:r>
          <w:rPr>
            <w:rFonts w:hint="eastAsia" w:ascii="汉仪书宋二简" w:eastAsia="汉仪书宋二简"/>
            <w:lang w:val="zh-CN"/>
          </w:rPr>
          <w:t>2</w:t>
        </w:r>
        <w:r>
          <w:rPr>
            <w:rFonts w:hint="eastAsia" w:ascii="汉仪书宋二简" w:eastAsia="汉仪书宋二简"/>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BEEE5">
    <w:pPr>
      <w:wordWrap w:val="0"/>
      <w:spacing w:after="0" w:line="207" w:lineRule="exact"/>
      <w:jc w:val="right"/>
      <w:rPr>
        <w:rFonts w:hint="eastAsia" w:ascii="黑体" w:hAnsi="黑体" w:eastAsia="黑体" w:cs="黑体"/>
      </w:rPr>
    </w:pPr>
    <w:r>
      <w:rPr>
        <w:rFonts w:hint="eastAsia" w:ascii="黑体" w:hAnsi="黑体" w:eastAsia="黑体" w:cs="黑体"/>
        <w:color w:val="FFFFFF"/>
        <w:sz w:val="17"/>
        <w:szCs w:val="17"/>
      </w:rPr>
      <mc:AlternateContent>
        <mc:Choice Requires="wps">
          <w:drawing>
            <wp:anchor distT="0" distB="0" distL="114300" distR="114300" simplePos="0" relativeHeight="251659264" behindDoc="1" locked="0" layoutInCell="1" allowOverlap="1">
              <wp:simplePos x="0" y="0"/>
              <wp:positionH relativeFrom="column">
                <wp:posOffset>4610100</wp:posOffset>
              </wp:positionH>
              <wp:positionV relativeFrom="paragraph">
                <wp:posOffset>-1270</wp:posOffset>
              </wp:positionV>
              <wp:extent cx="889000" cy="140335"/>
              <wp:effectExtent l="0" t="0" r="6350" b="0"/>
              <wp:wrapNone/>
              <wp:docPr id="588423896" name="矩形 2"/>
              <wp:cNvGraphicFramePr/>
              <a:graphic xmlns:a="http://schemas.openxmlformats.org/drawingml/2006/main">
                <a:graphicData uri="http://schemas.microsoft.com/office/word/2010/wordprocessingShape">
                  <wps:wsp>
                    <wps:cNvSpPr>
                      <a:spLocks noChangeArrowheads="1"/>
                    </wps:cNvSpPr>
                    <wps:spPr bwMode="auto">
                      <a:xfrm>
                        <a:off x="0" y="0"/>
                        <a:ext cx="889027" cy="140335"/>
                      </a:xfrm>
                      <a:prstGeom prst="rect">
                        <a:avLst/>
                      </a:prstGeom>
                      <a:solidFill>
                        <a:srgbClr val="FF0000"/>
                      </a:solidFill>
                      <a:ln>
                        <a:noFill/>
                      </a:ln>
                    </wps:spPr>
                    <wps:bodyPr rot="0" vert="horz" wrap="square" lIns="91440" tIns="45720" rIns="91440" bIns="45720" anchor="t" anchorCtr="0" upright="1">
                      <a:noAutofit/>
                    </wps:bodyPr>
                  </wps:wsp>
                </a:graphicData>
              </a:graphic>
            </wp:anchor>
          </w:drawing>
        </mc:Choice>
        <mc:Fallback>
          <w:pict>
            <v:rect id="矩形 2" o:spid="_x0000_s1026" o:spt="1" style="position:absolute;left:0pt;margin-left:363pt;margin-top:-0.1pt;height:11.05pt;width:70pt;z-index:-251657216;mso-width-relative:page;mso-height-relative:page;" fillcolor="#FF0000" filled="t" stroked="f" coordsize="21600,21600" o:gfxdata="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kUn+q&#10;1QAAAAgBAAAPAAAAAAAAAAEAIAAAACIAAABkcnMvZG93bnJldi54bWxQSwECFAAUAAAACACHTuJA&#10;NR1OeCQCAAAtBAAADgAAAAAAAAABACAAAAAkAQAAZHJzL2Uyb0RvYy54bWxQSwUGAAAAAAYABgBZ&#10;AQAAugUAAAAA&#10;">
              <v:fill on="t" focussize="0,0"/>
              <v:stroke on="f"/>
              <v:imagedata o:title=""/>
              <o:lock v:ext="edit" aspectratio="f"/>
            </v:rect>
          </w:pict>
        </mc:Fallback>
      </mc:AlternateContent>
    </w:r>
    <w:r>
      <w:rPr>
        <w:rFonts w:hint="eastAsia" w:ascii="黑体" w:hAnsi="黑体" w:eastAsia="黑体" w:cs="黑体"/>
        <w:color w:val="FF0000"/>
        <w:sz w:val="17"/>
        <w:szCs w:val="17"/>
      </w:rPr>
      <w:t>| 国际法 国际私法 国际经济法 |</w:t>
    </w:r>
    <w:r>
      <w:rPr>
        <w:rFonts w:ascii="黑体" w:hAnsi="黑体" w:eastAsia="黑体" w:cs="黑体"/>
        <w:color w:val="FF0000"/>
        <w:sz w:val="17"/>
        <w:szCs w:val="17"/>
      </w:rPr>
      <w:t xml:space="preserve">  </w:t>
    </w:r>
    <w:r>
      <w:rPr>
        <w:rFonts w:ascii="黑体" w:hAnsi="黑体" w:eastAsia="黑体" w:cs="黑体"/>
        <w:sz w:val="17"/>
        <w:szCs w:val="17"/>
      </w:rPr>
      <w:t xml:space="preserve"> </w:t>
    </w:r>
    <w:r>
      <w:rPr>
        <w:rFonts w:hint="eastAsia" w:ascii="黑体" w:hAnsi="黑体" w:eastAsia="黑体" w:cs="黑体"/>
        <w:color w:val="FFFFFF"/>
        <w:spacing w:val="40"/>
        <w:sz w:val="17"/>
        <w:szCs w:val="17"/>
      </w:rPr>
      <w:t>预测</w:t>
    </w:r>
    <w:r>
      <w:rPr>
        <w:rFonts w:hint="eastAsia" w:ascii="汉仪粗黑简" w:hAnsi="黑体" w:eastAsia="汉仪粗黑简" w:cs="黑体"/>
        <w:color w:val="FFFFFF"/>
        <w:spacing w:val="40"/>
        <w:sz w:val="17"/>
        <w:szCs w:val="17"/>
      </w:rPr>
      <w:t>考点卷</w:t>
    </w:r>
    <w:r>
      <w:rPr>
        <w:rFonts w:ascii="黑体" w:hAnsi="黑体" w:eastAsia="黑体" w:cs="黑体"/>
        <w:color w:val="FFFFFF" w:themeColor="background1"/>
        <w:sz w:val="17"/>
        <w:szCs w:val="17"/>
        <w14:textFill>
          <w14:solidFill>
            <w14:schemeClr w14:val="bg1"/>
          </w14:solidFill>
        </w14:textFil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47CD3">
    <w:pPr>
      <w:spacing w:line="207" w:lineRule="exact"/>
      <w:rPr>
        <w:rFonts w:hint="eastAsia"/>
      </w:rPr>
    </w:pPr>
    <w:r>
      <w:rPr>
        <w:rFonts w:ascii="Arial" w:hAnsi="Arial" w:eastAsia="Arial" w:cs="Arial"/>
        <w:sz w:val="17"/>
        <w:szCs w:val="17"/>
      </w:rPr>
      <w:t>202</w:t>
    </w:r>
    <w:r>
      <w:rPr>
        <w:rFonts w:hint="eastAsia" w:ascii="Arial" w:hAnsi="Arial" w:cs="Arial" w:eastAsiaTheme="minorEastAsia"/>
        <w:sz w:val="17"/>
        <w:szCs w:val="17"/>
      </w:rPr>
      <w:t>6</w:t>
    </w:r>
    <w:r>
      <w:rPr>
        <w:rFonts w:hint="eastAsia" w:ascii="汉仪中等线简" w:hAnsi="汉仪中黑简" w:eastAsia="汉仪中等线简" w:cs="汉仪中黑简"/>
        <w:sz w:val="17"/>
        <w:szCs w:val="17"/>
      </w:rPr>
      <w:t>年</w:t>
    </w:r>
    <w:r>
      <w:rPr>
        <w:rFonts w:ascii="汉仪中黑简" w:hAnsi="汉仪中黑简" w:eastAsia="汉仪中黑简" w:cs="汉仪中黑简"/>
        <w:color w:val="FF0000"/>
        <w:sz w:val="17"/>
        <w:szCs w:val="17"/>
      </w:rPr>
      <w:t>桑磊法考</w:t>
    </w:r>
    <w:r>
      <w:rPr>
        <w:rFonts w:hint="eastAsia" w:ascii="汉仪中黑简" w:hAnsi="汉仪中黑简" w:eastAsia="汉仪中黑简" w:cs="汉仪中黑简"/>
        <w:color w:val="FF0000"/>
        <w:sz w:val="17"/>
        <w:szCs w:val="17"/>
      </w:rPr>
      <w:t xml:space="preserve"> </w:t>
    </w:r>
    <w:r>
      <w:rPr>
        <w:rFonts w:hint="eastAsia" w:ascii="MS Mincho" w:hAnsi="MS Mincho" w:eastAsia="MS Mincho" w:cs="MS Mincho"/>
        <w:color w:val="FF0000"/>
        <w:position w:val="-5"/>
        <w:sz w:val="28"/>
        <w:szCs w:val="28"/>
      </w:rPr>
      <w:t>✍</w:t>
    </w:r>
    <w:r>
      <w:rPr>
        <w:rFonts w:ascii="汉仪中黑简" w:hAnsi="汉仪中黑简" w:eastAsia="汉仪中黑简" w:cs="汉仪中黑简"/>
        <w:color w:val="FF0000"/>
        <w:sz w:val="17"/>
        <w:szCs w:val="17"/>
      </w:rPr>
      <w:t xml:space="preserve"> 客观</w:t>
    </w:r>
    <w:r>
      <w:rPr>
        <w:rFonts w:hint="eastAsia" w:ascii="汉仪中黑简" w:hAnsi="汉仪中黑简" w:eastAsia="汉仪中黑简" w:cs="汉仪中黑简"/>
        <w:color w:val="FF0000"/>
        <w:sz w:val="17"/>
        <w:szCs w:val="17"/>
      </w:rPr>
      <w:t>题</w:t>
    </w:r>
    <w:r>
      <w:rPr>
        <w:rFonts w:hint="eastAsia" w:ascii="汉仪粗黑简" w:hAnsi="汉仪中黑简" w:eastAsia="汉仪粗黑简" w:cs="汉仪中黑简"/>
        <w:sz w:val="17"/>
        <w:szCs w:val="17"/>
      </w:rPr>
      <w:t>冲刺密押</w:t>
    </w:r>
    <w:r>
      <w:rPr>
        <w:rFonts w:hint="eastAsia" w:ascii="汉仪中黑简" w:hAnsi="汉仪中黑简" w:eastAsia="汉仪中黑简" w:cs="汉仪中黑简"/>
        <w:color w:val="FF0000"/>
        <w:sz w:val="17"/>
        <w:szCs w:val="17"/>
      </w:rPr>
      <w:t>内部讲义</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hideSpellingErrors/>
  <w:documentProtection w:edit="readOnly" w:enforcement="0"/>
  <w:defaultTabStop w:val="420"/>
  <w:evenAndOddHeaders w:val="1"/>
  <w:drawingGridHorizontalSpacing w:val="105"/>
  <w:drawingGridVerticalSpacing w:val="42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CDC"/>
    <w:rsid w:val="0000041D"/>
    <w:rsid w:val="000007C3"/>
    <w:rsid w:val="00004337"/>
    <w:rsid w:val="000069E6"/>
    <w:rsid w:val="00007029"/>
    <w:rsid w:val="00007133"/>
    <w:rsid w:val="00007D20"/>
    <w:rsid w:val="00007E14"/>
    <w:rsid w:val="0001170A"/>
    <w:rsid w:val="00013C95"/>
    <w:rsid w:val="00017244"/>
    <w:rsid w:val="00020E34"/>
    <w:rsid w:val="00021506"/>
    <w:rsid w:val="00023716"/>
    <w:rsid w:val="00023DA1"/>
    <w:rsid w:val="00024324"/>
    <w:rsid w:val="00025C72"/>
    <w:rsid w:val="00030614"/>
    <w:rsid w:val="000307BB"/>
    <w:rsid w:val="000330D3"/>
    <w:rsid w:val="00033663"/>
    <w:rsid w:val="000344AC"/>
    <w:rsid w:val="0003575F"/>
    <w:rsid w:val="0003696A"/>
    <w:rsid w:val="000416F3"/>
    <w:rsid w:val="00041CDA"/>
    <w:rsid w:val="000454DB"/>
    <w:rsid w:val="00045BED"/>
    <w:rsid w:val="00051110"/>
    <w:rsid w:val="00051B03"/>
    <w:rsid w:val="000520D9"/>
    <w:rsid w:val="000561B1"/>
    <w:rsid w:val="0005705F"/>
    <w:rsid w:val="00057389"/>
    <w:rsid w:val="00057796"/>
    <w:rsid w:val="00060D7C"/>
    <w:rsid w:val="00061303"/>
    <w:rsid w:val="000618E9"/>
    <w:rsid w:val="00062462"/>
    <w:rsid w:val="00062B02"/>
    <w:rsid w:val="0006444A"/>
    <w:rsid w:val="00064FAF"/>
    <w:rsid w:val="00065CDC"/>
    <w:rsid w:val="000721BA"/>
    <w:rsid w:val="00075EFD"/>
    <w:rsid w:val="00076E30"/>
    <w:rsid w:val="00080B5C"/>
    <w:rsid w:val="0008138B"/>
    <w:rsid w:val="0008155F"/>
    <w:rsid w:val="00084DD5"/>
    <w:rsid w:val="00090A70"/>
    <w:rsid w:val="00091026"/>
    <w:rsid w:val="00091F2D"/>
    <w:rsid w:val="000923CF"/>
    <w:rsid w:val="0009695B"/>
    <w:rsid w:val="000A0B59"/>
    <w:rsid w:val="000A17DE"/>
    <w:rsid w:val="000B0D14"/>
    <w:rsid w:val="000B146C"/>
    <w:rsid w:val="000B3EEE"/>
    <w:rsid w:val="000B4132"/>
    <w:rsid w:val="000B41AA"/>
    <w:rsid w:val="000B591E"/>
    <w:rsid w:val="000B5C75"/>
    <w:rsid w:val="000B615F"/>
    <w:rsid w:val="000B69C5"/>
    <w:rsid w:val="000B701B"/>
    <w:rsid w:val="000C0AD8"/>
    <w:rsid w:val="000C143C"/>
    <w:rsid w:val="000C29E2"/>
    <w:rsid w:val="000C4BF7"/>
    <w:rsid w:val="000C689C"/>
    <w:rsid w:val="000C6D88"/>
    <w:rsid w:val="000D2CF9"/>
    <w:rsid w:val="000D3147"/>
    <w:rsid w:val="000D44D5"/>
    <w:rsid w:val="000D56C5"/>
    <w:rsid w:val="000D56E5"/>
    <w:rsid w:val="000D6328"/>
    <w:rsid w:val="000D6B00"/>
    <w:rsid w:val="000D6D82"/>
    <w:rsid w:val="000D7674"/>
    <w:rsid w:val="000D7B61"/>
    <w:rsid w:val="000D7CD4"/>
    <w:rsid w:val="000D7E08"/>
    <w:rsid w:val="000E01C1"/>
    <w:rsid w:val="000E0250"/>
    <w:rsid w:val="000E0BCF"/>
    <w:rsid w:val="000E30E1"/>
    <w:rsid w:val="000E686F"/>
    <w:rsid w:val="000E6C3C"/>
    <w:rsid w:val="000F04EC"/>
    <w:rsid w:val="000F139E"/>
    <w:rsid w:val="000F2150"/>
    <w:rsid w:val="000F2D94"/>
    <w:rsid w:val="000F313E"/>
    <w:rsid w:val="000F3220"/>
    <w:rsid w:val="000F4068"/>
    <w:rsid w:val="000F4105"/>
    <w:rsid w:val="000F4984"/>
    <w:rsid w:val="000F5845"/>
    <w:rsid w:val="000F7E03"/>
    <w:rsid w:val="00101A07"/>
    <w:rsid w:val="0010245C"/>
    <w:rsid w:val="00103FAF"/>
    <w:rsid w:val="001041CA"/>
    <w:rsid w:val="001043C5"/>
    <w:rsid w:val="00104BD1"/>
    <w:rsid w:val="00105D3B"/>
    <w:rsid w:val="00106298"/>
    <w:rsid w:val="001070B9"/>
    <w:rsid w:val="00110ACD"/>
    <w:rsid w:val="00113096"/>
    <w:rsid w:val="001132EF"/>
    <w:rsid w:val="00114E60"/>
    <w:rsid w:val="0011516B"/>
    <w:rsid w:val="00117A62"/>
    <w:rsid w:val="0012151C"/>
    <w:rsid w:val="00122FF3"/>
    <w:rsid w:val="0012563A"/>
    <w:rsid w:val="00125ED0"/>
    <w:rsid w:val="00126916"/>
    <w:rsid w:val="001269BF"/>
    <w:rsid w:val="00130E71"/>
    <w:rsid w:val="00131558"/>
    <w:rsid w:val="001332A1"/>
    <w:rsid w:val="00133BBA"/>
    <w:rsid w:val="00134033"/>
    <w:rsid w:val="0013470C"/>
    <w:rsid w:val="001356F0"/>
    <w:rsid w:val="00135A24"/>
    <w:rsid w:val="00135C9D"/>
    <w:rsid w:val="001363A1"/>
    <w:rsid w:val="00136E54"/>
    <w:rsid w:val="00137ABD"/>
    <w:rsid w:val="0014014C"/>
    <w:rsid w:val="00141873"/>
    <w:rsid w:val="001418E9"/>
    <w:rsid w:val="00141A50"/>
    <w:rsid w:val="0014386A"/>
    <w:rsid w:val="00146796"/>
    <w:rsid w:val="00146BF2"/>
    <w:rsid w:val="00147E74"/>
    <w:rsid w:val="00150C06"/>
    <w:rsid w:val="0015119E"/>
    <w:rsid w:val="00152335"/>
    <w:rsid w:val="00152AAE"/>
    <w:rsid w:val="00162C62"/>
    <w:rsid w:val="0016379D"/>
    <w:rsid w:val="00166735"/>
    <w:rsid w:val="00167640"/>
    <w:rsid w:val="00170421"/>
    <w:rsid w:val="0017078E"/>
    <w:rsid w:val="0017085B"/>
    <w:rsid w:val="00170907"/>
    <w:rsid w:val="00170C5F"/>
    <w:rsid w:val="00170CC5"/>
    <w:rsid w:val="00172109"/>
    <w:rsid w:val="00174370"/>
    <w:rsid w:val="00174B1F"/>
    <w:rsid w:val="00177320"/>
    <w:rsid w:val="00177C41"/>
    <w:rsid w:val="00180017"/>
    <w:rsid w:val="00180423"/>
    <w:rsid w:val="00180579"/>
    <w:rsid w:val="0018095A"/>
    <w:rsid w:val="00183BEB"/>
    <w:rsid w:val="001877D0"/>
    <w:rsid w:val="00192304"/>
    <w:rsid w:val="00192A1C"/>
    <w:rsid w:val="00193237"/>
    <w:rsid w:val="00194DED"/>
    <w:rsid w:val="001964CC"/>
    <w:rsid w:val="001A0538"/>
    <w:rsid w:val="001A090E"/>
    <w:rsid w:val="001A11C5"/>
    <w:rsid w:val="001A33A3"/>
    <w:rsid w:val="001A405E"/>
    <w:rsid w:val="001A416B"/>
    <w:rsid w:val="001A421E"/>
    <w:rsid w:val="001A4351"/>
    <w:rsid w:val="001A6D73"/>
    <w:rsid w:val="001A6DD4"/>
    <w:rsid w:val="001B05EE"/>
    <w:rsid w:val="001B1109"/>
    <w:rsid w:val="001B1191"/>
    <w:rsid w:val="001B22F6"/>
    <w:rsid w:val="001B353D"/>
    <w:rsid w:val="001B4007"/>
    <w:rsid w:val="001B6C99"/>
    <w:rsid w:val="001B7367"/>
    <w:rsid w:val="001C13EF"/>
    <w:rsid w:val="001C2052"/>
    <w:rsid w:val="001C32F6"/>
    <w:rsid w:val="001C3CBB"/>
    <w:rsid w:val="001C596B"/>
    <w:rsid w:val="001C6D78"/>
    <w:rsid w:val="001C7326"/>
    <w:rsid w:val="001D322F"/>
    <w:rsid w:val="001D52D4"/>
    <w:rsid w:val="001E0DC3"/>
    <w:rsid w:val="001E1CA9"/>
    <w:rsid w:val="001E2526"/>
    <w:rsid w:val="001E3CE3"/>
    <w:rsid w:val="001F2063"/>
    <w:rsid w:val="001F3F62"/>
    <w:rsid w:val="001F4545"/>
    <w:rsid w:val="001F4B5F"/>
    <w:rsid w:val="001F4D13"/>
    <w:rsid w:val="001F4F9B"/>
    <w:rsid w:val="001F61E9"/>
    <w:rsid w:val="001F6802"/>
    <w:rsid w:val="00202F07"/>
    <w:rsid w:val="00203C17"/>
    <w:rsid w:val="00204D44"/>
    <w:rsid w:val="00210F7F"/>
    <w:rsid w:val="00212232"/>
    <w:rsid w:val="002127C3"/>
    <w:rsid w:val="00213812"/>
    <w:rsid w:val="00217BC4"/>
    <w:rsid w:val="00217FAD"/>
    <w:rsid w:val="0022032E"/>
    <w:rsid w:val="002208DA"/>
    <w:rsid w:val="002222AE"/>
    <w:rsid w:val="00224832"/>
    <w:rsid w:val="0022570E"/>
    <w:rsid w:val="00225BD4"/>
    <w:rsid w:val="002266A1"/>
    <w:rsid w:val="0022795E"/>
    <w:rsid w:val="002306E1"/>
    <w:rsid w:val="00230BB8"/>
    <w:rsid w:val="002334CD"/>
    <w:rsid w:val="0023547C"/>
    <w:rsid w:val="00236797"/>
    <w:rsid w:val="00237481"/>
    <w:rsid w:val="00237A5A"/>
    <w:rsid w:val="00240282"/>
    <w:rsid w:val="002422D7"/>
    <w:rsid w:val="0024573C"/>
    <w:rsid w:val="002463BF"/>
    <w:rsid w:val="00246E42"/>
    <w:rsid w:val="0024755F"/>
    <w:rsid w:val="002477E2"/>
    <w:rsid w:val="00247F31"/>
    <w:rsid w:val="00251584"/>
    <w:rsid w:val="00254628"/>
    <w:rsid w:val="002555F1"/>
    <w:rsid w:val="002649B8"/>
    <w:rsid w:val="00264C37"/>
    <w:rsid w:val="00265BD2"/>
    <w:rsid w:val="00266E58"/>
    <w:rsid w:val="0027016E"/>
    <w:rsid w:val="002705E7"/>
    <w:rsid w:val="002706F6"/>
    <w:rsid w:val="0027404F"/>
    <w:rsid w:val="00277C55"/>
    <w:rsid w:val="00277DDE"/>
    <w:rsid w:val="00282EBD"/>
    <w:rsid w:val="0028378F"/>
    <w:rsid w:val="00284147"/>
    <w:rsid w:val="002841F4"/>
    <w:rsid w:val="00284B78"/>
    <w:rsid w:val="00286A61"/>
    <w:rsid w:val="00291A83"/>
    <w:rsid w:val="00292C23"/>
    <w:rsid w:val="00292DA8"/>
    <w:rsid w:val="00293587"/>
    <w:rsid w:val="00295D1E"/>
    <w:rsid w:val="002A5887"/>
    <w:rsid w:val="002A6559"/>
    <w:rsid w:val="002B2715"/>
    <w:rsid w:val="002B55DF"/>
    <w:rsid w:val="002C0157"/>
    <w:rsid w:val="002C0255"/>
    <w:rsid w:val="002C1A5A"/>
    <w:rsid w:val="002C2E70"/>
    <w:rsid w:val="002C2FFC"/>
    <w:rsid w:val="002D2EBA"/>
    <w:rsid w:val="002D3D1C"/>
    <w:rsid w:val="002D47BE"/>
    <w:rsid w:val="002D5615"/>
    <w:rsid w:val="002D5A27"/>
    <w:rsid w:val="002D73B3"/>
    <w:rsid w:val="002D7DE3"/>
    <w:rsid w:val="002E0E7B"/>
    <w:rsid w:val="002E2477"/>
    <w:rsid w:val="002E25BA"/>
    <w:rsid w:val="002E30AC"/>
    <w:rsid w:val="002E3B4F"/>
    <w:rsid w:val="002E4658"/>
    <w:rsid w:val="002E4965"/>
    <w:rsid w:val="002E5D78"/>
    <w:rsid w:val="002F3792"/>
    <w:rsid w:val="002F48B1"/>
    <w:rsid w:val="002F70A7"/>
    <w:rsid w:val="003012CE"/>
    <w:rsid w:val="003014F0"/>
    <w:rsid w:val="00301565"/>
    <w:rsid w:val="00301A1F"/>
    <w:rsid w:val="00306526"/>
    <w:rsid w:val="00313A7B"/>
    <w:rsid w:val="00314DF0"/>
    <w:rsid w:val="00315DFF"/>
    <w:rsid w:val="0032038C"/>
    <w:rsid w:val="00320F85"/>
    <w:rsid w:val="003212E2"/>
    <w:rsid w:val="00322577"/>
    <w:rsid w:val="003238F4"/>
    <w:rsid w:val="00323E79"/>
    <w:rsid w:val="00324172"/>
    <w:rsid w:val="00325D88"/>
    <w:rsid w:val="00326198"/>
    <w:rsid w:val="00330620"/>
    <w:rsid w:val="00330C05"/>
    <w:rsid w:val="00331CE2"/>
    <w:rsid w:val="00333AC8"/>
    <w:rsid w:val="003364AD"/>
    <w:rsid w:val="00336B60"/>
    <w:rsid w:val="00341BB9"/>
    <w:rsid w:val="00342880"/>
    <w:rsid w:val="00346E53"/>
    <w:rsid w:val="0034709E"/>
    <w:rsid w:val="003518D7"/>
    <w:rsid w:val="00351FF4"/>
    <w:rsid w:val="00352F10"/>
    <w:rsid w:val="0035316A"/>
    <w:rsid w:val="00355353"/>
    <w:rsid w:val="003553E6"/>
    <w:rsid w:val="00355944"/>
    <w:rsid w:val="00355E2E"/>
    <w:rsid w:val="00355F20"/>
    <w:rsid w:val="003602CB"/>
    <w:rsid w:val="00360619"/>
    <w:rsid w:val="00360E84"/>
    <w:rsid w:val="00366702"/>
    <w:rsid w:val="00367F8D"/>
    <w:rsid w:val="003703C4"/>
    <w:rsid w:val="00371BDD"/>
    <w:rsid w:val="00371C97"/>
    <w:rsid w:val="003725C1"/>
    <w:rsid w:val="00372920"/>
    <w:rsid w:val="00374E59"/>
    <w:rsid w:val="003773DD"/>
    <w:rsid w:val="0038107D"/>
    <w:rsid w:val="0038290F"/>
    <w:rsid w:val="00385036"/>
    <w:rsid w:val="00386FC6"/>
    <w:rsid w:val="00387515"/>
    <w:rsid w:val="00393EFC"/>
    <w:rsid w:val="00394026"/>
    <w:rsid w:val="003950D5"/>
    <w:rsid w:val="003957B0"/>
    <w:rsid w:val="003A10C3"/>
    <w:rsid w:val="003A2558"/>
    <w:rsid w:val="003A2662"/>
    <w:rsid w:val="003A359A"/>
    <w:rsid w:val="003A439C"/>
    <w:rsid w:val="003A48A4"/>
    <w:rsid w:val="003A4CD8"/>
    <w:rsid w:val="003A5272"/>
    <w:rsid w:val="003A6063"/>
    <w:rsid w:val="003A630C"/>
    <w:rsid w:val="003A681E"/>
    <w:rsid w:val="003A7BDD"/>
    <w:rsid w:val="003B01EB"/>
    <w:rsid w:val="003B375D"/>
    <w:rsid w:val="003B5BCC"/>
    <w:rsid w:val="003B662E"/>
    <w:rsid w:val="003B7B0C"/>
    <w:rsid w:val="003C078D"/>
    <w:rsid w:val="003C184F"/>
    <w:rsid w:val="003C4143"/>
    <w:rsid w:val="003D2FB7"/>
    <w:rsid w:val="003D2FE7"/>
    <w:rsid w:val="003D5596"/>
    <w:rsid w:val="003E0B57"/>
    <w:rsid w:val="003E1C37"/>
    <w:rsid w:val="003E4942"/>
    <w:rsid w:val="003E6C50"/>
    <w:rsid w:val="003E7623"/>
    <w:rsid w:val="003F02EB"/>
    <w:rsid w:val="003F0F11"/>
    <w:rsid w:val="003F5548"/>
    <w:rsid w:val="003F743A"/>
    <w:rsid w:val="003F76FD"/>
    <w:rsid w:val="004001FC"/>
    <w:rsid w:val="00400FAC"/>
    <w:rsid w:val="004019BD"/>
    <w:rsid w:val="00403622"/>
    <w:rsid w:val="00403C26"/>
    <w:rsid w:val="004042BF"/>
    <w:rsid w:val="00411B27"/>
    <w:rsid w:val="00412D6A"/>
    <w:rsid w:val="004132C7"/>
    <w:rsid w:val="004142F3"/>
    <w:rsid w:val="004150C2"/>
    <w:rsid w:val="004201EC"/>
    <w:rsid w:val="00421446"/>
    <w:rsid w:val="00421D6A"/>
    <w:rsid w:val="0042301C"/>
    <w:rsid w:val="00424B49"/>
    <w:rsid w:val="00424B9D"/>
    <w:rsid w:val="004257B6"/>
    <w:rsid w:val="0042712F"/>
    <w:rsid w:val="00431A30"/>
    <w:rsid w:val="0043240A"/>
    <w:rsid w:val="00432C98"/>
    <w:rsid w:val="0043318C"/>
    <w:rsid w:val="00436CA1"/>
    <w:rsid w:val="00436EC3"/>
    <w:rsid w:val="00440310"/>
    <w:rsid w:val="00441ECB"/>
    <w:rsid w:val="00442A94"/>
    <w:rsid w:val="004430B6"/>
    <w:rsid w:val="00443692"/>
    <w:rsid w:val="00446585"/>
    <w:rsid w:val="004504BE"/>
    <w:rsid w:val="00452E65"/>
    <w:rsid w:val="00454BB4"/>
    <w:rsid w:val="00455EDC"/>
    <w:rsid w:val="004572AF"/>
    <w:rsid w:val="00457860"/>
    <w:rsid w:val="004602F3"/>
    <w:rsid w:val="00461C58"/>
    <w:rsid w:val="00461EC3"/>
    <w:rsid w:val="00461FE3"/>
    <w:rsid w:val="004622DF"/>
    <w:rsid w:val="00462957"/>
    <w:rsid w:val="00463604"/>
    <w:rsid w:val="00467715"/>
    <w:rsid w:val="00470975"/>
    <w:rsid w:val="00471604"/>
    <w:rsid w:val="00474C51"/>
    <w:rsid w:val="004765F4"/>
    <w:rsid w:val="004770DD"/>
    <w:rsid w:val="0048143B"/>
    <w:rsid w:val="00481D1F"/>
    <w:rsid w:val="0048299D"/>
    <w:rsid w:val="00483346"/>
    <w:rsid w:val="00485E95"/>
    <w:rsid w:val="00491101"/>
    <w:rsid w:val="00492729"/>
    <w:rsid w:val="00493699"/>
    <w:rsid w:val="004979B5"/>
    <w:rsid w:val="004A013B"/>
    <w:rsid w:val="004A13F9"/>
    <w:rsid w:val="004B2AEB"/>
    <w:rsid w:val="004B3CE2"/>
    <w:rsid w:val="004B4C6A"/>
    <w:rsid w:val="004B4D7F"/>
    <w:rsid w:val="004B5824"/>
    <w:rsid w:val="004B5B0E"/>
    <w:rsid w:val="004B628F"/>
    <w:rsid w:val="004B74DA"/>
    <w:rsid w:val="004C3678"/>
    <w:rsid w:val="004C4DC0"/>
    <w:rsid w:val="004C506F"/>
    <w:rsid w:val="004C5D6D"/>
    <w:rsid w:val="004D0A90"/>
    <w:rsid w:val="004D16BB"/>
    <w:rsid w:val="004D79F4"/>
    <w:rsid w:val="004E046A"/>
    <w:rsid w:val="004E2C23"/>
    <w:rsid w:val="004E4B69"/>
    <w:rsid w:val="004E4CAD"/>
    <w:rsid w:val="004E7918"/>
    <w:rsid w:val="004F1A62"/>
    <w:rsid w:val="004F1B4B"/>
    <w:rsid w:val="004F2A6B"/>
    <w:rsid w:val="004F2F1F"/>
    <w:rsid w:val="004F312C"/>
    <w:rsid w:val="004F35BE"/>
    <w:rsid w:val="004F49E7"/>
    <w:rsid w:val="004F4EA4"/>
    <w:rsid w:val="004F5424"/>
    <w:rsid w:val="004F6FEB"/>
    <w:rsid w:val="004F7247"/>
    <w:rsid w:val="005053EF"/>
    <w:rsid w:val="005105C8"/>
    <w:rsid w:val="00510CEE"/>
    <w:rsid w:val="00510F70"/>
    <w:rsid w:val="00511B64"/>
    <w:rsid w:val="00512F7C"/>
    <w:rsid w:val="005132D0"/>
    <w:rsid w:val="00517CE1"/>
    <w:rsid w:val="0052019C"/>
    <w:rsid w:val="005205B9"/>
    <w:rsid w:val="005214C9"/>
    <w:rsid w:val="00521FBD"/>
    <w:rsid w:val="0052223E"/>
    <w:rsid w:val="00523DD1"/>
    <w:rsid w:val="00525257"/>
    <w:rsid w:val="005259A7"/>
    <w:rsid w:val="00525A23"/>
    <w:rsid w:val="00525B89"/>
    <w:rsid w:val="00526A12"/>
    <w:rsid w:val="00527187"/>
    <w:rsid w:val="00527658"/>
    <w:rsid w:val="00527699"/>
    <w:rsid w:val="005305F7"/>
    <w:rsid w:val="00530CFB"/>
    <w:rsid w:val="00531BD3"/>
    <w:rsid w:val="00534B27"/>
    <w:rsid w:val="00534D62"/>
    <w:rsid w:val="0054237D"/>
    <w:rsid w:val="00543048"/>
    <w:rsid w:val="00543953"/>
    <w:rsid w:val="00544A07"/>
    <w:rsid w:val="0054781B"/>
    <w:rsid w:val="005501D0"/>
    <w:rsid w:val="00550990"/>
    <w:rsid w:val="00551B35"/>
    <w:rsid w:val="0055481B"/>
    <w:rsid w:val="00555238"/>
    <w:rsid w:val="005555C0"/>
    <w:rsid w:val="00556C1C"/>
    <w:rsid w:val="0056086C"/>
    <w:rsid w:val="00560D31"/>
    <w:rsid w:val="005624B3"/>
    <w:rsid w:val="00562B89"/>
    <w:rsid w:val="00563DFA"/>
    <w:rsid w:val="005641D1"/>
    <w:rsid w:val="005643CB"/>
    <w:rsid w:val="005650C5"/>
    <w:rsid w:val="00565BA4"/>
    <w:rsid w:val="0056669F"/>
    <w:rsid w:val="00566CAF"/>
    <w:rsid w:val="00567BC4"/>
    <w:rsid w:val="00571D10"/>
    <w:rsid w:val="0057523B"/>
    <w:rsid w:val="0057567B"/>
    <w:rsid w:val="00576678"/>
    <w:rsid w:val="00583735"/>
    <w:rsid w:val="00584658"/>
    <w:rsid w:val="005856BE"/>
    <w:rsid w:val="005859EA"/>
    <w:rsid w:val="00590EF3"/>
    <w:rsid w:val="005924E7"/>
    <w:rsid w:val="005941DF"/>
    <w:rsid w:val="00594599"/>
    <w:rsid w:val="0059491D"/>
    <w:rsid w:val="00594D42"/>
    <w:rsid w:val="00595817"/>
    <w:rsid w:val="00596806"/>
    <w:rsid w:val="00596AD5"/>
    <w:rsid w:val="005A270D"/>
    <w:rsid w:val="005A44E1"/>
    <w:rsid w:val="005A76F4"/>
    <w:rsid w:val="005A7730"/>
    <w:rsid w:val="005A7FCE"/>
    <w:rsid w:val="005B15BE"/>
    <w:rsid w:val="005B38B1"/>
    <w:rsid w:val="005B6C7A"/>
    <w:rsid w:val="005B73EE"/>
    <w:rsid w:val="005C0E50"/>
    <w:rsid w:val="005C15E5"/>
    <w:rsid w:val="005C435C"/>
    <w:rsid w:val="005C601F"/>
    <w:rsid w:val="005C79C6"/>
    <w:rsid w:val="005D066F"/>
    <w:rsid w:val="005D0CE1"/>
    <w:rsid w:val="005D5DB5"/>
    <w:rsid w:val="005E0006"/>
    <w:rsid w:val="005E0780"/>
    <w:rsid w:val="005E106B"/>
    <w:rsid w:val="005E2686"/>
    <w:rsid w:val="005E3DAC"/>
    <w:rsid w:val="005E497C"/>
    <w:rsid w:val="005E5582"/>
    <w:rsid w:val="005E5E1E"/>
    <w:rsid w:val="005F3784"/>
    <w:rsid w:val="005F557F"/>
    <w:rsid w:val="005F7C47"/>
    <w:rsid w:val="00600E0F"/>
    <w:rsid w:val="0060111D"/>
    <w:rsid w:val="0060132A"/>
    <w:rsid w:val="00603EF1"/>
    <w:rsid w:val="00604876"/>
    <w:rsid w:val="00604F2A"/>
    <w:rsid w:val="00605688"/>
    <w:rsid w:val="00605B5F"/>
    <w:rsid w:val="00606AEC"/>
    <w:rsid w:val="0060718F"/>
    <w:rsid w:val="00607282"/>
    <w:rsid w:val="0061016A"/>
    <w:rsid w:val="0061466E"/>
    <w:rsid w:val="00617ED2"/>
    <w:rsid w:val="006234E4"/>
    <w:rsid w:val="006241E9"/>
    <w:rsid w:val="006244FE"/>
    <w:rsid w:val="00624BA0"/>
    <w:rsid w:val="0062683D"/>
    <w:rsid w:val="0062710B"/>
    <w:rsid w:val="00631C13"/>
    <w:rsid w:val="00631F1A"/>
    <w:rsid w:val="00632203"/>
    <w:rsid w:val="00632BB7"/>
    <w:rsid w:val="00633AF9"/>
    <w:rsid w:val="00633D8E"/>
    <w:rsid w:val="00634291"/>
    <w:rsid w:val="00635BE7"/>
    <w:rsid w:val="00635EB9"/>
    <w:rsid w:val="006427F7"/>
    <w:rsid w:val="00645737"/>
    <w:rsid w:val="006461A1"/>
    <w:rsid w:val="00647D5B"/>
    <w:rsid w:val="00651B09"/>
    <w:rsid w:val="00653601"/>
    <w:rsid w:val="00656365"/>
    <w:rsid w:val="006568AE"/>
    <w:rsid w:val="00660C31"/>
    <w:rsid w:val="00661361"/>
    <w:rsid w:val="0066191B"/>
    <w:rsid w:val="00662407"/>
    <w:rsid w:val="00663F84"/>
    <w:rsid w:val="00665145"/>
    <w:rsid w:val="00670C90"/>
    <w:rsid w:val="00670DDA"/>
    <w:rsid w:val="006718DD"/>
    <w:rsid w:val="00673628"/>
    <w:rsid w:val="00674B42"/>
    <w:rsid w:val="006762EE"/>
    <w:rsid w:val="0067727D"/>
    <w:rsid w:val="00680F17"/>
    <w:rsid w:val="00682A7A"/>
    <w:rsid w:val="00683E37"/>
    <w:rsid w:val="00684132"/>
    <w:rsid w:val="00684504"/>
    <w:rsid w:val="0068548B"/>
    <w:rsid w:val="006916C0"/>
    <w:rsid w:val="0069317A"/>
    <w:rsid w:val="00694270"/>
    <w:rsid w:val="00696ED9"/>
    <w:rsid w:val="00696EF8"/>
    <w:rsid w:val="00697270"/>
    <w:rsid w:val="006977BB"/>
    <w:rsid w:val="006A16C4"/>
    <w:rsid w:val="006A3CA3"/>
    <w:rsid w:val="006A5316"/>
    <w:rsid w:val="006A7BB0"/>
    <w:rsid w:val="006B13B0"/>
    <w:rsid w:val="006B280D"/>
    <w:rsid w:val="006B314A"/>
    <w:rsid w:val="006B35D1"/>
    <w:rsid w:val="006B3A00"/>
    <w:rsid w:val="006B47E2"/>
    <w:rsid w:val="006B5DFD"/>
    <w:rsid w:val="006B7E58"/>
    <w:rsid w:val="006C01BF"/>
    <w:rsid w:val="006C07D5"/>
    <w:rsid w:val="006C0E27"/>
    <w:rsid w:val="006C1C58"/>
    <w:rsid w:val="006C79CB"/>
    <w:rsid w:val="006D0B94"/>
    <w:rsid w:val="006D1475"/>
    <w:rsid w:val="006D1E92"/>
    <w:rsid w:val="006D425D"/>
    <w:rsid w:val="006D47F9"/>
    <w:rsid w:val="006D57EC"/>
    <w:rsid w:val="006D6D02"/>
    <w:rsid w:val="006D7085"/>
    <w:rsid w:val="006E0989"/>
    <w:rsid w:val="006E1140"/>
    <w:rsid w:val="006E25FC"/>
    <w:rsid w:val="006E2EE8"/>
    <w:rsid w:val="006E3A7D"/>
    <w:rsid w:val="006E45D9"/>
    <w:rsid w:val="006E6042"/>
    <w:rsid w:val="006E662A"/>
    <w:rsid w:val="006F0BEB"/>
    <w:rsid w:val="006F166F"/>
    <w:rsid w:val="006F1E62"/>
    <w:rsid w:val="006F24A8"/>
    <w:rsid w:val="006F314B"/>
    <w:rsid w:val="006F38AF"/>
    <w:rsid w:val="006F3E3B"/>
    <w:rsid w:val="006F4FDA"/>
    <w:rsid w:val="006F59BB"/>
    <w:rsid w:val="006F7C10"/>
    <w:rsid w:val="006F7D58"/>
    <w:rsid w:val="00701E37"/>
    <w:rsid w:val="00702FD4"/>
    <w:rsid w:val="0070361A"/>
    <w:rsid w:val="00704838"/>
    <w:rsid w:val="00704C3D"/>
    <w:rsid w:val="007053C2"/>
    <w:rsid w:val="00706502"/>
    <w:rsid w:val="007078FF"/>
    <w:rsid w:val="00707F33"/>
    <w:rsid w:val="007117B4"/>
    <w:rsid w:val="00712103"/>
    <w:rsid w:val="00712C80"/>
    <w:rsid w:val="00712DEC"/>
    <w:rsid w:val="00712E3E"/>
    <w:rsid w:val="007141AB"/>
    <w:rsid w:val="007141EB"/>
    <w:rsid w:val="007141F0"/>
    <w:rsid w:val="00716155"/>
    <w:rsid w:val="007164B3"/>
    <w:rsid w:val="007165E6"/>
    <w:rsid w:val="00717681"/>
    <w:rsid w:val="007176AA"/>
    <w:rsid w:val="007200A0"/>
    <w:rsid w:val="00720AE6"/>
    <w:rsid w:val="00720FAA"/>
    <w:rsid w:val="00721373"/>
    <w:rsid w:val="00721503"/>
    <w:rsid w:val="00721676"/>
    <w:rsid w:val="007217A3"/>
    <w:rsid w:val="00721981"/>
    <w:rsid w:val="00723866"/>
    <w:rsid w:val="00725C6F"/>
    <w:rsid w:val="00726300"/>
    <w:rsid w:val="00726594"/>
    <w:rsid w:val="00730FF1"/>
    <w:rsid w:val="007314E0"/>
    <w:rsid w:val="00732F6F"/>
    <w:rsid w:val="00733233"/>
    <w:rsid w:val="0073409C"/>
    <w:rsid w:val="00735C89"/>
    <w:rsid w:val="00736706"/>
    <w:rsid w:val="00737388"/>
    <w:rsid w:val="00740A13"/>
    <w:rsid w:val="00742EBE"/>
    <w:rsid w:val="007444BF"/>
    <w:rsid w:val="00744B92"/>
    <w:rsid w:val="007452F3"/>
    <w:rsid w:val="0074638E"/>
    <w:rsid w:val="0074784B"/>
    <w:rsid w:val="00754CD2"/>
    <w:rsid w:val="00756DF9"/>
    <w:rsid w:val="007610C6"/>
    <w:rsid w:val="00764E94"/>
    <w:rsid w:val="0076624C"/>
    <w:rsid w:val="00771AE7"/>
    <w:rsid w:val="00771C40"/>
    <w:rsid w:val="00771D59"/>
    <w:rsid w:val="007725F9"/>
    <w:rsid w:val="007727AA"/>
    <w:rsid w:val="00772DF4"/>
    <w:rsid w:val="00773327"/>
    <w:rsid w:val="00774241"/>
    <w:rsid w:val="0077444A"/>
    <w:rsid w:val="00774640"/>
    <w:rsid w:val="00774CC9"/>
    <w:rsid w:val="00774D23"/>
    <w:rsid w:val="0077596F"/>
    <w:rsid w:val="007766B3"/>
    <w:rsid w:val="00776A35"/>
    <w:rsid w:val="00780CE5"/>
    <w:rsid w:val="0078259E"/>
    <w:rsid w:val="00785CB8"/>
    <w:rsid w:val="00786235"/>
    <w:rsid w:val="0079054B"/>
    <w:rsid w:val="007918BF"/>
    <w:rsid w:val="007930D7"/>
    <w:rsid w:val="00793662"/>
    <w:rsid w:val="00793976"/>
    <w:rsid w:val="007946E2"/>
    <w:rsid w:val="00795B1F"/>
    <w:rsid w:val="007962E5"/>
    <w:rsid w:val="007A0798"/>
    <w:rsid w:val="007A201F"/>
    <w:rsid w:val="007A2557"/>
    <w:rsid w:val="007A34B5"/>
    <w:rsid w:val="007A4858"/>
    <w:rsid w:val="007A48B4"/>
    <w:rsid w:val="007A4E5B"/>
    <w:rsid w:val="007A643B"/>
    <w:rsid w:val="007B1DC2"/>
    <w:rsid w:val="007B3C02"/>
    <w:rsid w:val="007B4ADB"/>
    <w:rsid w:val="007B6FA1"/>
    <w:rsid w:val="007C243E"/>
    <w:rsid w:val="007C3192"/>
    <w:rsid w:val="007C41CF"/>
    <w:rsid w:val="007C4362"/>
    <w:rsid w:val="007D017B"/>
    <w:rsid w:val="007D3924"/>
    <w:rsid w:val="007D3D9D"/>
    <w:rsid w:val="007D5BB8"/>
    <w:rsid w:val="007D68E7"/>
    <w:rsid w:val="007E0027"/>
    <w:rsid w:val="007E026B"/>
    <w:rsid w:val="007E078F"/>
    <w:rsid w:val="007E1EED"/>
    <w:rsid w:val="007E359A"/>
    <w:rsid w:val="007E371E"/>
    <w:rsid w:val="007E44B7"/>
    <w:rsid w:val="007E50F4"/>
    <w:rsid w:val="007E64A7"/>
    <w:rsid w:val="007E72B2"/>
    <w:rsid w:val="007E7615"/>
    <w:rsid w:val="007F339D"/>
    <w:rsid w:val="007F3AD0"/>
    <w:rsid w:val="007F417B"/>
    <w:rsid w:val="007F54B6"/>
    <w:rsid w:val="007F78FE"/>
    <w:rsid w:val="007F7B99"/>
    <w:rsid w:val="008008E0"/>
    <w:rsid w:val="008009C6"/>
    <w:rsid w:val="00800BEA"/>
    <w:rsid w:val="00802F08"/>
    <w:rsid w:val="00803531"/>
    <w:rsid w:val="00803F9A"/>
    <w:rsid w:val="00805CCF"/>
    <w:rsid w:val="008071C7"/>
    <w:rsid w:val="00810771"/>
    <w:rsid w:val="00811753"/>
    <w:rsid w:val="00812A34"/>
    <w:rsid w:val="00815763"/>
    <w:rsid w:val="0082159B"/>
    <w:rsid w:val="00822102"/>
    <w:rsid w:val="008242A0"/>
    <w:rsid w:val="00824CC6"/>
    <w:rsid w:val="00826530"/>
    <w:rsid w:val="008274F8"/>
    <w:rsid w:val="00830071"/>
    <w:rsid w:val="00831613"/>
    <w:rsid w:val="00833280"/>
    <w:rsid w:val="00834025"/>
    <w:rsid w:val="00834878"/>
    <w:rsid w:val="00837753"/>
    <w:rsid w:val="00843679"/>
    <w:rsid w:val="008476EC"/>
    <w:rsid w:val="00852C34"/>
    <w:rsid w:val="00852E7A"/>
    <w:rsid w:val="00852E7C"/>
    <w:rsid w:val="008534EF"/>
    <w:rsid w:val="008539B7"/>
    <w:rsid w:val="00855CA5"/>
    <w:rsid w:val="00860948"/>
    <w:rsid w:val="00860BC5"/>
    <w:rsid w:val="00862027"/>
    <w:rsid w:val="00862BBF"/>
    <w:rsid w:val="00862EB3"/>
    <w:rsid w:val="00863EB6"/>
    <w:rsid w:val="00867D86"/>
    <w:rsid w:val="00870440"/>
    <w:rsid w:val="00870E9F"/>
    <w:rsid w:val="00873F29"/>
    <w:rsid w:val="00873F33"/>
    <w:rsid w:val="00874F8E"/>
    <w:rsid w:val="008751E3"/>
    <w:rsid w:val="00877FFE"/>
    <w:rsid w:val="0088076A"/>
    <w:rsid w:val="0088089C"/>
    <w:rsid w:val="00883C95"/>
    <w:rsid w:val="00884C1F"/>
    <w:rsid w:val="0088619A"/>
    <w:rsid w:val="008866A9"/>
    <w:rsid w:val="0088691B"/>
    <w:rsid w:val="0088718C"/>
    <w:rsid w:val="0089045B"/>
    <w:rsid w:val="008910A7"/>
    <w:rsid w:val="00891646"/>
    <w:rsid w:val="0089329A"/>
    <w:rsid w:val="00894BAC"/>
    <w:rsid w:val="0089633E"/>
    <w:rsid w:val="0089700D"/>
    <w:rsid w:val="008A1873"/>
    <w:rsid w:val="008A2395"/>
    <w:rsid w:val="008A4535"/>
    <w:rsid w:val="008A4FBD"/>
    <w:rsid w:val="008A5FCD"/>
    <w:rsid w:val="008A6625"/>
    <w:rsid w:val="008B15B3"/>
    <w:rsid w:val="008B2B62"/>
    <w:rsid w:val="008B3733"/>
    <w:rsid w:val="008B46D1"/>
    <w:rsid w:val="008B5201"/>
    <w:rsid w:val="008B5944"/>
    <w:rsid w:val="008B5B19"/>
    <w:rsid w:val="008B689C"/>
    <w:rsid w:val="008B6C0B"/>
    <w:rsid w:val="008B7AA4"/>
    <w:rsid w:val="008C00FC"/>
    <w:rsid w:val="008C041C"/>
    <w:rsid w:val="008C2392"/>
    <w:rsid w:val="008C330D"/>
    <w:rsid w:val="008C5E9B"/>
    <w:rsid w:val="008C6040"/>
    <w:rsid w:val="008C717E"/>
    <w:rsid w:val="008D0767"/>
    <w:rsid w:val="008D1A1F"/>
    <w:rsid w:val="008D4054"/>
    <w:rsid w:val="008D6401"/>
    <w:rsid w:val="008E1C55"/>
    <w:rsid w:val="008E1F34"/>
    <w:rsid w:val="008E2C25"/>
    <w:rsid w:val="008E743B"/>
    <w:rsid w:val="008F1A79"/>
    <w:rsid w:val="008F2951"/>
    <w:rsid w:val="008F2A8D"/>
    <w:rsid w:val="008F2AAA"/>
    <w:rsid w:val="008F2F09"/>
    <w:rsid w:val="008F398F"/>
    <w:rsid w:val="008F3BA8"/>
    <w:rsid w:val="008F4D6E"/>
    <w:rsid w:val="008F517D"/>
    <w:rsid w:val="008F5B95"/>
    <w:rsid w:val="008F7C05"/>
    <w:rsid w:val="009003BD"/>
    <w:rsid w:val="0090043D"/>
    <w:rsid w:val="00901B74"/>
    <w:rsid w:val="00902F9D"/>
    <w:rsid w:val="0090376B"/>
    <w:rsid w:val="00904AE1"/>
    <w:rsid w:val="009055ED"/>
    <w:rsid w:val="0090670E"/>
    <w:rsid w:val="0090781E"/>
    <w:rsid w:val="0091071C"/>
    <w:rsid w:val="00910F43"/>
    <w:rsid w:val="0091108B"/>
    <w:rsid w:val="00911149"/>
    <w:rsid w:val="00912E10"/>
    <w:rsid w:val="009147FF"/>
    <w:rsid w:val="009154B5"/>
    <w:rsid w:val="00915FBC"/>
    <w:rsid w:val="009169F4"/>
    <w:rsid w:val="00917477"/>
    <w:rsid w:val="009213F9"/>
    <w:rsid w:val="009251E5"/>
    <w:rsid w:val="009256A5"/>
    <w:rsid w:val="00926DAD"/>
    <w:rsid w:val="00933B8A"/>
    <w:rsid w:val="00933DA8"/>
    <w:rsid w:val="00934CB8"/>
    <w:rsid w:val="00936BB8"/>
    <w:rsid w:val="00937494"/>
    <w:rsid w:val="00940B90"/>
    <w:rsid w:val="009428E5"/>
    <w:rsid w:val="00942CDB"/>
    <w:rsid w:val="0094300F"/>
    <w:rsid w:val="00944B7B"/>
    <w:rsid w:val="0095088B"/>
    <w:rsid w:val="00960165"/>
    <w:rsid w:val="009615C9"/>
    <w:rsid w:val="00962774"/>
    <w:rsid w:val="00963048"/>
    <w:rsid w:val="00964F65"/>
    <w:rsid w:val="00964FD3"/>
    <w:rsid w:val="00965798"/>
    <w:rsid w:val="0096679D"/>
    <w:rsid w:val="009717C0"/>
    <w:rsid w:val="00974122"/>
    <w:rsid w:val="00974ECA"/>
    <w:rsid w:val="009758F4"/>
    <w:rsid w:val="0097682D"/>
    <w:rsid w:val="00983F95"/>
    <w:rsid w:val="00986255"/>
    <w:rsid w:val="00990BE5"/>
    <w:rsid w:val="00990E42"/>
    <w:rsid w:val="00993D7F"/>
    <w:rsid w:val="00993F73"/>
    <w:rsid w:val="00994134"/>
    <w:rsid w:val="0099528E"/>
    <w:rsid w:val="00996ABE"/>
    <w:rsid w:val="00997255"/>
    <w:rsid w:val="009A14EF"/>
    <w:rsid w:val="009A2760"/>
    <w:rsid w:val="009A45B6"/>
    <w:rsid w:val="009A4A89"/>
    <w:rsid w:val="009A50CA"/>
    <w:rsid w:val="009A6F32"/>
    <w:rsid w:val="009A70DB"/>
    <w:rsid w:val="009A77F1"/>
    <w:rsid w:val="009B2F7F"/>
    <w:rsid w:val="009B3671"/>
    <w:rsid w:val="009B46C7"/>
    <w:rsid w:val="009C08C9"/>
    <w:rsid w:val="009C15E9"/>
    <w:rsid w:val="009C282C"/>
    <w:rsid w:val="009C286E"/>
    <w:rsid w:val="009C2A6A"/>
    <w:rsid w:val="009C40DD"/>
    <w:rsid w:val="009C4A2A"/>
    <w:rsid w:val="009C5482"/>
    <w:rsid w:val="009C7E50"/>
    <w:rsid w:val="009D1A88"/>
    <w:rsid w:val="009D1F66"/>
    <w:rsid w:val="009D464D"/>
    <w:rsid w:val="009D4EBC"/>
    <w:rsid w:val="009D65AC"/>
    <w:rsid w:val="009D7226"/>
    <w:rsid w:val="009D7D04"/>
    <w:rsid w:val="009E01D6"/>
    <w:rsid w:val="009E0395"/>
    <w:rsid w:val="009E136B"/>
    <w:rsid w:val="009E401D"/>
    <w:rsid w:val="009E45EB"/>
    <w:rsid w:val="009E5C1B"/>
    <w:rsid w:val="009E5F6C"/>
    <w:rsid w:val="009E6924"/>
    <w:rsid w:val="009E71D4"/>
    <w:rsid w:val="009F0322"/>
    <w:rsid w:val="009F12DE"/>
    <w:rsid w:val="009F1D61"/>
    <w:rsid w:val="009F32CA"/>
    <w:rsid w:val="009F3CB7"/>
    <w:rsid w:val="00A00C23"/>
    <w:rsid w:val="00A02544"/>
    <w:rsid w:val="00A042D4"/>
    <w:rsid w:val="00A04B8F"/>
    <w:rsid w:val="00A0502C"/>
    <w:rsid w:val="00A07762"/>
    <w:rsid w:val="00A0794E"/>
    <w:rsid w:val="00A07B21"/>
    <w:rsid w:val="00A10124"/>
    <w:rsid w:val="00A10166"/>
    <w:rsid w:val="00A10970"/>
    <w:rsid w:val="00A1345E"/>
    <w:rsid w:val="00A14513"/>
    <w:rsid w:val="00A1662B"/>
    <w:rsid w:val="00A16CFF"/>
    <w:rsid w:val="00A17253"/>
    <w:rsid w:val="00A17995"/>
    <w:rsid w:val="00A17AB4"/>
    <w:rsid w:val="00A2018E"/>
    <w:rsid w:val="00A20855"/>
    <w:rsid w:val="00A241B0"/>
    <w:rsid w:val="00A25A98"/>
    <w:rsid w:val="00A26567"/>
    <w:rsid w:val="00A26EE2"/>
    <w:rsid w:val="00A307FD"/>
    <w:rsid w:val="00A311ED"/>
    <w:rsid w:val="00A31600"/>
    <w:rsid w:val="00A3273D"/>
    <w:rsid w:val="00A32999"/>
    <w:rsid w:val="00A339A7"/>
    <w:rsid w:val="00A33C1C"/>
    <w:rsid w:val="00A33C95"/>
    <w:rsid w:val="00A33F33"/>
    <w:rsid w:val="00A35FAF"/>
    <w:rsid w:val="00A407D7"/>
    <w:rsid w:val="00A4185B"/>
    <w:rsid w:val="00A4202C"/>
    <w:rsid w:val="00A42C5A"/>
    <w:rsid w:val="00A430E5"/>
    <w:rsid w:val="00A432CE"/>
    <w:rsid w:val="00A466E4"/>
    <w:rsid w:val="00A50C23"/>
    <w:rsid w:val="00A5322A"/>
    <w:rsid w:val="00A534BC"/>
    <w:rsid w:val="00A536E5"/>
    <w:rsid w:val="00A61557"/>
    <w:rsid w:val="00A62508"/>
    <w:rsid w:val="00A635FB"/>
    <w:rsid w:val="00A658D1"/>
    <w:rsid w:val="00A658E4"/>
    <w:rsid w:val="00A667FF"/>
    <w:rsid w:val="00A6680E"/>
    <w:rsid w:val="00A66A4B"/>
    <w:rsid w:val="00A732DB"/>
    <w:rsid w:val="00A73CFA"/>
    <w:rsid w:val="00A77E89"/>
    <w:rsid w:val="00A85C52"/>
    <w:rsid w:val="00A874B9"/>
    <w:rsid w:val="00A9231C"/>
    <w:rsid w:val="00A9381A"/>
    <w:rsid w:val="00A94B78"/>
    <w:rsid w:val="00A9605E"/>
    <w:rsid w:val="00A96367"/>
    <w:rsid w:val="00A97BDD"/>
    <w:rsid w:val="00AA0099"/>
    <w:rsid w:val="00AA0673"/>
    <w:rsid w:val="00AA1326"/>
    <w:rsid w:val="00AA3A86"/>
    <w:rsid w:val="00AA511B"/>
    <w:rsid w:val="00AA5769"/>
    <w:rsid w:val="00AA6132"/>
    <w:rsid w:val="00AA6A1D"/>
    <w:rsid w:val="00AA714A"/>
    <w:rsid w:val="00AA74B4"/>
    <w:rsid w:val="00AA7A72"/>
    <w:rsid w:val="00AB1C98"/>
    <w:rsid w:val="00AB4B51"/>
    <w:rsid w:val="00AB58EF"/>
    <w:rsid w:val="00AB5C4F"/>
    <w:rsid w:val="00AB64D6"/>
    <w:rsid w:val="00AB6B62"/>
    <w:rsid w:val="00AB7035"/>
    <w:rsid w:val="00AC00A8"/>
    <w:rsid w:val="00AC0197"/>
    <w:rsid w:val="00AC3063"/>
    <w:rsid w:val="00AC4A5F"/>
    <w:rsid w:val="00AC65B1"/>
    <w:rsid w:val="00AC759A"/>
    <w:rsid w:val="00AD2013"/>
    <w:rsid w:val="00AD2472"/>
    <w:rsid w:val="00AD4F9A"/>
    <w:rsid w:val="00AD5C84"/>
    <w:rsid w:val="00AD6206"/>
    <w:rsid w:val="00AD6A3E"/>
    <w:rsid w:val="00AD741D"/>
    <w:rsid w:val="00AD7F78"/>
    <w:rsid w:val="00AD7FF1"/>
    <w:rsid w:val="00AE2802"/>
    <w:rsid w:val="00AE370E"/>
    <w:rsid w:val="00AE5A7B"/>
    <w:rsid w:val="00AE5C3B"/>
    <w:rsid w:val="00AE6EB9"/>
    <w:rsid w:val="00AE7785"/>
    <w:rsid w:val="00AF0116"/>
    <w:rsid w:val="00AF240D"/>
    <w:rsid w:val="00AF2632"/>
    <w:rsid w:val="00AF3ACF"/>
    <w:rsid w:val="00AF4F03"/>
    <w:rsid w:val="00AF5539"/>
    <w:rsid w:val="00AF66C9"/>
    <w:rsid w:val="00AF7FAD"/>
    <w:rsid w:val="00B05334"/>
    <w:rsid w:val="00B128AB"/>
    <w:rsid w:val="00B13D3F"/>
    <w:rsid w:val="00B13D81"/>
    <w:rsid w:val="00B157D1"/>
    <w:rsid w:val="00B1589F"/>
    <w:rsid w:val="00B16879"/>
    <w:rsid w:val="00B17B13"/>
    <w:rsid w:val="00B2164F"/>
    <w:rsid w:val="00B2436C"/>
    <w:rsid w:val="00B27868"/>
    <w:rsid w:val="00B31026"/>
    <w:rsid w:val="00B31250"/>
    <w:rsid w:val="00B3363E"/>
    <w:rsid w:val="00B3498E"/>
    <w:rsid w:val="00B35452"/>
    <w:rsid w:val="00B3564E"/>
    <w:rsid w:val="00B36ABD"/>
    <w:rsid w:val="00B37866"/>
    <w:rsid w:val="00B419B4"/>
    <w:rsid w:val="00B41D20"/>
    <w:rsid w:val="00B43248"/>
    <w:rsid w:val="00B437E0"/>
    <w:rsid w:val="00B438A9"/>
    <w:rsid w:val="00B46502"/>
    <w:rsid w:val="00B505D4"/>
    <w:rsid w:val="00B5248A"/>
    <w:rsid w:val="00B52490"/>
    <w:rsid w:val="00B524B8"/>
    <w:rsid w:val="00B527D5"/>
    <w:rsid w:val="00B53886"/>
    <w:rsid w:val="00B55049"/>
    <w:rsid w:val="00B55E38"/>
    <w:rsid w:val="00B565B5"/>
    <w:rsid w:val="00B56FAC"/>
    <w:rsid w:val="00B60825"/>
    <w:rsid w:val="00B64E53"/>
    <w:rsid w:val="00B64F78"/>
    <w:rsid w:val="00B65D69"/>
    <w:rsid w:val="00B662D0"/>
    <w:rsid w:val="00B72C7E"/>
    <w:rsid w:val="00B73F21"/>
    <w:rsid w:val="00B7795E"/>
    <w:rsid w:val="00B77D5A"/>
    <w:rsid w:val="00B80B40"/>
    <w:rsid w:val="00B81B6D"/>
    <w:rsid w:val="00B82F75"/>
    <w:rsid w:val="00B83D4D"/>
    <w:rsid w:val="00B8415B"/>
    <w:rsid w:val="00B84EB8"/>
    <w:rsid w:val="00B851EF"/>
    <w:rsid w:val="00B85559"/>
    <w:rsid w:val="00B91606"/>
    <w:rsid w:val="00B92A42"/>
    <w:rsid w:val="00B93AE6"/>
    <w:rsid w:val="00B93CDE"/>
    <w:rsid w:val="00B95A8B"/>
    <w:rsid w:val="00B96A26"/>
    <w:rsid w:val="00B96E09"/>
    <w:rsid w:val="00BA14A3"/>
    <w:rsid w:val="00BA4391"/>
    <w:rsid w:val="00BA45F3"/>
    <w:rsid w:val="00BA5AE3"/>
    <w:rsid w:val="00BB3071"/>
    <w:rsid w:val="00BB3BE3"/>
    <w:rsid w:val="00BB52E3"/>
    <w:rsid w:val="00BB6020"/>
    <w:rsid w:val="00BB769E"/>
    <w:rsid w:val="00BC21EB"/>
    <w:rsid w:val="00BC2461"/>
    <w:rsid w:val="00BC2ACF"/>
    <w:rsid w:val="00BC564D"/>
    <w:rsid w:val="00BC6BF4"/>
    <w:rsid w:val="00BC708D"/>
    <w:rsid w:val="00BC723F"/>
    <w:rsid w:val="00BC757F"/>
    <w:rsid w:val="00BD01F7"/>
    <w:rsid w:val="00BD0FEA"/>
    <w:rsid w:val="00BD2550"/>
    <w:rsid w:val="00BD296D"/>
    <w:rsid w:val="00BD4709"/>
    <w:rsid w:val="00BD4861"/>
    <w:rsid w:val="00BD4968"/>
    <w:rsid w:val="00BD5828"/>
    <w:rsid w:val="00BD68A5"/>
    <w:rsid w:val="00BE1260"/>
    <w:rsid w:val="00BE1486"/>
    <w:rsid w:val="00BE1A1A"/>
    <w:rsid w:val="00BE4720"/>
    <w:rsid w:val="00BE5C06"/>
    <w:rsid w:val="00BE5DC2"/>
    <w:rsid w:val="00BF0E67"/>
    <w:rsid w:val="00BF5CC6"/>
    <w:rsid w:val="00BF64BC"/>
    <w:rsid w:val="00C00357"/>
    <w:rsid w:val="00C01586"/>
    <w:rsid w:val="00C067DA"/>
    <w:rsid w:val="00C06876"/>
    <w:rsid w:val="00C074EC"/>
    <w:rsid w:val="00C07713"/>
    <w:rsid w:val="00C10C15"/>
    <w:rsid w:val="00C11DCD"/>
    <w:rsid w:val="00C1428F"/>
    <w:rsid w:val="00C1507F"/>
    <w:rsid w:val="00C162FF"/>
    <w:rsid w:val="00C17BAE"/>
    <w:rsid w:val="00C20A5C"/>
    <w:rsid w:val="00C2142C"/>
    <w:rsid w:val="00C2196B"/>
    <w:rsid w:val="00C2232F"/>
    <w:rsid w:val="00C22FB2"/>
    <w:rsid w:val="00C232F6"/>
    <w:rsid w:val="00C24E0F"/>
    <w:rsid w:val="00C25494"/>
    <w:rsid w:val="00C25F6E"/>
    <w:rsid w:val="00C27B24"/>
    <w:rsid w:val="00C31DF6"/>
    <w:rsid w:val="00C32662"/>
    <w:rsid w:val="00C34438"/>
    <w:rsid w:val="00C35BB7"/>
    <w:rsid w:val="00C368B3"/>
    <w:rsid w:val="00C3798D"/>
    <w:rsid w:val="00C46142"/>
    <w:rsid w:val="00C47070"/>
    <w:rsid w:val="00C51FFF"/>
    <w:rsid w:val="00C52404"/>
    <w:rsid w:val="00C54C2B"/>
    <w:rsid w:val="00C5532D"/>
    <w:rsid w:val="00C56FA7"/>
    <w:rsid w:val="00C60030"/>
    <w:rsid w:val="00C63E9D"/>
    <w:rsid w:val="00C6727A"/>
    <w:rsid w:val="00C70DC5"/>
    <w:rsid w:val="00C71EC7"/>
    <w:rsid w:val="00C71ED8"/>
    <w:rsid w:val="00C72937"/>
    <w:rsid w:val="00C74B4F"/>
    <w:rsid w:val="00C75040"/>
    <w:rsid w:val="00C75A16"/>
    <w:rsid w:val="00C75EC7"/>
    <w:rsid w:val="00C763DD"/>
    <w:rsid w:val="00C76B78"/>
    <w:rsid w:val="00C779CF"/>
    <w:rsid w:val="00C77B2A"/>
    <w:rsid w:val="00C8026C"/>
    <w:rsid w:val="00C85CE7"/>
    <w:rsid w:val="00C91367"/>
    <w:rsid w:val="00C91939"/>
    <w:rsid w:val="00C91E8E"/>
    <w:rsid w:val="00C92257"/>
    <w:rsid w:val="00C92A8F"/>
    <w:rsid w:val="00C962D3"/>
    <w:rsid w:val="00C962D4"/>
    <w:rsid w:val="00CA1DC0"/>
    <w:rsid w:val="00CA3CF2"/>
    <w:rsid w:val="00CA5C5A"/>
    <w:rsid w:val="00CA778D"/>
    <w:rsid w:val="00CB05F1"/>
    <w:rsid w:val="00CB179F"/>
    <w:rsid w:val="00CB2156"/>
    <w:rsid w:val="00CB3AC7"/>
    <w:rsid w:val="00CB4B23"/>
    <w:rsid w:val="00CB4D0D"/>
    <w:rsid w:val="00CB5D22"/>
    <w:rsid w:val="00CB5D8A"/>
    <w:rsid w:val="00CB65EA"/>
    <w:rsid w:val="00CC156E"/>
    <w:rsid w:val="00CC31B5"/>
    <w:rsid w:val="00CC4004"/>
    <w:rsid w:val="00CC4FD1"/>
    <w:rsid w:val="00CC5A30"/>
    <w:rsid w:val="00CC6E0A"/>
    <w:rsid w:val="00CC712F"/>
    <w:rsid w:val="00CD0E61"/>
    <w:rsid w:val="00CD108D"/>
    <w:rsid w:val="00CD1384"/>
    <w:rsid w:val="00CD22D7"/>
    <w:rsid w:val="00CD2BB5"/>
    <w:rsid w:val="00CD4DDD"/>
    <w:rsid w:val="00CD5AC6"/>
    <w:rsid w:val="00CD6D46"/>
    <w:rsid w:val="00CE0393"/>
    <w:rsid w:val="00CE1A37"/>
    <w:rsid w:val="00CE72D0"/>
    <w:rsid w:val="00CE745C"/>
    <w:rsid w:val="00CF114E"/>
    <w:rsid w:val="00CF21EB"/>
    <w:rsid w:val="00CF385B"/>
    <w:rsid w:val="00D02EB9"/>
    <w:rsid w:val="00D052D8"/>
    <w:rsid w:val="00D07986"/>
    <w:rsid w:val="00D10D84"/>
    <w:rsid w:val="00D129D7"/>
    <w:rsid w:val="00D1349B"/>
    <w:rsid w:val="00D1399B"/>
    <w:rsid w:val="00D13A2C"/>
    <w:rsid w:val="00D13CAB"/>
    <w:rsid w:val="00D157F8"/>
    <w:rsid w:val="00D16596"/>
    <w:rsid w:val="00D173D3"/>
    <w:rsid w:val="00D2041A"/>
    <w:rsid w:val="00D21AF6"/>
    <w:rsid w:val="00D24AE6"/>
    <w:rsid w:val="00D2555C"/>
    <w:rsid w:val="00D2577E"/>
    <w:rsid w:val="00D30341"/>
    <w:rsid w:val="00D31D06"/>
    <w:rsid w:val="00D3408E"/>
    <w:rsid w:val="00D351E0"/>
    <w:rsid w:val="00D35D40"/>
    <w:rsid w:val="00D40318"/>
    <w:rsid w:val="00D43431"/>
    <w:rsid w:val="00D4596B"/>
    <w:rsid w:val="00D516ED"/>
    <w:rsid w:val="00D55CBF"/>
    <w:rsid w:val="00D6053F"/>
    <w:rsid w:val="00D62546"/>
    <w:rsid w:val="00D64C10"/>
    <w:rsid w:val="00D65623"/>
    <w:rsid w:val="00D65FD4"/>
    <w:rsid w:val="00D663BC"/>
    <w:rsid w:val="00D66656"/>
    <w:rsid w:val="00D67BD9"/>
    <w:rsid w:val="00D72808"/>
    <w:rsid w:val="00D72C69"/>
    <w:rsid w:val="00D73CD3"/>
    <w:rsid w:val="00D77B22"/>
    <w:rsid w:val="00D8108C"/>
    <w:rsid w:val="00D82443"/>
    <w:rsid w:val="00D82492"/>
    <w:rsid w:val="00D84D2F"/>
    <w:rsid w:val="00D925A9"/>
    <w:rsid w:val="00D9753D"/>
    <w:rsid w:val="00D97DDB"/>
    <w:rsid w:val="00DA3A36"/>
    <w:rsid w:val="00DA3FA7"/>
    <w:rsid w:val="00DA62F9"/>
    <w:rsid w:val="00DA6A92"/>
    <w:rsid w:val="00DA7679"/>
    <w:rsid w:val="00DB1710"/>
    <w:rsid w:val="00DB27AF"/>
    <w:rsid w:val="00DB42DF"/>
    <w:rsid w:val="00DB454E"/>
    <w:rsid w:val="00DB5A16"/>
    <w:rsid w:val="00DC08C5"/>
    <w:rsid w:val="00DC31E2"/>
    <w:rsid w:val="00DC437D"/>
    <w:rsid w:val="00DC604A"/>
    <w:rsid w:val="00DC6327"/>
    <w:rsid w:val="00DC6529"/>
    <w:rsid w:val="00DC6817"/>
    <w:rsid w:val="00DC6B29"/>
    <w:rsid w:val="00DC6DEB"/>
    <w:rsid w:val="00DD0F32"/>
    <w:rsid w:val="00DD43A5"/>
    <w:rsid w:val="00DD4FCA"/>
    <w:rsid w:val="00DD5107"/>
    <w:rsid w:val="00DD5645"/>
    <w:rsid w:val="00DD65DD"/>
    <w:rsid w:val="00DE03EB"/>
    <w:rsid w:val="00DE08B9"/>
    <w:rsid w:val="00DE2366"/>
    <w:rsid w:val="00DE33B4"/>
    <w:rsid w:val="00DE39A6"/>
    <w:rsid w:val="00DE4E3E"/>
    <w:rsid w:val="00DE504E"/>
    <w:rsid w:val="00DE5291"/>
    <w:rsid w:val="00DE79D5"/>
    <w:rsid w:val="00DF007C"/>
    <w:rsid w:val="00DF0103"/>
    <w:rsid w:val="00DF1906"/>
    <w:rsid w:val="00DF3393"/>
    <w:rsid w:val="00DF5DAE"/>
    <w:rsid w:val="00DF6800"/>
    <w:rsid w:val="00DF6CED"/>
    <w:rsid w:val="00E0343B"/>
    <w:rsid w:val="00E0657F"/>
    <w:rsid w:val="00E06E60"/>
    <w:rsid w:val="00E106A6"/>
    <w:rsid w:val="00E11DAC"/>
    <w:rsid w:val="00E12041"/>
    <w:rsid w:val="00E12CDA"/>
    <w:rsid w:val="00E12E8C"/>
    <w:rsid w:val="00E12F3F"/>
    <w:rsid w:val="00E15B48"/>
    <w:rsid w:val="00E171A7"/>
    <w:rsid w:val="00E17848"/>
    <w:rsid w:val="00E20851"/>
    <w:rsid w:val="00E21E85"/>
    <w:rsid w:val="00E251D0"/>
    <w:rsid w:val="00E269AD"/>
    <w:rsid w:val="00E26A1D"/>
    <w:rsid w:val="00E26EE4"/>
    <w:rsid w:val="00E314FC"/>
    <w:rsid w:val="00E319E5"/>
    <w:rsid w:val="00E32235"/>
    <w:rsid w:val="00E329F8"/>
    <w:rsid w:val="00E34755"/>
    <w:rsid w:val="00E34AD3"/>
    <w:rsid w:val="00E35ACB"/>
    <w:rsid w:val="00E376F9"/>
    <w:rsid w:val="00E428ED"/>
    <w:rsid w:val="00E43832"/>
    <w:rsid w:val="00E43AA0"/>
    <w:rsid w:val="00E51C69"/>
    <w:rsid w:val="00E51FA0"/>
    <w:rsid w:val="00E5221D"/>
    <w:rsid w:val="00E52A8A"/>
    <w:rsid w:val="00E52C3B"/>
    <w:rsid w:val="00E53480"/>
    <w:rsid w:val="00E54600"/>
    <w:rsid w:val="00E55B41"/>
    <w:rsid w:val="00E564A7"/>
    <w:rsid w:val="00E56D3F"/>
    <w:rsid w:val="00E62901"/>
    <w:rsid w:val="00E63E2A"/>
    <w:rsid w:val="00E64BD9"/>
    <w:rsid w:val="00E67E9F"/>
    <w:rsid w:val="00E715C4"/>
    <w:rsid w:val="00E7253E"/>
    <w:rsid w:val="00E74F99"/>
    <w:rsid w:val="00E757C0"/>
    <w:rsid w:val="00E75960"/>
    <w:rsid w:val="00E75E79"/>
    <w:rsid w:val="00E77788"/>
    <w:rsid w:val="00E80C01"/>
    <w:rsid w:val="00E8329D"/>
    <w:rsid w:val="00E838AD"/>
    <w:rsid w:val="00E83DC7"/>
    <w:rsid w:val="00E840AD"/>
    <w:rsid w:val="00E841BA"/>
    <w:rsid w:val="00E843B9"/>
    <w:rsid w:val="00E84A76"/>
    <w:rsid w:val="00E866D7"/>
    <w:rsid w:val="00E86F4C"/>
    <w:rsid w:val="00E9149B"/>
    <w:rsid w:val="00E92807"/>
    <w:rsid w:val="00E93697"/>
    <w:rsid w:val="00E93FB5"/>
    <w:rsid w:val="00E9462A"/>
    <w:rsid w:val="00E955BB"/>
    <w:rsid w:val="00E9591B"/>
    <w:rsid w:val="00E95A6E"/>
    <w:rsid w:val="00E9678C"/>
    <w:rsid w:val="00EA00F7"/>
    <w:rsid w:val="00EA0F6C"/>
    <w:rsid w:val="00EA14ED"/>
    <w:rsid w:val="00EA1C19"/>
    <w:rsid w:val="00EA3323"/>
    <w:rsid w:val="00EA3D4D"/>
    <w:rsid w:val="00EA6C1D"/>
    <w:rsid w:val="00EB1CAE"/>
    <w:rsid w:val="00EB3539"/>
    <w:rsid w:val="00EB398A"/>
    <w:rsid w:val="00EB5BF6"/>
    <w:rsid w:val="00EB60E3"/>
    <w:rsid w:val="00EB736D"/>
    <w:rsid w:val="00EB741B"/>
    <w:rsid w:val="00EB7E06"/>
    <w:rsid w:val="00EC0262"/>
    <w:rsid w:val="00EC03FB"/>
    <w:rsid w:val="00EC04B4"/>
    <w:rsid w:val="00EC086A"/>
    <w:rsid w:val="00EC15A8"/>
    <w:rsid w:val="00EC3B93"/>
    <w:rsid w:val="00EC45A3"/>
    <w:rsid w:val="00ED0EB6"/>
    <w:rsid w:val="00ED205B"/>
    <w:rsid w:val="00ED32C9"/>
    <w:rsid w:val="00ED5086"/>
    <w:rsid w:val="00ED5463"/>
    <w:rsid w:val="00ED5F70"/>
    <w:rsid w:val="00EE17FF"/>
    <w:rsid w:val="00EE1D1D"/>
    <w:rsid w:val="00EE3A22"/>
    <w:rsid w:val="00EE4745"/>
    <w:rsid w:val="00EE6098"/>
    <w:rsid w:val="00EE6A79"/>
    <w:rsid w:val="00EE6C9D"/>
    <w:rsid w:val="00EF3F37"/>
    <w:rsid w:val="00EF46E2"/>
    <w:rsid w:val="00EF4753"/>
    <w:rsid w:val="00EF54D7"/>
    <w:rsid w:val="00F00A5A"/>
    <w:rsid w:val="00F02759"/>
    <w:rsid w:val="00F02FAA"/>
    <w:rsid w:val="00F03612"/>
    <w:rsid w:val="00F03E9E"/>
    <w:rsid w:val="00F04A6E"/>
    <w:rsid w:val="00F05CA1"/>
    <w:rsid w:val="00F07D6C"/>
    <w:rsid w:val="00F10DBD"/>
    <w:rsid w:val="00F13D5B"/>
    <w:rsid w:val="00F14D6E"/>
    <w:rsid w:val="00F1784E"/>
    <w:rsid w:val="00F209B9"/>
    <w:rsid w:val="00F226DC"/>
    <w:rsid w:val="00F23C99"/>
    <w:rsid w:val="00F24085"/>
    <w:rsid w:val="00F24686"/>
    <w:rsid w:val="00F25473"/>
    <w:rsid w:val="00F254D8"/>
    <w:rsid w:val="00F25897"/>
    <w:rsid w:val="00F26B3F"/>
    <w:rsid w:val="00F27746"/>
    <w:rsid w:val="00F32697"/>
    <w:rsid w:val="00F33D96"/>
    <w:rsid w:val="00F33F3B"/>
    <w:rsid w:val="00F34B97"/>
    <w:rsid w:val="00F3546F"/>
    <w:rsid w:val="00F362F8"/>
    <w:rsid w:val="00F36EFF"/>
    <w:rsid w:val="00F40257"/>
    <w:rsid w:val="00F41059"/>
    <w:rsid w:val="00F437F1"/>
    <w:rsid w:val="00F460F0"/>
    <w:rsid w:val="00F51823"/>
    <w:rsid w:val="00F51A78"/>
    <w:rsid w:val="00F5239C"/>
    <w:rsid w:val="00F52C24"/>
    <w:rsid w:val="00F54546"/>
    <w:rsid w:val="00F54950"/>
    <w:rsid w:val="00F54CB0"/>
    <w:rsid w:val="00F55836"/>
    <w:rsid w:val="00F6038A"/>
    <w:rsid w:val="00F611DC"/>
    <w:rsid w:val="00F61BD6"/>
    <w:rsid w:val="00F639E3"/>
    <w:rsid w:val="00F65749"/>
    <w:rsid w:val="00F65B7B"/>
    <w:rsid w:val="00F66128"/>
    <w:rsid w:val="00F665B5"/>
    <w:rsid w:val="00F7002B"/>
    <w:rsid w:val="00F7136B"/>
    <w:rsid w:val="00F750E3"/>
    <w:rsid w:val="00F756E4"/>
    <w:rsid w:val="00F802A8"/>
    <w:rsid w:val="00F80701"/>
    <w:rsid w:val="00F814A7"/>
    <w:rsid w:val="00F82DC2"/>
    <w:rsid w:val="00F82E97"/>
    <w:rsid w:val="00F83191"/>
    <w:rsid w:val="00F83216"/>
    <w:rsid w:val="00F86A40"/>
    <w:rsid w:val="00F87682"/>
    <w:rsid w:val="00F9005C"/>
    <w:rsid w:val="00F9070C"/>
    <w:rsid w:val="00F9276A"/>
    <w:rsid w:val="00F93B72"/>
    <w:rsid w:val="00F94223"/>
    <w:rsid w:val="00F94F2E"/>
    <w:rsid w:val="00F95F92"/>
    <w:rsid w:val="00F964F7"/>
    <w:rsid w:val="00F97E6F"/>
    <w:rsid w:val="00FA2685"/>
    <w:rsid w:val="00FA4C37"/>
    <w:rsid w:val="00FA5169"/>
    <w:rsid w:val="00FA5550"/>
    <w:rsid w:val="00FA5FD1"/>
    <w:rsid w:val="00FA709F"/>
    <w:rsid w:val="00FA7E8F"/>
    <w:rsid w:val="00FB1537"/>
    <w:rsid w:val="00FB1949"/>
    <w:rsid w:val="00FB25FA"/>
    <w:rsid w:val="00FB6548"/>
    <w:rsid w:val="00FB6D6A"/>
    <w:rsid w:val="00FB7360"/>
    <w:rsid w:val="00FB788C"/>
    <w:rsid w:val="00FC0726"/>
    <w:rsid w:val="00FC3B46"/>
    <w:rsid w:val="00FC6031"/>
    <w:rsid w:val="00FC6510"/>
    <w:rsid w:val="00FD0531"/>
    <w:rsid w:val="00FD1711"/>
    <w:rsid w:val="00FD34AE"/>
    <w:rsid w:val="00FD3A54"/>
    <w:rsid w:val="00FD3F34"/>
    <w:rsid w:val="00FD4B28"/>
    <w:rsid w:val="00FD4E0D"/>
    <w:rsid w:val="00FD5145"/>
    <w:rsid w:val="00FD7A3A"/>
    <w:rsid w:val="00FE1759"/>
    <w:rsid w:val="00FE21D6"/>
    <w:rsid w:val="00FE2E85"/>
    <w:rsid w:val="00FE4422"/>
    <w:rsid w:val="00FE4CCE"/>
    <w:rsid w:val="00FE573C"/>
    <w:rsid w:val="00FE58DA"/>
    <w:rsid w:val="00FE66CC"/>
    <w:rsid w:val="00FE7949"/>
    <w:rsid w:val="00FF27D7"/>
    <w:rsid w:val="00FF5581"/>
    <w:rsid w:val="00FF5985"/>
    <w:rsid w:val="00FF6D69"/>
    <w:rsid w:val="00FF6E6A"/>
    <w:rsid w:val="00FF72AA"/>
    <w:rsid w:val="0DB918EE"/>
    <w:rsid w:val="1B4030D7"/>
    <w:rsid w:val="1C2507D9"/>
    <w:rsid w:val="235822A6"/>
    <w:rsid w:val="24342B56"/>
    <w:rsid w:val="38AC41A0"/>
    <w:rsid w:val="41F30DBB"/>
    <w:rsid w:val="42973B52"/>
    <w:rsid w:val="44C958B7"/>
    <w:rsid w:val="4A767548"/>
    <w:rsid w:val="566F344D"/>
    <w:rsid w:val="5FE93532"/>
    <w:rsid w:val="63716114"/>
    <w:rsid w:val="64F76AE8"/>
    <w:rsid w:val="656B1338"/>
    <w:rsid w:val="68EC2D43"/>
    <w:rsid w:val="6BB73461"/>
    <w:rsid w:val="6FAE395C"/>
    <w:rsid w:val="702603CC"/>
    <w:rsid w:val="713315CA"/>
    <w:rsid w:val="729B1611"/>
    <w:rsid w:val="734C3358"/>
    <w:rsid w:val="739637F5"/>
    <w:rsid w:val="74270D3C"/>
    <w:rsid w:val="75F02CD1"/>
    <w:rsid w:val="78231CFD"/>
    <w:rsid w:val="79FE61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宋体" w:hAnsi="宋体" w:eastAsia="宋体" w:cs="宋体"/>
      <w:color w:val="000000" w:themeColor="text1"/>
      <w:kern w:val="2"/>
      <w:sz w:val="21"/>
      <w:szCs w:val="21"/>
      <w:lang w:val="en-US" w:eastAsia="zh-CN" w:bidi="ar-SA"/>
      <w14:textFill>
        <w14:solidFill>
          <w14:schemeClr w14:val="tx1"/>
        </w14:solidFill>
      </w14:textFill>
    </w:rPr>
  </w:style>
  <w:style w:type="paragraph" w:styleId="2">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0"/>
    <w:unhideWhenUsed/>
    <w:qFormat/>
    <w:uiPriority w:val="0"/>
    <w:pPr>
      <w:keepNext/>
      <w:keepLines/>
      <w:spacing w:before="260" w:after="260" w:line="413" w:lineRule="auto"/>
      <w:outlineLvl w:val="2"/>
    </w:pPr>
    <w:rPr>
      <w:b/>
      <w:sz w:val="32"/>
    </w:rPr>
  </w:style>
  <w:style w:type="paragraph" w:styleId="5">
    <w:name w:val="heading 4"/>
    <w:basedOn w:val="1"/>
    <w:next w:val="1"/>
    <w:link w:val="66"/>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70"/>
    <w:qFormat/>
    <w:uiPriority w:val="0"/>
    <w:pPr>
      <w:keepNext/>
      <w:keepLines/>
      <w:spacing w:before="280" w:after="290" w:line="376" w:lineRule="auto"/>
      <w:outlineLvl w:val="4"/>
    </w:pPr>
    <w:rPr>
      <w:rFonts w:ascii="Calibri" w:hAnsi="Calibri" w:cs="Times New Roman"/>
      <w:b/>
      <w:bCs/>
      <w:color w:val="auto"/>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1260"/>
    </w:pPr>
  </w:style>
  <w:style w:type="paragraph" w:styleId="8">
    <w:name w:val="Document Map"/>
    <w:basedOn w:val="1"/>
    <w:link w:val="40"/>
    <w:unhideWhenUsed/>
    <w:qFormat/>
    <w:uiPriority w:val="0"/>
    <w:rPr>
      <w:sz w:val="24"/>
      <w:szCs w:val="24"/>
    </w:rPr>
  </w:style>
  <w:style w:type="paragraph" w:styleId="9">
    <w:name w:val="annotation text"/>
    <w:basedOn w:val="1"/>
    <w:link w:val="41"/>
    <w:unhideWhenUsed/>
    <w:qFormat/>
    <w:uiPriority w:val="99"/>
    <w:pPr>
      <w:jc w:val="left"/>
    </w:pPr>
  </w:style>
  <w:style w:type="paragraph" w:styleId="10">
    <w:name w:val="toc 5"/>
    <w:basedOn w:val="1"/>
    <w:next w:val="1"/>
    <w:unhideWhenUsed/>
    <w:qFormat/>
    <w:uiPriority w:val="39"/>
    <w:pPr>
      <w:ind w:left="840"/>
    </w:pPr>
  </w:style>
  <w:style w:type="paragraph" w:styleId="11">
    <w:name w:val="toc 3"/>
    <w:basedOn w:val="1"/>
    <w:next w:val="1"/>
    <w:unhideWhenUsed/>
    <w:qFormat/>
    <w:uiPriority w:val="39"/>
    <w:pPr>
      <w:ind w:left="420"/>
    </w:pPr>
  </w:style>
  <w:style w:type="paragraph" w:styleId="12">
    <w:name w:val="Plain Text"/>
    <w:basedOn w:val="1"/>
    <w:link w:val="38"/>
    <w:unhideWhenUsed/>
    <w:qFormat/>
    <w:uiPriority w:val="99"/>
    <w:rPr>
      <w:rFonts w:hAnsi="Courier New" w:cs="Courier New"/>
      <w:kern w:val="0"/>
      <w:sz w:val="20"/>
    </w:rPr>
  </w:style>
  <w:style w:type="paragraph" w:styleId="13">
    <w:name w:val="toc 8"/>
    <w:basedOn w:val="1"/>
    <w:next w:val="1"/>
    <w:unhideWhenUsed/>
    <w:qFormat/>
    <w:uiPriority w:val="39"/>
    <w:pPr>
      <w:ind w:left="1470"/>
    </w:pPr>
  </w:style>
  <w:style w:type="paragraph" w:styleId="14">
    <w:name w:val="Balloon Text"/>
    <w:basedOn w:val="1"/>
    <w:link w:val="42"/>
    <w:unhideWhenUsed/>
    <w:qFormat/>
    <w:uiPriority w:val="99"/>
    <w:rPr>
      <w:sz w:val="18"/>
      <w:szCs w:val="18"/>
    </w:rPr>
  </w:style>
  <w:style w:type="paragraph" w:styleId="15">
    <w:name w:val="footer"/>
    <w:basedOn w:val="1"/>
    <w:link w:val="43"/>
    <w:unhideWhenUsed/>
    <w:qFormat/>
    <w:uiPriority w:val="0"/>
    <w:pPr>
      <w:tabs>
        <w:tab w:val="center" w:pos="4153"/>
        <w:tab w:val="right" w:pos="8306"/>
      </w:tabs>
      <w:snapToGrid w:val="0"/>
      <w:jc w:val="left"/>
    </w:pPr>
    <w:rPr>
      <w:sz w:val="18"/>
      <w:szCs w:val="18"/>
    </w:rPr>
  </w:style>
  <w:style w:type="paragraph" w:styleId="16">
    <w:name w:val="header"/>
    <w:basedOn w:val="1"/>
    <w:link w:val="44"/>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style>
  <w:style w:type="paragraph" w:styleId="18">
    <w:name w:val="toc 4"/>
    <w:basedOn w:val="1"/>
    <w:next w:val="1"/>
    <w:unhideWhenUsed/>
    <w:qFormat/>
    <w:uiPriority w:val="39"/>
    <w:pPr>
      <w:ind w:left="630"/>
    </w:pPr>
  </w:style>
  <w:style w:type="paragraph" w:styleId="19">
    <w:name w:val="Subtitle"/>
    <w:basedOn w:val="1"/>
    <w:next w:val="1"/>
    <w:link w:val="67"/>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20">
    <w:name w:val="footnote text"/>
    <w:basedOn w:val="1"/>
    <w:link w:val="48"/>
    <w:unhideWhenUsed/>
    <w:qFormat/>
    <w:uiPriority w:val="99"/>
    <w:pPr>
      <w:snapToGrid w:val="0"/>
      <w:jc w:val="left"/>
    </w:pPr>
    <w:rPr>
      <w:sz w:val="18"/>
    </w:rPr>
  </w:style>
  <w:style w:type="paragraph" w:styleId="21">
    <w:name w:val="toc 6"/>
    <w:basedOn w:val="1"/>
    <w:next w:val="1"/>
    <w:unhideWhenUsed/>
    <w:qFormat/>
    <w:uiPriority w:val="39"/>
    <w:pPr>
      <w:ind w:left="1050"/>
    </w:pPr>
  </w:style>
  <w:style w:type="paragraph" w:styleId="22">
    <w:name w:val="toc 2"/>
    <w:basedOn w:val="1"/>
    <w:next w:val="1"/>
    <w:unhideWhenUsed/>
    <w:qFormat/>
    <w:uiPriority w:val="39"/>
    <w:pPr>
      <w:ind w:left="210"/>
    </w:pPr>
  </w:style>
  <w:style w:type="paragraph" w:styleId="23">
    <w:name w:val="toc 9"/>
    <w:basedOn w:val="1"/>
    <w:next w:val="1"/>
    <w:unhideWhenUsed/>
    <w:qFormat/>
    <w:uiPriority w:val="39"/>
    <w:pPr>
      <w:ind w:left="1680"/>
    </w:pPr>
  </w:style>
  <w:style w:type="paragraph" w:styleId="24">
    <w:name w:val="Normal (Web)"/>
    <w:basedOn w:val="1"/>
    <w:unhideWhenUsed/>
    <w:qFormat/>
    <w:uiPriority w:val="99"/>
    <w:pPr>
      <w:widowControl/>
      <w:spacing w:before="100" w:beforeAutospacing="1" w:after="100" w:afterAutospacing="1"/>
      <w:jc w:val="left"/>
    </w:pPr>
    <w:rPr>
      <w:color w:val="auto"/>
      <w:kern w:val="0"/>
      <w:sz w:val="24"/>
      <w:szCs w:val="24"/>
    </w:rPr>
  </w:style>
  <w:style w:type="paragraph" w:styleId="25">
    <w:name w:val="Title"/>
    <w:basedOn w:val="1"/>
    <w:next w:val="1"/>
    <w:link w:val="45"/>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6"/>
    <w:semiHidden/>
    <w:unhideWhenUsed/>
    <w:qFormat/>
    <w:uiPriority w:val="99"/>
    <w:rPr>
      <w:b/>
      <w:bCs/>
    </w:rPr>
  </w:style>
  <w:style w:type="table" w:styleId="28">
    <w:name w:val="Table Grid"/>
    <w:basedOn w:val="27"/>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0"/>
    <w:rPr>
      <w:b/>
    </w:rPr>
  </w:style>
  <w:style w:type="character" w:styleId="31">
    <w:name w:val="page number"/>
    <w:basedOn w:val="29"/>
    <w:unhideWhenUsed/>
    <w:qFormat/>
    <w:uiPriority w:val="99"/>
  </w:style>
  <w:style w:type="character" w:styleId="32">
    <w:name w:val="FollowedHyperlink"/>
    <w:basedOn w:val="29"/>
    <w:semiHidden/>
    <w:unhideWhenUsed/>
    <w:qFormat/>
    <w:uiPriority w:val="99"/>
    <w:rPr>
      <w:color w:val="954F72"/>
      <w:u w:val="single"/>
    </w:rPr>
  </w:style>
  <w:style w:type="character" w:styleId="33">
    <w:name w:val="Hyperlink"/>
    <w:basedOn w:val="29"/>
    <w:unhideWhenUsed/>
    <w:qFormat/>
    <w:uiPriority w:val="99"/>
    <w:rPr>
      <w:color w:val="0563C1" w:themeColor="hyperlink"/>
      <w:u w:val="single"/>
      <w14:textFill>
        <w14:solidFill>
          <w14:schemeClr w14:val="hlink"/>
        </w14:solidFill>
      </w14:textFill>
    </w:rPr>
  </w:style>
  <w:style w:type="character" w:styleId="34">
    <w:name w:val="annotation reference"/>
    <w:basedOn w:val="29"/>
    <w:semiHidden/>
    <w:unhideWhenUsed/>
    <w:qFormat/>
    <w:uiPriority w:val="99"/>
    <w:rPr>
      <w:sz w:val="21"/>
      <w:szCs w:val="21"/>
    </w:rPr>
  </w:style>
  <w:style w:type="character" w:styleId="35">
    <w:name w:val="footnote reference"/>
    <w:basedOn w:val="29"/>
    <w:unhideWhenUsed/>
    <w:qFormat/>
    <w:uiPriority w:val="0"/>
    <w:rPr>
      <w:vertAlign w:val="superscript"/>
    </w:rPr>
  </w:style>
  <w:style w:type="character" w:customStyle="1" w:styleId="36">
    <w:name w:val="标题 1 字符"/>
    <w:link w:val="2"/>
    <w:qFormat/>
    <w:uiPriority w:val="9"/>
    <w:rPr>
      <w:b/>
      <w:bCs/>
      <w:kern w:val="44"/>
      <w:sz w:val="44"/>
      <w:szCs w:val="44"/>
    </w:rPr>
  </w:style>
  <w:style w:type="character" w:customStyle="1" w:styleId="37">
    <w:name w:val="标题 2 字符"/>
    <w:basedOn w:val="29"/>
    <w:link w:val="3"/>
    <w:qFormat/>
    <w:uiPriority w:val="9"/>
    <w:rPr>
      <w:rFonts w:asciiTheme="majorHAnsi" w:hAnsiTheme="majorHAnsi" w:eastAsiaTheme="majorEastAsia" w:cstheme="majorBidi"/>
      <w:b/>
      <w:bCs/>
      <w:kern w:val="2"/>
      <w:sz w:val="32"/>
      <w:szCs w:val="32"/>
    </w:rPr>
  </w:style>
  <w:style w:type="character" w:customStyle="1" w:styleId="38">
    <w:name w:val="纯文本 字符"/>
    <w:link w:val="12"/>
    <w:qFormat/>
    <w:uiPriority w:val="99"/>
    <w:rPr>
      <w:rFonts w:ascii="宋体" w:hAnsi="Courier New" w:cs="Courier New"/>
      <w:szCs w:val="21"/>
    </w:rPr>
  </w:style>
  <w:style w:type="paragraph" w:styleId="39">
    <w:name w:val="List Paragraph"/>
    <w:basedOn w:val="1"/>
    <w:qFormat/>
    <w:uiPriority w:val="34"/>
    <w:pPr>
      <w:ind w:firstLine="420" w:firstLineChars="200"/>
    </w:pPr>
  </w:style>
  <w:style w:type="character" w:customStyle="1" w:styleId="40">
    <w:name w:val="文档结构图 字符"/>
    <w:basedOn w:val="29"/>
    <w:link w:val="8"/>
    <w:qFormat/>
    <w:uiPriority w:val="0"/>
    <w:rPr>
      <w:rFonts w:ascii="宋体" w:hAnsi="宋体" w:cs="宋体"/>
      <w:color w:val="000000" w:themeColor="text1"/>
      <w:kern w:val="2"/>
      <w:sz w:val="24"/>
      <w:szCs w:val="24"/>
      <w14:textFill>
        <w14:solidFill>
          <w14:schemeClr w14:val="tx1"/>
        </w14:solidFill>
      </w14:textFill>
    </w:rPr>
  </w:style>
  <w:style w:type="character" w:customStyle="1" w:styleId="41">
    <w:name w:val="批注文字 字符"/>
    <w:basedOn w:val="29"/>
    <w:link w:val="9"/>
    <w:qFormat/>
    <w:uiPriority w:val="99"/>
    <w:rPr>
      <w:rFonts w:ascii="宋体" w:hAnsi="宋体" w:cs="宋体"/>
      <w:color w:val="000000" w:themeColor="text1"/>
      <w:kern w:val="2"/>
      <w:sz w:val="21"/>
      <w:szCs w:val="21"/>
      <w14:textFill>
        <w14:solidFill>
          <w14:schemeClr w14:val="tx1"/>
        </w14:solidFill>
      </w14:textFill>
    </w:rPr>
  </w:style>
  <w:style w:type="character" w:customStyle="1" w:styleId="42">
    <w:name w:val="批注框文本 字符"/>
    <w:basedOn w:val="29"/>
    <w:link w:val="14"/>
    <w:qFormat/>
    <w:uiPriority w:val="99"/>
    <w:rPr>
      <w:rFonts w:ascii="宋体" w:hAnsi="宋体" w:cs="宋体"/>
      <w:color w:val="000000" w:themeColor="text1"/>
      <w:kern w:val="2"/>
      <w:sz w:val="18"/>
      <w:szCs w:val="18"/>
      <w14:textFill>
        <w14:solidFill>
          <w14:schemeClr w14:val="tx1"/>
        </w14:solidFill>
      </w14:textFill>
    </w:rPr>
  </w:style>
  <w:style w:type="character" w:customStyle="1" w:styleId="43">
    <w:name w:val="页脚 字符"/>
    <w:basedOn w:val="29"/>
    <w:link w:val="15"/>
    <w:qFormat/>
    <w:uiPriority w:val="0"/>
    <w:rPr>
      <w:rFonts w:ascii="宋体" w:hAnsi="宋体" w:cs="宋体"/>
      <w:color w:val="000000" w:themeColor="text1"/>
      <w:kern w:val="2"/>
      <w:sz w:val="18"/>
      <w:szCs w:val="18"/>
      <w14:textFill>
        <w14:solidFill>
          <w14:schemeClr w14:val="tx1"/>
        </w14:solidFill>
      </w14:textFill>
    </w:rPr>
  </w:style>
  <w:style w:type="character" w:customStyle="1" w:styleId="44">
    <w:name w:val="页眉 字符"/>
    <w:basedOn w:val="29"/>
    <w:link w:val="16"/>
    <w:qFormat/>
    <w:uiPriority w:val="0"/>
    <w:rPr>
      <w:rFonts w:ascii="宋体" w:hAnsi="宋体" w:cs="宋体"/>
      <w:color w:val="000000" w:themeColor="text1"/>
      <w:kern w:val="2"/>
      <w:sz w:val="18"/>
      <w:szCs w:val="18"/>
      <w14:textFill>
        <w14:solidFill>
          <w14:schemeClr w14:val="tx1"/>
        </w14:solidFill>
      </w14:textFill>
    </w:rPr>
  </w:style>
  <w:style w:type="character" w:customStyle="1" w:styleId="45">
    <w:name w:val="标题 字符"/>
    <w:basedOn w:val="29"/>
    <w:link w:val="25"/>
    <w:qFormat/>
    <w:uiPriority w:val="10"/>
    <w:rPr>
      <w:rFonts w:asciiTheme="majorHAnsi" w:hAnsiTheme="majorHAnsi" w:eastAsiaTheme="majorEastAsia" w:cstheme="majorBidi"/>
      <w:b/>
      <w:bCs/>
      <w:color w:val="000000" w:themeColor="text1"/>
      <w:kern w:val="2"/>
      <w:sz w:val="32"/>
      <w:szCs w:val="32"/>
      <w14:textFill>
        <w14:solidFill>
          <w14:schemeClr w14:val="tx1"/>
        </w14:solidFill>
      </w14:textFill>
    </w:rPr>
  </w:style>
  <w:style w:type="character" w:customStyle="1" w:styleId="46">
    <w:name w:val="批注主题 字符"/>
    <w:basedOn w:val="41"/>
    <w:link w:val="26"/>
    <w:semiHidden/>
    <w:qFormat/>
    <w:uiPriority w:val="99"/>
    <w:rPr>
      <w:rFonts w:ascii="宋体" w:hAnsi="宋体" w:cs="宋体"/>
      <w:b/>
      <w:bCs/>
      <w:color w:val="000000" w:themeColor="text1"/>
      <w:kern w:val="2"/>
      <w:sz w:val="21"/>
      <w:szCs w:val="21"/>
      <w14:textFill>
        <w14:solidFill>
          <w14:schemeClr w14:val="tx1"/>
        </w14:solidFill>
      </w14:textFill>
    </w:rPr>
  </w:style>
  <w:style w:type="table" w:customStyle="1" w:styleId="47">
    <w:name w:val="网格型1"/>
    <w:basedOn w:val="27"/>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8">
    <w:name w:val="脚注文本 字符"/>
    <w:basedOn w:val="29"/>
    <w:link w:val="20"/>
    <w:qFormat/>
    <w:uiPriority w:val="99"/>
    <w:rPr>
      <w:rFonts w:hint="eastAsia" w:ascii="宋体" w:hAnsi="宋体" w:eastAsia="宋体" w:cs="宋体"/>
      <w:kern w:val="2"/>
      <w:sz w:val="18"/>
      <w:szCs w:val="18"/>
    </w:rPr>
  </w:style>
  <w:style w:type="paragraph" w:customStyle="1" w:styleId="49">
    <w:name w:val="msolistparagraph"/>
    <w:basedOn w:val="1"/>
    <w:qFormat/>
    <w:uiPriority w:val="0"/>
    <w:pPr>
      <w:ind w:firstLine="420" w:firstLineChars="200"/>
    </w:pPr>
    <w:rPr>
      <w:rFonts w:hint="eastAsia" w:cs="Times New Roman"/>
      <w:sz w:val="24"/>
      <w:szCs w:val="24"/>
    </w:rPr>
  </w:style>
  <w:style w:type="character" w:customStyle="1" w:styleId="50">
    <w:name w:val="标题 3 字符"/>
    <w:basedOn w:val="29"/>
    <w:link w:val="4"/>
    <w:qFormat/>
    <w:uiPriority w:val="0"/>
    <w:rPr>
      <w:rFonts w:hint="eastAsia" w:ascii="宋体" w:hAnsi="宋体" w:eastAsia="宋体" w:cs="宋体"/>
      <w:b/>
      <w:kern w:val="2"/>
      <w:sz w:val="32"/>
      <w:szCs w:val="32"/>
    </w:rPr>
  </w:style>
  <w:style w:type="character" w:customStyle="1" w:styleId="51">
    <w:name w:val="页脚 字符1"/>
    <w:basedOn w:val="29"/>
    <w:semiHidden/>
    <w:qFormat/>
    <w:uiPriority w:val="99"/>
    <w:rPr>
      <w:rFonts w:ascii="Calibri" w:hAnsi="Calibri" w:eastAsia="宋体" w:cs="Times New Roman"/>
      <w:sz w:val="18"/>
      <w:szCs w:val="18"/>
    </w:rPr>
  </w:style>
  <w:style w:type="character" w:customStyle="1" w:styleId="52">
    <w:name w:val="批注框文本 字符1"/>
    <w:basedOn w:val="29"/>
    <w:semiHidden/>
    <w:qFormat/>
    <w:uiPriority w:val="99"/>
    <w:rPr>
      <w:rFonts w:ascii="宋体" w:hAnsi="Calibri" w:eastAsia="宋体" w:cs="Times New Roman"/>
      <w:sz w:val="18"/>
      <w:szCs w:val="18"/>
    </w:rPr>
  </w:style>
  <w:style w:type="character" w:customStyle="1" w:styleId="53">
    <w:name w:val="文档结构图 字符1"/>
    <w:basedOn w:val="29"/>
    <w:semiHidden/>
    <w:qFormat/>
    <w:uiPriority w:val="99"/>
    <w:rPr>
      <w:rFonts w:ascii="ACADEMY ENGRAVED LET PLAIN:1.0" w:hAnsi="ACADEMY ENGRAVED LET PLAIN:1.0" w:eastAsia="宋体" w:cs="Times New Roman"/>
      <w:sz w:val="26"/>
      <w:szCs w:val="26"/>
    </w:rPr>
  </w:style>
  <w:style w:type="character" w:customStyle="1" w:styleId="54">
    <w:name w:val="纯文本 字符1"/>
    <w:basedOn w:val="29"/>
    <w:semiHidden/>
    <w:qFormat/>
    <w:uiPriority w:val="99"/>
    <w:rPr>
      <w:rFonts w:hAnsi="Courier New" w:cs="Courier New" w:asciiTheme="minorEastAsia"/>
      <w:sz w:val="21"/>
    </w:rPr>
  </w:style>
  <w:style w:type="character" w:customStyle="1" w:styleId="55">
    <w:name w:val="脚注文本 字符1"/>
    <w:basedOn w:val="29"/>
    <w:semiHidden/>
    <w:qFormat/>
    <w:uiPriority w:val="99"/>
    <w:rPr>
      <w:rFonts w:ascii="Calibri" w:hAnsi="Calibri" w:eastAsia="宋体" w:cs="Times New Roman"/>
      <w:sz w:val="18"/>
      <w:szCs w:val="18"/>
    </w:rPr>
  </w:style>
  <w:style w:type="character" w:customStyle="1" w:styleId="56">
    <w:name w:val="页眉 字符1"/>
    <w:basedOn w:val="29"/>
    <w:semiHidden/>
    <w:qFormat/>
    <w:uiPriority w:val="99"/>
    <w:rPr>
      <w:rFonts w:ascii="Calibri" w:hAnsi="Calibri" w:eastAsia="宋体" w:cs="Times New Roman"/>
      <w:sz w:val="18"/>
      <w:szCs w:val="18"/>
    </w:rPr>
  </w:style>
  <w:style w:type="paragraph" w:customStyle="1" w:styleId="57">
    <w:name w:val="列出段落1"/>
    <w:basedOn w:val="1"/>
    <w:qFormat/>
    <w:uiPriority w:val="34"/>
    <w:pPr>
      <w:ind w:firstLine="420" w:firstLineChars="200"/>
    </w:pPr>
    <w:rPr>
      <w:rFonts w:ascii="Calibri" w:hAnsi="Calibri" w:cs="Times New Roman"/>
      <w:color w:val="auto"/>
      <w:szCs w:val="24"/>
    </w:rPr>
  </w:style>
  <w:style w:type="paragraph" w:customStyle="1" w:styleId="58">
    <w:name w:val="无间隔1"/>
    <w:qFormat/>
    <w:uiPriority w:val="1"/>
    <w:pPr>
      <w:widowControl w:val="0"/>
      <w:spacing w:after="160" w:line="278" w:lineRule="auto"/>
      <w:jc w:val="both"/>
    </w:pPr>
    <w:rPr>
      <w:rFonts w:ascii="Calibri" w:hAnsi="Calibri" w:eastAsia="宋体" w:cs="Times New Roman"/>
      <w:kern w:val="2"/>
      <w:sz w:val="21"/>
      <w:szCs w:val="24"/>
      <w:lang w:val="en-US" w:eastAsia="zh-CN" w:bidi="ar-SA"/>
    </w:rPr>
  </w:style>
  <w:style w:type="paragraph" w:customStyle="1" w:styleId="59">
    <w:name w:val="列出段落11"/>
    <w:basedOn w:val="1"/>
    <w:qFormat/>
    <w:uiPriority w:val="34"/>
    <w:pPr>
      <w:ind w:firstLine="420" w:firstLineChars="200"/>
    </w:pPr>
    <w:rPr>
      <w:rFonts w:ascii="Calibri" w:hAnsi="Calibri" w:cs="Times New Roman"/>
      <w:color w:val="auto"/>
      <w:szCs w:val="24"/>
    </w:rPr>
  </w:style>
  <w:style w:type="table" w:customStyle="1" w:styleId="60">
    <w:name w:val="Table Normal"/>
    <w:qFormat/>
    <w:uiPriority w:val="0"/>
    <w:rPr>
      <w:rFonts w:eastAsia="等线"/>
    </w:rPr>
    <w:tblPr>
      <w:tblCellMar>
        <w:top w:w="0" w:type="dxa"/>
        <w:left w:w="0" w:type="dxa"/>
        <w:bottom w:w="0" w:type="dxa"/>
        <w:right w:w="0" w:type="dxa"/>
      </w:tblCellMar>
    </w:tblPr>
  </w:style>
  <w:style w:type="character" w:customStyle="1" w:styleId="61">
    <w:name w:val="无"/>
    <w:qFormat/>
    <w:uiPriority w:val="0"/>
  </w:style>
  <w:style w:type="table" w:customStyle="1" w:styleId="62">
    <w:name w:val="Table Normal1"/>
    <w:qFormat/>
    <w:uiPriority w:val="0"/>
    <w:rPr>
      <w:rFonts w:eastAsiaTheme="minorEastAsia"/>
    </w:rPr>
    <w:tblPr>
      <w:tblCellMar>
        <w:top w:w="0" w:type="dxa"/>
        <w:left w:w="0" w:type="dxa"/>
        <w:bottom w:w="0" w:type="dxa"/>
        <w:right w:w="0" w:type="dxa"/>
      </w:tblCellMar>
    </w:tblPr>
  </w:style>
  <w:style w:type="character" w:customStyle="1" w:styleId="63">
    <w:name w:val="Hyperlink.1"/>
    <w:basedOn w:val="61"/>
    <w:qFormat/>
    <w:uiPriority w:val="0"/>
    <w:rPr>
      <w:rFonts w:ascii="宋体" w:hAnsi="宋体" w:eastAsia="宋体" w:cs="宋体"/>
      <w:color w:val="000000"/>
      <w:u w:color="000000"/>
      <w:lang w:val="zh-TW" w:eastAsia="zh-TW"/>
    </w:rPr>
  </w:style>
  <w:style w:type="paragraph" w:customStyle="1" w:styleId="64">
    <w:name w:val="正文 A"/>
    <w:qFormat/>
    <w:uiPriority w:val="0"/>
    <w:pPr>
      <w:widowControl w:val="0"/>
      <w:spacing w:after="160" w:line="278" w:lineRule="auto"/>
      <w:jc w:val="both"/>
    </w:pPr>
    <w:rPr>
      <w:rFonts w:ascii="Calibri" w:hAnsi="Calibri" w:eastAsia="Arial Unicode MS" w:cs="Arial Unicode MS"/>
      <w:color w:val="000000"/>
      <w:kern w:val="2"/>
      <w:sz w:val="21"/>
      <w:szCs w:val="21"/>
      <w:u w:color="000000"/>
      <w:lang w:val="en-US" w:eastAsia="zh-CN" w:bidi="ar-SA"/>
    </w:rPr>
  </w:style>
  <w:style w:type="paragraph" w:customStyle="1" w:styleId="65">
    <w:name w:val="表格标题1"/>
    <w:basedOn w:val="1"/>
    <w:qFormat/>
    <w:uiPriority w:val="0"/>
    <w:pPr>
      <w:tabs>
        <w:tab w:val="left" w:pos="420"/>
      </w:tabs>
      <w:spacing w:before="10" w:beforeLines="10" w:after="20" w:afterLines="20" w:line="280" w:lineRule="exact"/>
      <w:jc w:val="center"/>
    </w:pPr>
    <w:rPr>
      <w:rFonts w:eastAsia="汉仪中黑简"/>
      <w:color w:val="FF0000"/>
      <w:sz w:val="20"/>
    </w:rPr>
  </w:style>
  <w:style w:type="character" w:customStyle="1" w:styleId="66">
    <w:name w:val="标题 4 字符"/>
    <w:basedOn w:val="29"/>
    <w:link w:val="5"/>
    <w:semiHidden/>
    <w:qFormat/>
    <w:uiPriority w:val="9"/>
    <w:rPr>
      <w:rFonts w:asciiTheme="majorHAnsi" w:hAnsiTheme="majorHAnsi" w:eastAsiaTheme="majorEastAsia" w:cstheme="majorBidi"/>
      <w:b/>
      <w:bCs/>
      <w:color w:val="000000" w:themeColor="text1"/>
      <w:kern w:val="2"/>
      <w:sz w:val="28"/>
      <w:szCs w:val="28"/>
      <w14:textFill>
        <w14:solidFill>
          <w14:schemeClr w14:val="tx1"/>
        </w14:solidFill>
      </w14:textFill>
    </w:rPr>
  </w:style>
  <w:style w:type="character" w:customStyle="1" w:styleId="67">
    <w:name w:val="副标题 字符"/>
    <w:basedOn w:val="29"/>
    <w:link w:val="19"/>
    <w:qFormat/>
    <w:uiPriority w:val="11"/>
    <w:rPr>
      <w:rFonts w:asciiTheme="minorHAnsi" w:hAnsiTheme="minorHAnsi" w:eastAsiaTheme="minorEastAsia" w:cstheme="minorBidi"/>
      <w:b/>
      <w:bCs/>
      <w:color w:val="000000" w:themeColor="text1"/>
      <w:kern w:val="28"/>
      <w:sz w:val="32"/>
      <w:szCs w:val="32"/>
      <w14:textFill>
        <w14:solidFill>
          <w14:schemeClr w14:val="tx1"/>
        </w14:solidFill>
      </w14:textFill>
    </w:rPr>
  </w:style>
  <w:style w:type="character" w:customStyle="1" w:styleId="68">
    <w:name w:val="样式1 字符"/>
    <w:link w:val="69"/>
    <w:qFormat/>
    <w:uiPriority w:val="0"/>
    <w:rPr>
      <w:rFonts w:ascii="黑体" w:hAnsi="黑体" w:eastAsia="黑体" w:cs="黑体"/>
      <w:kern w:val="2"/>
      <w:sz w:val="17"/>
      <w:szCs w:val="17"/>
    </w:rPr>
  </w:style>
  <w:style w:type="paragraph" w:customStyle="1" w:styleId="69">
    <w:name w:val="样式1"/>
    <w:basedOn w:val="1"/>
    <w:link w:val="68"/>
    <w:qFormat/>
    <w:uiPriority w:val="0"/>
    <w:pPr>
      <w:spacing w:line="207" w:lineRule="exact"/>
      <w:jc w:val="left"/>
    </w:pPr>
    <w:rPr>
      <w:rFonts w:ascii="黑体" w:hAnsi="黑体" w:eastAsia="黑体" w:cs="黑体"/>
      <w:color w:val="auto"/>
      <w:sz w:val="17"/>
      <w:szCs w:val="17"/>
    </w:rPr>
  </w:style>
  <w:style w:type="character" w:customStyle="1" w:styleId="70">
    <w:name w:val="标题 5 字符"/>
    <w:basedOn w:val="29"/>
    <w:link w:val="6"/>
    <w:qFormat/>
    <w:uiPriority w:val="0"/>
    <w:rPr>
      <w:rFonts w:ascii="Calibri" w:hAnsi="Calibri"/>
      <w:b/>
      <w:bCs/>
      <w:kern w:val="2"/>
      <w:sz w:val="28"/>
      <w:szCs w:val="28"/>
    </w:rPr>
  </w:style>
  <w:style w:type="paragraph" w:customStyle="1" w:styleId="71">
    <w:name w:val="列表段落1"/>
    <w:basedOn w:val="1"/>
    <w:qFormat/>
    <w:uiPriority w:val="34"/>
    <w:pPr>
      <w:ind w:firstLine="420" w:firstLineChars="200"/>
    </w:pPr>
    <w:rPr>
      <w:rFonts w:asciiTheme="minorHAnsi" w:hAnsiTheme="minorHAnsi" w:eastAsiaTheme="minorEastAsia" w:cstheme="minorBidi"/>
      <w:color w:val="auto"/>
      <w:szCs w:val="22"/>
    </w:rPr>
  </w:style>
  <w:style w:type="character" w:customStyle="1" w:styleId="72">
    <w:name w:val="未处理的提及1"/>
    <w:basedOn w:val="29"/>
    <w:semiHidden/>
    <w:unhideWhenUsed/>
    <w:qFormat/>
    <w:uiPriority w:val="99"/>
    <w:rPr>
      <w:color w:val="605E5C"/>
      <w:shd w:val="clear" w:color="auto" w:fill="E1DFDD"/>
    </w:rPr>
  </w:style>
  <w:style w:type="character" w:customStyle="1" w:styleId="73">
    <w:name w:val="未处理的提及2"/>
    <w:basedOn w:val="29"/>
    <w:semiHidden/>
    <w:unhideWhenUsed/>
    <w:qFormat/>
    <w:uiPriority w:val="99"/>
    <w:rPr>
      <w:color w:val="605E5C"/>
      <w:shd w:val="clear" w:color="auto" w:fill="E1DFDD"/>
    </w:rPr>
  </w:style>
  <w:style w:type="table" w:customStyle="1" w:styleId="74">
    <w:name w:val="网格型2"/>
    <w:basedOn w:val="27"/>
    <w:qFormat/>
    <w:uiPriority w:val="0"/>
    <w:pPr>
      <w:spacing w:after="0" w:line="240" w:lineRule="auto"/>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11"/>
    <w:basedOn w:val="27"/>
    <w:qFormat/>
    <w:uiPriority w:val="0"/>
    <w:pPr>
      <w:spacing w:after="0" w:line="240" w:lineRule="auto"/>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
    <w:name w:val="Table Normal2"/>
    <w:qFormat/>
    <w:uiPriority w:val="0"/>
    <w:pPr>
      <w:spacing w:after="0" w:line="240" w:lineRule="auto"/>
    </w:pPr>
    <w:rPr>
      <w:rFonts w:eastAsia="等线"/>
    </w:rPr>
    <w:tblPr>
      <w:tblCellMar>
        <w:top w:w="0" w:type="dxa"/>
        <w:left w:w="0" w:type="dxa"/>
        <w:bottom w:w="0" w:type="dxa"/>
        <w:right w:w="0" w:type="dxa"/>
      </w:tblCellMar>
    </w:tblPr>
  </w:style>
  <w:style w:type="table" w:customStyle="1" w:styleId="77">
    <w:name w:val="Table Normal11"/>
    <w:qFormat/>
    <w:uiPriority w:val="0"/>
    <w:pPr>
      <w:spacing w:after="0" w:line="240" w:lineRule="auto"/>
    </w:pPr>
    <w:rPr>
      <w:rFonts w:eastAsiaTheme="minorEastAsia"/>
    </w:rPr>
    <w:tblPr>
      <w:tblCellMar>
        <w:top w:w="0" w:type="dxa"/>
        <w:left w:w="0" w:type="dxa"/>
        <w:bottom w:w="0" w:type="dxa"/>
        <w:right w:w="0" w:type="dxa"/>
      </w:tblCellMar>
    </w:tblPr>
  </w:style>
  <w:style w:type="character" w:customStyle="1" w:styleId="78">
    <w:name w:val="Unresolved Mention"/>
    <w:basedOn w:val="2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EF7D8D-3A44-4765-8B2A-718795FD185E}">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77</Lines>
  <Paragraphs>21</Paragraphs>
  <TotalTime>6</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2021-06-07T08:31:00Z</dcterms:created>
  <dc:creator>Microsoft Office 用户</dc:creator>
  <cp:lastModifiedBy>yjx</cp:lastModifiedBy>
  <cp:lastPrinted>2026-08-20T02:56:00Z</cp:lastPrinted>
  <dcterms:modified xsi:type="dcterms:W3CDTF">2026-09-06T13:43:09Z</dcterms:modified>
  <cp:revision>707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26248DFAF9054BC3978BD0C5697D7ECB_13</vt:lpwstr>
  </property>
  <property fmtid="{D5CDD505-2E9C-101B-9397-08002B2CF9AE}" pid="4" name="KSOTemplateDocerSaveRecord">
    <vt:lpwstr>eyJoZGlkIjoiMzU1Yzg5MTNmMDUxMzE3MmE5ZDg2NDI0NjZlNWY3YjMiLCJ1c2VySWQiOiI3MzExMzM3NjgifQ==</vt:lpwstr>
  </property>
</Properties>
</file>