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7849B">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color w:val="auto"/>
          <w:sz w:val="21"/>
          <w:szCs w:val="21"/>
        </w:rPr>
      </w:pPr>
      <w:bookmarkStart w:id="0" w:name="_Toc236829030"/>
      <w:r>
        <w:rPr>
          <w:rFonts w:hint="eastAsia" w:ascii="宋体" w:hAnsi="宋体" w:eastAsia="宋体" w:cs="宋体"/>
          <w:b/>
          <w:bCs/>
          <w:color w:val="auto"/>
          <w:sz w:val="21"/>
          <w:szCs w:val="21"/>
        </w:rPr>
        <w:t>预测考点1</w:t>
      </w:r>
      <w:r>
        <w:rPr>
          <w:rFonts w:hint="eastAsia" w:ascii="宋体" w:hAnsi="宋体" w:eastAsia="宋体" w:cs="宋体"/>
          <w:b/>
          <w:bCs/>
          <w:color w:val="auto"/>
          <w:sz w:val="21"/>
          <w:szCs w:val="21"/>
        </w:rPr>
        <w:t xml:space="preserve">  法的价值</w:t>
      </w:r>
      <w:bookmarkEnd w:id="0"/>
    </w:p>
    <w:p w14:paraId="1B13CE1E">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1．法的价值的种类</w:t>
      </w:r>
    </w:p>
    <w:p w14:paraId="61D7145C">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秩序、自由、人权、正义。</w:t>
      </w:r>
    </w:p>
    <w:p w14:paraId="133507DC">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2．法律限制人的自由的原则</w:t>
      </w:r>
    </w:p>
    <w:p w14:paraId="747B2EC1">
      <w:pPr>
        <w:keepNext w:val="0"/>
        <w:keepLines w:val="0"/>
        <w:pageBreakBefore w:val="0"/>
        <w:widowControl w:val="0"/>
        <w:kinsoku/>
        <w:wordWrap/>
        <w:overflowPunct/>
        <w:topLinePunct w:val="0"/>
        <w:autoSpaceDE/>
        <w:autoSpaceDN/>
        <w:bidi w:val="0"/>
        <w:adjustRightInd/>
        <w:snapToGrid w:val="0"/>
        <w:spacing w:after="0"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伤害原则强调伤害他人的权利和利益</w:t>
      </w:r>
      <w:r>
        <w:rPr>
          <w:rFonts w:hint="eastAsia" w:ascii="宋体" w:hAnsi="宋体" w:eastAsia="宋体" w:cs="等线"/>
          <w:b/>
          <w:bCs/>
          <w:color w:val="FF0000"/>
          <w:szCs w:val="21"/>
        </w:rPr>
        <w:t>（自我伤害不属于该原则）</w:t>
      </w:r>
      <w:r>
        <w:rPr>
          <w:rFonts w:hint="eastAsia" w:ascii="宋体" w:hAnsi="宋体" w:eastAsia="宋体" w:cs="宋体"/>
          <w:color w:val="auto"/>
          <w:sz w:val="21"/>
          <w:szCs w:val="21"/>
        </w:rPr>
        <w:t>，家长主义原则强调信息不对称或匮乏，道德主义原则强调违背特定社会的道德。</w:t>
      </w:r>
    </w:p>
    <w:p w14:paraId="34BD85EB">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3．分配正义所遵循的原则</w:t>
      </w:r>
    </w:p>
    <w:p w14:paraId="65C7601C">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平等原则强调无差别的对待；差别原则强调同等的情况下必须同等对待，在不同等的情况下必须不同等对待。</w:t>
      </w:r>
    </w:p>
    <w:p w14:paraId="2CBF06E9">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4．法的价值冲突的解决原则</w:t>
      </w:r>
    </w:p>
    <w:p w14:paraId="45E2FBFD">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个案中的比例原则注重冲突价值在损害程度上的比较，价值位阶原则注重冲突价值在位阶重要性上的比较。</w:t>
      </w:r>
    </w:p>
    <w:p w14:paraId="4DAC10F5">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等线"/>
          <w:szCs w:val="21"/>
        </w:rPr>
        <w:t>法的基本价值（秩序、自由、正义、人权）高于效率、利益等一般价值。基本价值中，</w:t>
      </w:r>
      <w:r>
        <w:rPr>
          <w:rFonts w:hint="eastAsia" w:ascii="宋体" w:hAnsi="宋体" w:eastAsia="宋体" w:cs="等线"/>
          <w:b/>
          <w:bCs/>
          <w:color w:val="FF0000"/>
          <w:szCs w:val="21"/>
        </w:rPr>
        <w:t>人权、自由＞正义＞秩序</w:t>
      </w:r>
    </w:p>
    <w:p w14:paraId="3D90FBBB">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b/>
          <w:bCs/>
          <w:color w:val="auto"/>
          <w:sz w:val="21"/>
          <w:szCs w:val="21"/>
        </w:rPr>
      </w:pPr>
      <w:bookmarkStart w:id="1" w:name="_Toc236829031"/>
      <w:r>
        <w:rPr>
          <w:rFonts w:hint="eastAsia" w:ascii="宋体" w:hAnsi="宋体" w:eastAsia="宋体" w:cs="宋体"/>
          <w:b/>
          <w:bCs/>
          <w:color w:val="auto"/>
          <w:sz w:val="21"/>
          <w:szCs w:val="21"/>
        </w:rPr>
        <w:t>预测考点2  法律规则</w:t>
      </w:r>
      <w:bookmarkEnd w:id="1"/>
    </w:p>
    <w:p w14:paraId="53BFD297">
      <w:pPr>
        <w:pageBreakBefore w:val="0"/>
        <w:widowControl w:val="0"/>
        <w:numPr>
          <w:numId w:val="0"/>
        </w:numPr>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cs="宋体"/>
          <w:b/>
          <w:bCs/>
          <w:color w:val="auto"/>
          <w:sz w:val="21"/>
          <w:szCs w:val="21"/>
          <w:lang w:val="en-US" w:eastAsia="zh-CN"/>
        </w:rPr>
        <w:t>1.</w:t>
      </w:r>
      <w:r>
        <w:rPr>
          <w:rFonts w:hint="eastAsia" w:ascii="宋体" w:hAnsi="宋体" w:eastAsia="宋体" w:cs="宋体"/>
          <w:b/>
          <w:bCs/>
          <w:color w:val="auto"/>
          <w:sz w:val="21"/>
          <w:szCs w:val="21"/>
        </w:rPr>
        <w:t>法律规则的逻辑结构</w:t>
      </w:r>
    </w:p>
    <w:p w14:paraId="49B5EE47">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法律规则由假定条件、行为模式和法律后果组成。</w:t>
      </w:r>
    </w:p>
    <w:p w14:paraId="258F14EC">
      <w:pPr>
        <w:keepNext w:val="0"/>
        <w:keepLines w:val="0"/>
        <w:pageBreakBefore w:val="0"/>
        <w:widowControl w:val="0"/>
        <w:kinsoku/>
        <w:wordWrap/>
        <w:overflowPunct/>
        <w:topLinePunct w:val="0"/>
        <w:autoSpaceDE/>
        <w:autoSpaceDN/>
        <w:bidi w:val="0"/>
        <w:adjustRightInd/>
        <w:snapToGrid w:val="0"/>
        <w:spacing w:after="0" w:line="240" w:lineRule="auto"/>
        <w:ind w:firstLine="420"/>
        <w:textAlignment w:val="auto"/>
        <w:rPr>
          <w:rFonts w:hint="eastAsia" w:ascii="宋体" w:hAnsi="宋体" w:eastAsia="宋体" w:cs="宋体"/>
          <w:color w:val="auto"/>
          <w:sz w:val="21"/>
          <w:szCs w:val="21"/>
        </w:rPr>
      </w:pPr>
      <w:r>
        <w:rPr>
          <w:rFonts w:hint="eastAsia" w:ascii="宋体" w:hAnsi="宋体" w:eastAsia="宋体" w:cs="仿宋"/>
          <w:szCs w:val="21"/>
        </w:rPr>
        <w:t>法律规则的三要素</w:t>
      </w:r>
      <w:r>
        <w:rPr>
          <w:rFonts w:hint="eastAsia" w:ascii="宋体" w:hAnsi="宋体" w:eastAsia="宋体" w:cs="仿宋"/>
          <w:b/>
          <w:bCs/>
          <w:color w:val="FF0000"/>
          <w:szCs w:val="21"/>
        </w:rPr>
        <w:t>在逻辑上缺一不可</w:t>
      </w:r>
      <w:r>
        <w:rPr>
          <w:rFonts w:hint="eastAsia" w:ascii="宋体" w:hAnsi="宋体" w:eastAsia="宋体" w:cs="仿宋"/>
          <w:szCs w:val="21"/>
        </w:rPr>
        <w:t>。（现实条文可以省略）</w:t>
      </w:r>
    </w:p>
    <w:p w14:paraId="63830158">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2．法律规则的分类</w:t>
      </w:r>
    </w:p>
    <w:p w14:paraId="33D77352">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授权性规则和义务性规则（区分标准是规则的内容）；确定性规则、委任性规则</w:t>
      </w:r>
      <w:r>
        <w:rPr>
          <w:rFonts w:hint="eastAsia" w:cs="宋体"/>
          <w:color w:val="FF0000"/>
          <w:sz w:val="21"/>
          <w:szCs w:val="21"/>
          <w:lang w:eastAsia="zh-CN"/>
        </w:rPr>
        <w:t>（……的具体办法由……部门或机构制定）</w:t>
      </w:r>
      <w:r>
        <w:rPr>
          <w:rFonts w:hint="eastAsia" w:ascii="宋体" w:hAnsi="宋体" w:eastAsia="宋体" w:cs="宋体"/>
          <w:color w:val="auto"/>
          <w:sz w:val="21"/>
          <w:szCs w:val="21"/>
        </w:rPr>
        <w:t>和准用性规则</w:t>
      </w:r>
      <w:r>
        <w:rPr>
          <w:rFonts w:hint="eastAsia" w:cs="宋体"/>
          <w:color w:val="FF0000"/>
          <w:sz w:val="21"/>
          <w:szCs w:val="21"/>
          <w:lang w:eastAsia="zh-CN"/>
        </w:rPr>
        <w:t>（</w:t>
      </w:r>
      <w:r>
        <w:rPr>
          <w:rFonts w:hint="eastAsia" w:ascii="宋体" w:hAnsi="宋体" w:eastAsia="宋体" w:cs="等线"/>
          <w:bCs/>
          <w:color w:val="FF0000"/>
          <w:szCs w:val="21"/>
        </w:rPr>
        <w:t>……的</w:t>
      </w:r>
      <w:r>
        <w:rPr>
          <w:rFonts w:hint="eastAsia" w:ascii="宋体" w:hAnsi="宋体" w:eastAsia="宋体"/>
          <w:color w:val="FF0000"/>
          <w:szCs w:val="21"/>
        </w:rPr>
        <w:t>具体办法由</w:t>
      </w:r>
      <w:r>
        <w:rPr>
          <w:rFonts w:hint="eastAsia" w:ascii="宋体" w:hAnsi="宋体" w:eastAsia="宋体" w:cs="等线"/>
          <w:bCs/>
          <w:color w:val="FF0000"/>
          <w:szCs w:val="21"/>
        </w:rPr>
        <w:t>……</w:t>
      </w:r>
      <w:r>
        <w:rPr>
          <w:rFonts w:hint="eastAsia" w:ascii="宋体" w:hAnsi="宋体" w:eastAsia="宋体"/>
          <w:color w:val="FF0000"/>
          <w:szCs w:val="21"/>
        </w:rPr>
        <w:t>部门或机构制定</w:t>
      </w:r>
      <w:r>
        <w:rPr>
          <w:rFonts w:hint="eastAsia" w:cs="宋体"/>
          <w:color w:val="FF0000"/>
          <w:sz w:val="21"/>
          <w:szCs w:val="21"/>
          <w:lang w:eastAsia="zh-CN"/>
        </w:rPr>
        <w:t>）</w:t>
      </w:r>
      <w:r>
        <w:rPr>
          <w:rFonts w:hint="eastAsia" w:ascii="宋体" w:hAnsi="宋体" w:eastAsia="宋体" w:cs="宋体"/>
          <w:color w:val="auto"/>
          <w:sz w:val="21"/>
          <w:szCs w:val="21"/>
        </w:rPr>
        <w:t>（区分标准是规则内容的确定性程度）；强行性规则和任意性规则（区分标准是规则对人们行为规定和限定的范围或程度）。</w:t>
      </w:r>
    </w:p>
    <w:p w14:paraId="7AD1FCD8">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b/>
          <w:bCs/>
          <w:color w:val="auto"/>
          <w:sz w:val="21"/>
          <w:szCs w:val="21"/>
        </w:rPr>
      </w:pPr>
      <w:bookmarkStart w:id="2" w:name="_Toc236829032"/>
      <w:r>
        <w:rPr>
          <w:rFonts w:hint="eastAsia" w:cs="宋体"/>
          <w:b/>
          <w:bCs/>
          <w:color w:val="auto"/>
          <w:sz w:val="21"/>
          <w:szCs w:val="21"/>
          <w:lang w:val="en-US" w:eastAsia="zh-CN"/>
        </w:rPr>
        <w:t>预</w:t>
      </w:r>
      <w:r>
        <w:rPr>
          <w:rFonts w:hint="eastAsia" w:ascii="宋体" w:hAnsi="宋体" w:eastAsia="宋体" w:cs="宋体"/>
          <w:b/>
          <w:bCs/>
          <w:color w:val="auto"/>
          <w:sz w:val="21"/>
          <w:szCs w:val="21"/>
        </w:rPr>
        <w:t>测考点3  法律原则</w:t>
      </w:r>
      <w:bookmarkEnd w:id="2"/>
    </w:p>
    <w:p w14:paraId="1D3F4CFD">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1．法律规则和法律原则的区别</w:t>
      </w:r>
    </w:p>
    <w:p w14:paraId="20794587">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核心区别是：法律规则以“全有或全无的方式”应用于个案中，而法律原则是以衡量的方式应用于个案中。</w:t>
      </w:r>
    </w:p>
    <w:p w14:paraId="676D07AF">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2．法律原则的适用</w:t>
      </w:r>
    </w:p>
    <w:p w14:paraId="5CCCB4E4">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穷尽法律规则，方得适用法律原则；除非为了实现个案正义，否则不得舍弃法律规则而直接适用法律原则；没有更强理由，不得径行适用法律原则。</w:t>
      </w:r>
    </w:p>
    <w:p w14:paraId="7902DD11">
      <w:pPr>
        <w:pageBreakBefore w:val="0"/>
        <w:widowControl w:val="0"/>
        <w:kinsoku/>
        <w:wordWrap/>
        <w:overflowPunct/>
        <w:topLinePunct w:val="0"/>
        <w:autoSpaceDE/>
        <w:autoSpaceDN/>
        <w:bidi w:val="0"/>
        <w:adjustRightInd/>
        <w:snapToGrid w:val="0"/>
        <w:spacing w:after="0" w:line="240" w:lineRule="auto"/>
        <w:textAlignment w:val="auto"/>
        <w:outlineLvl w:val="9"/>
        <w:rPr>
          <w:rFonts w:hint="eastAsia" w:ascii="宋体" w:hAnsi="宋体" w:eastAsia="宋体" w:cs="宋体"/>
          <w:color w:val="auto"/>
          <w:sz w:val="21"/>
          <w:szCs w:val="21"/>
        </w:rPr>
      </w:pPr>
    </w:p>
    <w:p w14:paraId="42AAD42A">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color w:val="auto"/>
          <w:sz w:val="21"/>
          <w:szCs w:val="21"/>
        </w:rPr>
      </w:pPr>
      <w:bookmarkStart w:id="3" w:name="_Toc236829033"/>
      <w:r>
        <w:rPr>
          <w:rFonts w:hint="eastAsia" w:ascii="宋体" w:hAnsi="宋体" w:eastAsia="宋体" w:cs="宋体"/>
          <w:b/>
          <w:bCs/>
          <w:color w:val="auto"/>
          <w:sz w:val="21"/>
          <w:szCs w:val="21"/>
        </w:rPr>
        <w:t>预测考点4  当代中国法的正式渊源+正式的法的渊源的</w:t>
      </w:r>
      <w:bookmarkEnd w:id="3"/>
      <w:bookmarkStart w:id="4" w:name="_Toc236829034"/>
      <w:r>
        <w:rPr>
          <w:rFonts w:hint="eastAsia" w:ascii="宋体" w:hAnsi="宋体" w:eastAsia="宋体" w:cs="宋体"/>
          <w:b/>
          <w:bCs/>
          <w:color w:val="auto"/>
          <w:sz w:val="21"/>
          <w:szCs w:val="21"/>
        </w:rPr>
        <w:t>效力原则</w:t>
      </w:r>
      <w:bookmarkEnd w:id="4"/>
    </w:p>
    <w:p w14:paraId="6E43D47C">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1．当代中国法的正式渊源</w:t>
      </w:r>
    </w:p>
    <w:p w14:paraId="3B3B97D3">
      <w:pPr>
        <w:keepNext w:val="0"/>
        <w:keepLines w:val="0"/>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包括宪法、法律、行政法规、部门规章和地方政府规章、地方性法规、民族自治法规、国际条约、国际惯例等。</w:t>
      </w:r>
    </w:p>
    <w:p w14:paraId="526E0B30">
      <w:pPr>
        <w:keepNext w:val="0"/>
        <w:keepLines w:val="0"/>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等线"/>
          <w:szCs w:val="21"/>
        </w:rPr>
      </w:pPr>
      <w:r>
        <w:rPr>
          <w:rFonts w:hint="eastAsia" w:ascii="宋体" w:hAnsi="宋体" w:eastAsia="宋体" w:cs="等线"/>
          <w:szCs w:val="21"/>
        </w:rPr>
        <w:t>部门规章指</w:t>
      </w:r>
      <w:r>
        <w:rPr>
          <w:rFonts w:hint="eastAsia" w:ascii="宋体" w:hAnsi="宋体" w:eastAsia="宋体" w:cs="等线"/>
          <w:b/>
          <w:bCs/>
          <w:color w:val="FF0000"/>
          <w:szCs w:val="21"/>
        </w:rPr>
        <w:t>国务院各部委、中国人民银行、审计署和具有行政管理职能的直属机构</w:t>
      </w:r>
      <w:r>
        <w:rPr>
          <w:rFonts w:hint="eastAsia" w:ascii="宋体" w:hAnsi="宋体" w:eastAsia="宋体" w:cs="等线"/>
          <w:szCs w:val="21"/>
        </w:rPr>
        <w:t>根据法律和国务院的行政法规、决定、命令在本部门的权限内制定的规章。</w:t>
      </w:r>
    </w:p>
    <w:p w14:paraId="62B02251">
      <w:pPr>
        <w:keepNext w:val="0"/>
        <w:keepLines w:val="0"/>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等线"/>
          <w:szCs w:val="21"/>
        </w:rPr>
      </w:pPr>
      <w:r>
        <w:rPr>
          <w:rFonts w:hint="eastAsia" w:ascii="宋体" w:hAnsi="宋体" w:eastAsia="宋体" w:cs="等线"/>
          <w:szCs w:val="21"/>
        </w:rPr>
        <w:t>地方政府规章指</w:t>
      </w:r>
      <w:r>
        <w:rPr>
          <w:rFonts w:hint="eastAsia" w:ascii="宋体" w:hAnsi="宋体" w:eastAsia="宋体" w:cs="等线"/>
          <w:b/>
          <w:bCs/>
          <w:color w:val="FF0000"/>
          <w:szCs w:val="21"/>
        </w:rPr>
        <w:t>省、自治区、直辖市和设区的市、自治州的人民政府</w:t>
      </w:r>
      <w:r>
        <w:rPr>
          <w:rFonts w:hint="eastAsia" w:ascii="宋体" w:hAnsi="宋体" w:eastAsia="宋体" w:cs="等线"/>
          <w:szCs w:val="21"/>
        </w:rPr>
        <w:t>根据法律、行政法规和本省、自治区、直辖市的地方性法规制定、发布的规章。</w:t>
      </w:r>
    </w:p>
    <w:p w14:paraId="17E8A89C">
      <w:pPr>
        <w:keepNext w:val="0"/>
        <w:keepLines w:val="0"/>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等线"/>
          <w:szCs w:val="21"/>
        </w:rPr>
      </w:pPr>
      <w:r>
        <w:rPr>
          <w:rFonts w:hint="eastAsia" w:ascii="宋体" w:hAnsi="宋体" w:eastAsia="宋体" w:cs="等线"/>
          <w:szCs w:val="21"/>
        </w:rPr>
        <w:t>地方性法规</w:t>
      </w:r>
      <w:r>
        <w:rPr>
          <w:rFonts w:hint="eastAsia" w:ascii="宋体" w:hAnsi="宋体" w:eastAsia="宋体" w:cs="等线"/>
          <w:szCs w:val="21"/>
        </w:rPr>
        <w:t>是</w:t>
      </w:r>
      <w:r>
        <w:rPr>
          <w:rFonts w:hint="eastAsia" w:ascii="宋体" w:hAnsi="宋体" w:eastAsia="宋体" w:cs="等线"/>
          <w:color w:val="FF0000"/>
          <w:szCs w:val="21"/>
        </w:rPr>
        <w:t>省、自治区、直辖市以及设区的市和自治州的人民代表大会及其常委会</w:t>
      </w:r>
      <w:r>
        <w:rPr>
          <w:rFonts w:hint="eastAsia" w:ascii="宋体" w:hAnsi="宋体" w:eastAsia="宋体" w:cs="等线"/>
          <w:szCs w:val="21"/>
        </w:rPr>
        <w:t>制定的规范性文件。</w:t>
      </w:r>
    </w:p>
    <w:p w14:paraId="783C6060">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2．正式的法的渊源的效力原则</w:t>
      </w:r>
    </w:p>
    <w:p w14:paraId="63775CF7">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解决不同位阶的法的渊源之间的效力冲突时，遵循“上位法优于下位法”原则；解决</w:t>
      </w:r>
      <w:r>
        <w:rPr>
          <w:rFonts w:hint="eastAsia" w:ascii="宋体" w:hAnsi="宋体" w:eastAsia="宋体" w:cs="宋体"/>
          <w:color w:val="FF0000"/>
          <w:sz w:val="21"/>
          <w:szCs w:val="21"/>
        </w:rPr>
        <w:t>同一位阶的法的渊源</w:t>
      </w:r>
      <w:r>
        <w:rPr>
          <w:rFonts w:hint="eastAsia" w:ascii="宋体" w:hAnsi="宋体" w:eastAsia="宋体" w:cs="宋体"/>
          <w:color w:val="auto"/>
          <w:sz w:val="21"/>
          <w:szCs w:val="21"/>
        </w:rPr>
        <w:t>之间的效力冲突时，遵循“特别法优于一般法”“新法优于旧法”等原则。</w:t>
      </w:r>
    </w:p>
    <w:p w14:paraId="753658DA">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p>
    <w:p w14:paraId="0FCF7C5B">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b/>
          <w:bCs/>
          <w:color w:val="auto"/>
          <w:sz w:val="21"/>
          <w:szCs w:val="21"/>
        </w:rPr>
      </w:pPr>
      <w:bookmarkStart w:id="5" w:name="_Toc236829035"/>
      <w:r>
        <w:rPr>
          <w:rFonts w:hint="eastAsia" w:ascii="宋体" w:hAnsi="宋体" w:eastAsia="宋体" w:cs="宋体"/>
          <w:b/>
          <w:bCs/>
          <w:color w:val="auto"/>
          <w:sz w:val="21"/>
          <w:szCs w:val="21"/>
        </w:rPr>
        <w:t>预测考点5  法律关系</w:t>
      </w:r>
      <w:bookmarkEnd w:id="5"/>
    </w:p>
    <w:p w14:paraId="1534D877">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1．法律关系的种类</w:t>
      </w:r>
    </w:p>
    <w:p w14:paraId="2760FB8A">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FF0000"/>
          <w:sz w:val="21"/>
          <w:szCs w:val="21"/>
        </w:rPr>
      </w:pPr>
      <w:r>
        <w:rPr>
          <w:rFonts w:hint="eastAsia" w:ascii="宋体" w:hAnsi="宋体" w:eastAsia="宋体" w:cs="宋体"/>
          <w:color w:val="auto"/>
          <w:sz w:val="21"/>
          <w:szCs w:val="21"/>
        </w:rPr>
        <w:t>调整性法律关系执行的职能是</w:t>
      </w:r>
      <w:r>
        <w:rPr>
          <w:rFonts w:hint="eastAsia" w:ascii="宋体" w:hAnsi="宋体" w:eastAsia="宋体" w:cs="宋体"/>
          <w:color w:val="FF0000"/>
          <w:sz w:val="21"/>
          <w:szCs w:val="21"/>
        </w:rPr>
        <w:t>确立并维护社会关系</w:t>
      </w:r>
      <w:r>
        <w:rPr>
          <w:rFonts w:hint="eastAsia" w:ascii="宋体" w:hAnsi="宋体" w:eastAsia="宋体" w:cs="宋体"/>
          <w:color w:val="auto"/>
          <w:sz w:val="21"/>
          <w:szCs w:val="21"/>
        </w:rPr>
        <w:t>，保护性法律关系执行的职能是</w:t>
      </w:r>
      <w:r>
        <w:rPr>
          <w:rFonts w:hint="eastAsia" w:ascii="宋体" w:hAnsi="宋体" w:eastAsia="宋体" w:cs="宋体"/>
          <w:color w:val="FF0000"/>
          <w:sz w:val="21"/>
          <w:szCs w:val="21"/>
        </w:rPr>
        <w:t>恢复被破坏的权利和秩序。</w:t>
      </w:r>
    </w:p>
    <w:p w14:paraId="4E9E9A59">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纵向法律关系是指在不平等的法律主体之间所建立的权力服从关系，横向法律关系是指平等法律主体之间的权利义务关系。</w:t>
      </w:r>
    </w:p>
    <w:p w14:paraId="35943188">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第一性法律关系是不依赖其他法律关系而独立存在的法律关系，第二性法律关系是基于第一性法律关系而产生的、居于从属地位的法律关系。</w:t>
      </w:r>
    </w:p>
    <w:p w14:paraId="113D0926">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2．法律关系的产生、变更与消灭</w:t>
      </w:r>
    </w:p>
    <w:p w14:paraId="6D94A901">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第一层次包括法律规范和法律事实。根据是否以人们的意志为转移，可以进一步将法律事实分为法律事件（不以当事人的意志为转移）和法律行为（体现了当事人的意志）。</w:t>
      </w:r>
    </w:p>
    <w:p w14:paraId="24C2C259">
      <w:pPr>
        <w:pageBreakBefore w:val="0"/>
        <w:widowControl w:val="0"/>
        <w:kinsoku/>
        <w:wordWrap/>
        <w:overflowPunct/>
        <w:topLinePunct w:val="0"/>
        <w:autoSpaceDE/>
        <w:autoSpaceDN/>
        <w:bidi w:val="0"/>
        <w:adjustRightInd/>
        <w:snapToGrid w:val="0"/>
        <w:spacing w:after="0" w:line="240" w:lineRule="auto"/>
        <w:textAlignment w:val="auto"/>
        <w:outlineLvl w:val="9"/>
        <w:rPr>
          <w:rFonts w:hint="eastAsia" w:ascii="宋体" w:hAnsi="宋体" w:eastAsia="宋体" w:cs="宋体"/>
          <w:color w:val="auto"/>
          <w:sz w:val="21"/>
          <w:szCs w:val="21"/>
        </w:rPr>
      </w:pPr>
    </w:p>
    <w:p w14:paraId="36AAFBE5">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color w:val="auto"/>
          <w:sz w:val="21"/>
          <w:szCs w:val="21"/>
        </w:rPr>
      </w:pPr>
      <w:bookmarkStart w:id="6" w:name="_Toc236829036"/>
      <w:r>
        <w:rPr>
          <w:rFonts w:hint="eastAsia" w:ascii="宋体" w:hAnsi="宋体" w:eastAsia="宋体" w:cs="宋体"/>
          <w:b/>
          <w:bCs/>
          <w:color w:val="auto"/>
          <w:sz w:val="21"/>
          <w:szCs w:val="21"/>
        </w:rPr>
        <w:t>预测考点6  内部证成与外部证成</w:t>
      </w:r>
      <w:bookmarkEnd w:id="6"/>
    </w:p>
    <w:p w14:paraId="5048C2B2">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1．内部证成</w:t>
      </w:r>
    </w:p>
    <w:p w14:paraId="12621796">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内部证成关注的是各个前提与结论之间的逻辑关联问题，即从前提到结论之间的推论是否有效。</w:t>
      </w:r>
    </w:p>
    <w:p w14:paraId="53B9B013">
      <w:pPr>
        <w:keepNext w:val="0"/>
        <w:keepLines w:val="0"/>
        <w:pageBreakBefore w:val="0"/>
        <w:widowControl w:val="0"/>
        <w:kinsoku/>
        <w:wordWrap/>
        <w:overflowPunct/>
        <w:topLinePunct w:val="0"/>
        <w:autoSpaceDE/>
        <w:autoSpaceDN/>
        <w:bidi w:val="0"/>
        <w:adjustRightInd/>
        <w:snapToGrid w:val="0"/>
        <w:spacing w:after="0"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等线"/>
          <w:bCs/>
          <w:szCs w:val="21"/>
        </w:rPr>
        <w:t>内部证成的基本形式主要指的是司法三段论推理，即</w:t>
      </w:r>
      <w:r>
        <w:rPr>
          <w:rFonts w:hint="eastAsia" w:ascii="宋体" w:hAnsi="宋体" w:eastAsia="宋体" w:cs="等线"/>
          <w:b/>
          <w:color w:val="FF0000"/>
          <w:szCs w:val="21"/>
        </w:rPr>
        <w:t>演绎法律推理</w:t>
      </w:r>
      <w:r>
        <w:rPr>
          <w:rFonts w:hint="eastAsia" w:ascii="宋体" w:hAnsi="宋体" w:eastAsia="宋体" w:cs="等线"/>
          <w:bCs/>
          <w:szCs w:val="21"/>
        </w:rPr>
        <w:t>。演绎法律推理是适用一</w:t>
      </w:r>
      <w:bookmarkStart w:id="11" w:name="_GoBack"/>
      <w:r>
        <w:rPr>
          <w:rFonts w:hint="eastAsia" w:ascii="宋体" w:hAnsi="宋体" w:eastAsia="宋体" w:cs="等线"/>
          <w:bCs/>
          <w:szCs w:val="21"/>
        </w:rPr>
        <w:t>般法律规范，对具体案件事实作出判决的推理。</w:t>
      </w:r>
      <w:r>
        <w:rPr>
          <w:rFonts w:hint="eastAsia" w:ascii="宋体" w:hAnsi="宋体" w:eastAsia="宋体" w:cs="等线"/>
          <w:b/>
          <w:color w:val="FF0000"/>
          <w:szCs w:val="21"/>
        </w:rPr>
        <w:t>（大前提：法律规范；小前提：法律事实；结论）</w:t>
      </w:r>
      <w:bookmarkEnd w:id="11"/>
    </w:p>
    <w:p w14:paraId="582F7EB4">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2．外部证成</w:t>
      </w:r>
    </w:p>
    <w:p w14:paraId="311C957C">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外部证成是指对法律决定所依赖的前提的证成，它关注的是法律决定所依赖的前提的正确性和合理性（解题技巧：法律解释、法律漏洞填补都属于外部证成）。</w:t>
      </w:r>
    </w:p>
    <w:p w14:paraId="0676F782">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color w:val="auto"/>
          <w:sz w:val="21"/>
          <w:szCs w:val="21"/>
        </w:rPr>
      </w:pPr>
      <w:r>
        <w:rPr>
          <w:rFonts w:hint="eastAsia" w:ascii="宋体" w:hAnsi="宋体" w:eastAsia="宋体" w:cs="等线"/>
          <w:b/>
          <w:color w:val="FF0000"/>
          <w:szCs w:val="21"/>
        </w:rPr>
        <w:t>内部证成关注由前提到结论的逻辑推导步骤，而外部证成则关心各前提本身的证成。</w:t>
      </w:r>
    </w:p>
    <w:p w14:paraId="5283D30B">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p>
    <w:p w14:paraId="229ACE80">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color w:val="auto"/>
          <w:sz w:val="21"/>
          <w:szCs w:val="21"/>
        </w:rPr>
      </w:pPr>
      <w:bookmarkStart w:id="7" w:name="_Toc236829037"/>
      <w:r>
        <w:rPr>
          <w:rFonts w:hint="eastAsia" w:ascii="宋体" w:hAnsi="宋体" w:eastAsia="宋体" w:cs="宋体"/>
          <w:b/>
          <w:bCs/>
          <w:color w:val="auto"/>
          <w:sz w:val="21"/>
          <w:szCs w:val="21"/>
        </w:rPr>
        <w:t>预测考点7  法律解释的方法与位阶</w:t>
      </w:r>
      <w:bookmarkEnd w:id="7"/>
    </w:p>
    <w:p w14:paraId="610BC846">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1．法律解释的方法</w:t>
      </w:r>
    </w:p>
    <w:p w14:paraId="1C0EFE4C">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文义解释：关键看是否将法律解释的焦点集中在语言文字上。</w:t>
      </w:r>
    </w:p>
    <w:p w14:paraId="063E6D6C">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立法者的目的解释：关键看是否通过查阅立法资料以</w:t>
      </w:r>
      <w:r>
        <w:rPr>
          <w:rFonts w:hint="eastAsia" w:ascii="宋体" w:hAnsi="宋体" w:eastAsia="宋体" w:cs="宋体"/>
          <w:color w:val="FF0000"/>
          <w:sz w:val="21"/>
          <w:szCs w:val="21"/>
        </w:rPr>
        <w:t>查明立法者的主观目的</w:t>
      </w:r>
      <w:r>
        <w:rPr>
          <w:rFonts w:hint="eastAsia" w:ascii="宋体" w:hAnsi="宋体" w:eastAsia="宋体" w:cs="宋体"/>
          <w:color w:val="auto"/>
          <w:sz w:val="21"/>
          <w:szCs w:val="21"/>
        </w:rPr>
        <w:t>。</w:t>
      </w:r>
    </w:p>
    <w:p w14:paraId="23F88A79">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历史解释：关键看是否涉及正在讨论的法律问题的历史事实。</w:t>
      </w:r>
    </w:p>
    <w:p w14:paraId="10E50D51">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比较解释：关键看是否同国外进行比较。</w:t>
      </w:r>
    </w:p>
    <w:p w14:paraId="3E3C893C">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体系解释：关键看解释者是否将有待解释的法律条文置于整个法律体系中进行考查。</w:t>
      </w:r>
    </w:p>
    <w:p w14:paraId="33698E1A">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客观目的解释：关键看是否从法律条文本身的客观目的出发。</w:t>
      </w:r>
    </w:p>
    <w:p w14:paraId="737D43F9">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2．法律解释方法的位阶</w:t>
      </w:r>
    </w:p>
    <w:p w14:paraId="27A5A111">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（1）文义解释→（2）体系解释→（3）立法者的目的解释→（4）历史解释→（5）比较解释→（6）客观目的解释。</w:t>
      </w:r>
    </w:p>
    <w:p w14:paraId="1820DB86">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该顺序不是固定的，但改变顺序需要充分论证。</w:t>
      </w:r>
    </w:p>
    <w:p w14:paraId="634AED10">
      <w:pPr>
        <w:pageBreakBefore w:val="0"/>
        <w:widowControl w:val="0"/>
        <w:kinsoku/>
        <w:wordWrap/>
        <w:overflowPunct/>
        <w:topLinePunct w:val="0"/>
        <w:autoSpaceDE/>
        <w:autoSpaceDN/>
        <w:bidi w:val="0"/>
        <w:adjustRightInd/>
        <w:snapToGrid w:val="0"/>
        <w:spacing w:after="0" w:line="240" w:lineRule="auto"/>
        <w:textAlignment w:val="auto"/>
        <w:outlineLvl w:val="9"/>
        <w:rPr>
          <w:rFonts w:hint="eastAsia" w:ascii="宋体" w:hAnsi="宋体" w:eastAsia="宋体" w:cs="宋体"/>
          <w:color w:val="auto"/>
          <w:sz w:val="21"/>
          <w:szCs w:val="21"/>
        </w:rPr>
      </w:pPr>
    </w:p>
    <w:p w14:paraId="5203F4B8">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color w:val="auto"/>
          <w:sz w:val="21"/>
          <w:szCs w:val="21"/>
        </w:rPr>
      </w:pPr>
      <w:bookmarkStart w:id="8" w:name="_Toc236829038"/>
      <w:r>
        <w:rPr>
          <w:rFonts w:hint="eastAsia" w:ascii="宋体" w:hAnsi="宋体" w:eastAsia="宋体" w:cs="宋体"/>
          <w:b/>
          <w:bCs/>
          <w:color w:val="auto"/>
          <w:sz w:val="21"/>
          <w:szCs w:val="21"/>
        </w:rPr>
        <w:t>预测考点8  法律推理的种类</w:t>
      </w:r>
      <w:bookmarkEnd w:id="8"/>
    </w:p>
    <w:p w14:paraId="16F2B1DC">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b/>
          <w:bCs/>
          <w:color w:val="auto"/>
          <w:sz w:val="21"/>
          <w:szCs w:val="21"/>
        </w:rPr>
        <w:t>1．演绎推理：</w:t>
      </w:r>
      <w:r>
        <w:rPr>
          <w:rFonts w:hint="eastAsia" w:ascii="宋体" w:hAnsi="宋体" w:eastAsia="宋体" w:cs="宋体"/>
          <w:color w:val="auto"/>
          <w:sz w:val="21"/>
          <w:szCs w:val="21"/>
        </w:rPr>
        <w:t>从一般到个别的推理。</w:t>
      </w:r>
      <w:r>
        <w:rPr>
          <w:rFonts w:hint="eastAsia" w:cs="宋体"/>
          <w:color w:val="auto"/>
          <w:sz w:val="21"/>
          <w:szCs w:val="21"/>
          <w:lang w:eastAsia="zh-CN"/>
        </w:rPr>
        <w:t>（</w:t>
      </w:r>
      <w:r>
        <w:rPr>
          <w:rFonts w:hint="eastAsia" w:cs="宋体"/>
          <w:color w:val="auto"/>
          <w:sz w:val="21"/>
          <w:szCs w:val="21"/>
          <w:lang w:val="en-US" w:eastAsia="zh-CN"/>
        </w:rPr>
        <w:t>大陆法系</w:t>
      </w:r>
      <w:r>
        <w:rPr>
          <w:rFonts w:hint="eastAsia" w:cs="宋体"/>
          <w:color w:val="auto"/>
          <w:sz w:val="21"/>
          <w:szCs w:val="21"/>
          <w:lang w:eastAsia="zh-CN"/>
        </w:rPr>
        <w:t>）</w:t>
      </w:r>
    </w:p>
    <w:p w14:paraId="779E159E">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color w:val="auto"/>
          <w:sz w:val="21"/>
          <w:szCs w:val="21"/>
          <w:lang w:eastAsia="zh-CN"/>
        </w:rPr>
      </w:pPr>
      <w:r>
        <w:rPr>
          <w:rFonts w:hint="eastAsia" w:ascii="宋体" w:hAnsi="宋体" w:eastAsia="宋体" w:cs="宋体"/>
          <w:b/>
          <w:bCs/>
          <w:color w:val="auto"/>
          <w:sz w:val="21"/>
          <w:szCs w:val="21"/>
        </w:rPr>
        <w:t>2．归纳推理：</w:t>
      </w:r>
      <w:r>
        <w:rPr>
          <w:rFonts w:hint="eastAsia" w:ascii="宋体" w:hAnsi="宋体" w:eastAsia="宋体" w:cs="宋体"/>
          <w:color w:val="FF0000"/>
          <w:sz w:val="21"/>
          <w:szCs w:val="21"/>
        </w:rPr>
        <w:t>从个别到一般的推理。</w:t>
      </w:r>
      <w:r>
        <w:rPr>
          <w:rFonts w:hint="eastAsia" w:ascii="宋体" w:hAnsi="宋体" w:eastAsia="宋体" w:cs="宋体"/>
          <w:color w:val="auto"/>
          <w:sz w:val="21"/>
          <w:szCs w:val="21"/>
        </w:rPr>
        <w:t>需要在尽量广的范围内，考查和选取尽量多的案例，选取有足够代表性的案例，得出推理结论。</w:t>
      </w:r>
      <w:r>
        <w:rPr>
          <w:rFonts w:hint="eastAsia" w:cs="宋体"/>
          <w:color w:val="auto"/>
          <w:sz w:val="21"/>
          <w:szCs w:val="21"/>
          <w:lang w:eastAsia="zh-CN"/>
        </w:rPr>
        <w:t>（</w:t>
      </w:r>
      <w:r>
        <w:rPr>
          <w:rFonts w:hint="eastAsia" w:cs="宋体"/>
          <w:color w:val="auto"/>
          <w:sz w:val="21"/>
          <w:szCs w:val="21"/>
          <w:lang w:val="en-US" w:eastAsia="zh-CN"/>
        </w:rPr>
        <w:t>英美法系</w:t>
      </w:r>
      <w:r>
        <w:rPr>
          <w:rFonts w:hint="eastAsia" w:cs="宋体"/>
          <w:color w:val="auto"/>
          <w:sz w:val="21"/>
          <w:szCs w:val="21"/>
          <w:lang w:eastAsia="zh-CN"/>
        </w:rPr>
        <w:t>）</w:t>
      </w:r>
    </w:p>
    <w:p w14:paraId="06B0404B">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color w:val="auto"/>
          <w:sz w:val="21"/>
          <w:szCs w:val="21"/>
        </w:rPr>
      </w:pPr>
      <w:r>
        <w:rPr>
          <w:rFonts w:hint="eastAsia" w:ascii="宋体" w:hAnsi="宋体" w:eastAsia="宋体" w:cs="宋体"/>
          <w:b/>
          <w:bCs/>
          <w:color w:val="auto"/>
          <w:sz w:val="21"/>
          <w:szCs w:val="21"/>
        </w:rPr>
        <w:t>3</w:t>
      </w:r>
      <w:r>
        <w:rPr>
          <w:rFonts w:hint="eastAsia" w:ascii="宋体" w:hAnsi="宋体" w:eastAsia="宋体" w:cs="宋体"/>
          <w:b/>
          <w:bCs/>
          <w:color w:val="auto"/>
          <w:sz w:val="21"/>
          <w:szCs w:val="21"/>
        </w:rPr>
        <w:t>．类比推理：</w:t>
      </w:r>
      <w:r>
        <w:rPr>
          <w:rFonts w:hint="eastAsia" w:ascii="宋体" w:hAnsi="宋体" w:eastAsia="宋体" w:cs="宋体"/>
          <w:color w:val="auto"/>
          <w:sz w:val="21"/>
          <w:szCs w:val="21"/>
        </w:rPr>
        <w:t>从个别到个别的推理。根据两个或两类事物在某些属性上相同，从而推出它们在另一个或另一些属性上也相同。</w:t>
      </w:r>
    </w:p>
    <w:p w14:paraId="329F3452">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color w:val="auto"/>
          <w:sz w:val="21"/>
          <w:szCs w:val="21"/>
        </w:rPr>
      </w:pPr>
      <w:r>
        <w:rPr>
          <w:rFonts w:hint="eastAsia" w:ascii="宋体" w:hAnsi="宋体" w:eastAsia="宋体" w:cs="宋体"/>
          <w:b/>
          <w:bCs/>
          <w:color w:val="auto"/>
          <w:sz w:val="21"/>
          <w:szCs w:val="21"/>
        </w:rPr>
        <w:t>4．反向推理：</w:t>
      </w:r>
      <w:r>
        <w:rPr>
          <w:rFonts w:hint="eastAsia" w:ascii="宋体" w:hAnsi="宋体" w:eastAsia="宋体" w:cs="宋体"/>
          <w:color w:val="auto"/>
          <w:sz w:val="21"/>
          <w:szCs w:val="21"/>
        </w:rPr>
        <w:t>从法律规范赋予某种事实情形以某个法律后果推出，这一后果不适用于法律规范未规定的其他事实情形。</w:t>
      </w:r>
    </w:p>
    <w:p w14:paraId="20A6F4AC">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color w:val="auto"/>
          <w:sz w:val="21"/>
          <w:szCs w:val="21"/>
        </w:rPr>
      </w:pPr>
      <w:r>
        <w:rPr>
          <w:rFonts w:hint="eastAsia" w:ascii="宋体" w:hAnsi="宋体" w:eastAsia="宋体" w:cs="宋体"/>
          <w:b/>
          <w:bCs/>
          <w:color w:val="auto"/>
          <w:sz w:val="21"/>
          <w:szCs w:val="21"/>
        </w:rPr>
        <w:t>5．当然推理：</w:t>
      </w:r>
      <w:r>
        <w:rPr>
          <w:rFonts w:hint="eastAsia" w:ascii="宋体" w:hAnsi="宋体" w:eastAsia="宋体" w:cs="宋体"/>
          <w:color w:val="auto"/>
          <w:sz w:val="21"/>
          <w:szCs w:val="21"/>
        </w:rPr>
        <w:t>典型形式是举轻以明重和举重以明轻。</w:t>
      </w:r>
    </w:p>
    <w:p w14:paraId="40053DE1">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color w:val="auto"/>
          <w:sz w:val="21"/>
          <w:szCs w:val="21"/>
        </w:rPr>
      </w:pPr>
      <w:r>
        <w:rPr>
          <w:rFonts w:hint="eastAsia" w:ascii="宋体" w:hAnsi="宋体" w:eastAsia="宋体" w:cs="宋体"/>
          <w:b/>
          <w:bCs/>
          <w:color w:val="auto"/>
          <w:sz w:val="21"/>
          <w:szCs w:val="21"/>
        </w:rPr>
        <w:t>6．设证推理：</w:t>
      </w:r>
      <w:r>
        <w:rPr>
          <w:rFonts w:hint="eastAsia" w:ascii="宋体" w:hAnsi="宋体" w:eastAsia="宋体" w:cs="宋体"/>
          <w:color w:val="auto"/>
          <w:sz w:val="21"/>
          <w:szCs w:val="21"/>
        </w:rPr>
        <w:t>从某个结论或事实出发，依据某个假定的法则推导出某个前提或曾发生的事实的推理。</w:t>
      </w:r>
    </w:p>
    <w:p w14:paraId="3178AFE4">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p>
    <w:p w14:paraId="77B04DD3">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color w:val="auto"/>
          <w:sz w:val="21"/>
          <w:szCs w:val="21"/>
        </w:rPr>
      </w:pPr>
      <w:bookmarkStart w:id="9" w:name="_Toc236829039"/>
      <w:r>
        <w:rPr>
          <w:rFonts w:hint="eastAsia" w:ascii="宋体" w:hAnsi="宋体" w:eastAsia="宋体" w:cs="宋体"/>
          <w:b/>
          <w:bCs/>
          <w:color w:val="auto"/>
          <w:sz w:val="21"/>
          <w:szCs w:val="21"/>
        </w:rPr>
        <w:t>预测考点9  法律漏洞的填补</w:t>
      </w:r>
      <w:bookmarkEnd w:id="9"/>
    </w:p>
    <w:p w14:paraId="177E03CE">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1．法律漏洞的分类</w:t>
      </w:r>
    </w:p>
    <w:p w14:paraId="5864A15E">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全部漏洞与部分漏洞。分类标准是法律对某个事项是否完全没有规定。</w:t>
      </w:r>
    </w:p>
    <w:p w14:paraId="278F8172">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明显漏洞和隐藏漏洞。前者是法律应积极地加以规定却没有规定，后者是法律对某个事项应设有例外却未设例外。</w:t>
      </w:r>
    </w:p>
    <w:p w14:paraId="4765B447">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自始漏洞和嗣后漏洞。分类标准是法律漏洞产生于法律制定时还是法律实施后。</w:t>
      </w:r>
    </w:p>
    <w:p w14:paraId="23C1D4AC">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2．法律漏洞的填补方法</w:t>
      </w:r>
    </w:p>
    <w:p w14:paraId="5E088BE5">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填补明显漏洞的方法是目的论扩张，填补隐藏漏洞的方法是目的论限缩。</w:t>
      </w:r>
    </w:p>
    <w:p w14:paraId="5539D658">
      <w:pPr>
        <w:pageBreakBefore w:val="0"/>
        <w:widowControl w:val="0"/>
        <w:kinsoku/>
        <w:wordWrap/>
        <w:overflowPunct/>
        <w:topLinePunct w:val="0"/>
        <w:autoSpaceDE/>
        <w:autoSpaceDN/>
        <w:bidi w:val="0"/>
        <w:adjustRightInd/>
        <w:snapToGrid w:val="0"/>
        <w:spacing w:line="240" w:lineRule="auto"/>
        <w:ind w:firstLine="420"/>
        <w:textAlignment w:val="auto"/>
        <w:rPr>
          <w:rFonts w:hint="eastAsia" w:ascii="宋体" w:hAnsi="宋体" w:eastAsia="宋体" w:cs="宋体"/>
          <w:color w:val="auto"/>
          <w:sz w:val="21"/>
          <w:szCs w:val="21"/>
        </w:rPr>
      </w:pPr>
      <w:r>
        <w:rPr>
          <w:rFonts w:ascii="宋体" w:hAnsi="宋体" w:eastAsia="宋体" w:cs="等线"/>
          <w:szCs w:val="21"/>
        </w:rPr>
        <w:t>目的论扩张是</w:t>
      </w:r>
      <w:r>
        <w:rPr>
          <w:rFonts w:ascii="宋体" w:hAnsi="宋体" w:eastAsia="宋体" w:cs="等线"/>
          <w:b/>
          <w:bCs/>
          <w:color w:val="FF0000"/>
          <w:szCs w:val="21"/>
        </w:rPr>
        <w:t>漏洞填补的方法</w:t>
      </w:r>
      <w:r>
        <w:rPr>
          <w:rFonts w:ascii="宋体" w:hAnsi="宋体" w:eastAsia="宋体" w:cs="等线"/>
          <w:szCs w:val="21"/>
        </w:rPr>
        <w:t>， 扩张解释则是</w:t>
      </w:r>
      <w:r>
        <w:rPr>
          <w:rFonts w:ascii="宋体" w:hAnsi="宋体" w:eastAsia="宋体" w:cs="等线"/>
          <w:b/>
          <w:bCs/>
          <w:color w:val="FF0000"/>
          <w:szCs w:val="21"/>
        </w:rPr>
        <w:t>文义解释的特殊情形</w:t>
      </w:r>
      <w:r>
        <w:rPr>
          <w:rFonts w:ascii="宋体" w:hAnsi="宋体" w:eastAsia="宋体" w:cs="等线"/>
          <w:szCs w:val="21"/>
        </w:rPr>
        <w:t xml:space="preserve">。 </w:t>
      </w:r>
    </w:p>
    <w:p w14:paraId="19E51049">
      <w:pPr>
        <w:keepNext/>
        <w:keepLines/>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宋体" w:hAnsi="宋体" w:eastAsia="宋体" w:cs="宋体"/>
          <w:b/>
          <w:bCs/>
          <w:color w:val="auto"/>
          <w:sz w:val="21"/>
          <w:szCs w:val="21"/>
        </w:rPr>
      </w:pPr>
      <w:bookmarkStart w:id="10" w:name="_Toc236829040"/>
      <w:r>
        <w:rPr>
          <w:rFonts w:hint="eastAsia" w:ascii="宋体" w:hAnsi="宋体" w:eastAsia="宋体" w:cs="宋体"/>
          <w:b/>
          <w:bCs/>
          <w:color w:val="auto"/>
          <w:sz w:val="21"/>
          <w:szCs w:val="21"/>
        </w:rPr>
        <w:t>预测考点10  法与道德</w:t>
      </w:r>
      <w:bookmarkEnd w:id="10"/>
    </w:p>
    <w:p w14:paraId="56DD4FED">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1．自然法</w:t>
      </w:r>
    </w:p>
    <w:p w14:paraId="03502A1E">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主张法在概念上包含道德内涵，即“恶法非法”；以</w:t>
      </w:r>
      <w:r>
        <w:rPr>
          <w:rFonts w:hint="eastAsia" w:ascii="宋体" w:hAnsi="宋体" w:eastAsia="宋体" w:cs="宋体"/>
          <w:color w:val="FF0000"/>
          <w:sz w:val="21"/>
          <w:szCs w:val="21"/>
        </w:rPr>
        <w:t>内容正确性</w:t>
      </w:r>
      <w:r>
        <w:rPr>
          <w:rFonts w:hint="eastAsia" w:ascii="宋体" w:hAnsi="宋体" w:eastAsia="宋体" w:cs="宋体"/>
          <w:color w:val="auto"/>
          <w:sz w:val="21"/>
          <w:szCs w:val="21"/>
        </w:rPr>
        <w:t>作为法的概念的必要定义要素。</w:t>
      </w:r>
    </w:p>
    <w:p w14:paraId="356C6D68">
      <w:pPr>
        <w:pageBreakBefore w:val="0"/>
        <w:widowControl w:val="0"/>
        <w:kinsoku/>
        <w:wordWrap/>
        <w:overflowPunct/>
        <w:topLinePunct w:val="0"/>
        <w:autoSpaceDE/>
        <w:autoSpaceDN/>
        <w:bidi w:val="0"/>
        <w:adjustRightInd/>
        <w:snapToGrid w:val="0"/>
        <w:spacing w:after="0" w:line="240" w:lineRule="auto"/>
        <w:ind w:firstLine="422" w:firstLineChars="200"/>
        <w:textAlignment w:val="auto"/>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2．法律实证主义</w:t>
      </w:r>
    </w:p>
    <w:p w14:paraId="1BAE0494">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主张法的概念上不包含道德内涵，即“恶法亦法”；以</w:t>
      </w:r>
      <w:r>
        <w:rPr>
          <w:rFonts w:hint="eastAsia" w:ascii="宋体" w:hAnsi="宋体" w:eastAsia="宋体" w:cs="宋体"/>
          <w:color w:val="FF0000"/>
          <w:sz w:val="21"/>
          <w:szCs w:val="21"/>
        </w:rPr>
        <w:t>权威性制定和社会实效性</w:t>
      </w:r>
      <w:r>
        <w:rPr>
          <w:rFonts w:hint="eastAsia" w:ascii="宋体" w:hAnsi="宋体" w:eastAsia="宋体" w:cs="宋体"/>
          <w:color w:val="auto"/>
          <w:sz w:val="21"/>
          <w:szCs w:val="21"/>
        </w:rPr>
        <w:t>作为法的概念的必要定义要素。</w:t>
      </w:r>
    </w:p>
    <w:p w14:paraId="0086F88E">
      <w:pPr>
        <w:pageBreakBefore w:val="0"/>
        <w:widowControl w:val="0"/>
        <w:kinsoku/>
        <w:wordWrap/>
        <w:overflowPunct/>
        <w:topLinePunct w:val="0"/>
        <w:autoSpaceDE/>
        <w:autoSpaceDN/>
        <w:bidi w:val="0"/>
        <w:adjustRightInd/>
        <w:snapToGrid w:val="0"/>
        <w:spacing w:after="0" w:line="240" w:lineRule="auto"/>
        <w:ind w:firstLine="420" w:firstLineChars="200"/>
        <w:textAlignment w:val="auto"/>
        <w:outlineLvl w:val="9"/>
        <w:rPr>
          <w:rFonts w:hint="eastAsia" w:ascii="宋体" w:hAnsi="宋体" w:eastAsia="宋体" w:cs="宋体"/>
          <w:color w:val="auto"/>
          <w:sz w:val="21"/>
          <w:szCs w:val="21"/>
        </w:rPr>
      </w:pPr>
    </w:p>
    <w:sectPr>
      <w:headerReference r:id="rId5" w:type="default"/>
      <w:footerReference r:id="rId7" w:type="default"/>
      <w:headerReference r:id="rId6" w:type="even"/>
      <w:footerReference r:id="rId8" w:type="even"/>
      <w:pgSz w:w="11900" w:h="16840"/>
      <w:pgMar w:top="1701" w:right="1588" w:bottom="1247" w:left="1588" w:header="851" w:footer="709" w:gutter="0"/>
      <w:pgNumType w:start="2"/>
      <w:cols w:space="425" w:num="1"/>
      <w:docGrid w:type="lines" w:linePitch="42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ACADEMY ENGRAVED LET PLAIN:1.0">
    <w:altName w:val="Segoe Print"/>
    <w:panose1 w:val="00000000000000000000"/>
    <w:charset w:val="00"/>
    <w:family w:val="auto"/>
    <w:pitch w:val="default"/>
    <w:sig w:usb0="00000000" w:usb1="00000000" w:usb2="00000000" w:usb3="00000000" w:csb0="00000001" w:csb1="00000000"/>
  </w:font>
  <w:font w:name="Wide Latin">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汉仪中黑简">
    <w:altName w:val="微软雅黑"/>
    <w:panose1 w:val="02010609000101010101"/>
    <w:charset w:val="86"/>
    <w:family w:val="modern"/>
    <w:pitch w:val="default"/>
    <w:sig w:usb0="00000000" w:usb1="00000000" w:usb2="00000012" w:usb3="00000000" w:csb0="00040000" w:csb1="00000000"/>
  </w:font>
  <w:font w:name="微软雅黑">
    <w:panose1 w:val="020B0503020204020204"/>
    <w:charset w:val="86"/>
    <w:family w:val="auto"/>
    <w:pitch w:val="default"/>
    <w:sig w:usb0="80000287" w:usb1="2ACF3C50" w:usb2="00000016" w:usb3="00000000" w:csb0="0004001F" w:csb1="00000000"/>
  </w:font>
  <w:font w:name="汉仪书宋二简">
    <w:altName w:val="微软雅黑"/>
    <w:panose1 w:val="02010609000101010101"/>
    <w:charset w:val="86"/>
    <w:family w:val="modern"/>
    <w:pitch w:val="default"/>
    <w:sig w:usb0="00000000" w:usb1="00000000" w:usb2="00000012"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汉仪大宋简">
    <w:altName w:val="宋体"/>
    <w:panose1 w:val="02010609000101010101"/>
    <w:charset w:val="86"/>
    <w:family w:val="modern"/>
    <w:pitch w:val="default"/>
    <w:sig w:usb0="00000000" w:usb1="00000000" w:usb2="00000012" w:usb3="00000000" w:csb0="00040000" w:csb1="00000000"/>
  </w:font>
  <w:font w:name="汉仪大黑简">
    <w:altName w:val="黑体"/>
    <w:panose1 w:val="02010609000101010101"/>
    <w:charset w:val="86"/>
    <w:family w:val="modern"/>
    <w:pitch w:val="default"/>
    <w:sig w:usb0="00000000" w:usb1="00000000" w:usb2="00000012" w:usb3="00000000" w:csb0="00040000" w:csb1="00000000"/>
  </w:font>
  <w:font w:name="汉仪中等线简">
    <w:altName w:val="宋体"/>
    <w:panose1 w:val="02010609000101010101"/>
    <w:charset w:val="86"/>
    <w:family w:val="modern"/>
    <w:pitch w:val="default"/>
    <w:sig w:usb0="00000000" w:usb1="00000000" w:usb2="00000012" w:usb3="00000000" w:csb0="00040000" w:csb1="00000000"/>
  </w:font>
  <w:font w:name="MS Mincho">
    <w:altName w:val="Yu Gothic UI"/>
    <w:panose1 w:val="02020609040205080304"/>
    <w:charset w:val="80"/>
    <w:family w:val="modern"/>
    <w:pitch w:val="default"/>
    <w:sig w:usb0="00000000" w:usb1="00000000" w:usb2="00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汉仪粗黑简">
    <w:altName w:val="微软雅黑"/>
    <w:panose1 w:val="02010609000101010101"/>
    <w:charset w:val="86"/>
    <w:family w:val="modern"/>
    <w:pitch w:val="default"/>
    <w:sig w:usb0="00000000" w:usb1="00000000" w:usb2="00000012" w:usb3="00000000" w:csb0="00040000" w:csb1="00000000"/>
  </w:font>
  <w:font w:name="Yu Gothic UI">
    <w:panose1 w:val="020B0500000000000000"/>
    <w:charset w:val="80"/>
    <w:family w:val="auto"/>
    <w:pitch w:val="default"/>
    <w:sig w:usb0="E00002FF" w:usb1="2AC7FDFF" w:usb2="00000016" w:usb3="00000000" w:csb0="2002009F" w:csb1="00000000"/>
  </w:font>
  <w:font w:name="Segoe UI Emoji">
    <w:panose1 w:val="020B0502040204020203"/>
    <w:charset w:val="00"/>
    <w:family w:val="auto"/>
    <w:pitch w:val="default"/>
    <w:sig w:usb0="00000001" w:usb1="02000000" w:usb2="08000000" w:usb3="00000000" w:csb0="00000001" w:csb1="00000000"/>
  </w:font>
  <w:font w:name="KSOF2A9ED157">
    <w:panose1 w:val="02010609060101010101"/>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109088194"/>
    </w:sdtPr>
    <w:sdtEndPr>
      <w:rPr>
        <w:rFonts w:hint="eastAsia" w:ascii="汉仪书宋二简" w:eastAsia="汉仪书宋二简"/>
      </w:rPr>
    </w:sdtEndPr>
    <w:sdtContent>
      <w:p w14:paraId="4A9E174D">
        <w:pPr>
          <w:pStyle w:val="15"/>
          <w:spacing w:after="0" w:line="240" w:lineRule="auto"/>
          <w:jc w:val="right"/>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80933698"/>
    </w:sdtPr>
    <w:sdtEndPr>
      <w:rPr>
        <w:rFonts w:hint="eastAsia" w:ascii="汉仪书宋二简" w:eastAsia="汉仪书宋二简"/>
      </w:rPr>
    </w:sdtEndPr>
    <w:sdtContent>
      <w:p w14:paraId="0B632FBC">
        <w:pPr>
          <w:pStyle w:val="15"/>
          <w:spacing w:after="0" w:line="240" w:lineRule="auto"/>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EEE5">
    <w:pPr>
      <w:wordWrap w:val="0"/>
      <w:spacing w:after="0" w:line="207" w:lineRule="exact"/>
      <w:jc w:val="right"/>
      <w:rPr>
        <w:rFonts w:hint="eastAsia" w:ascii="黑体" w:hAnsi="黑体" w:eastAsia="黑体" w:cs="黑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7CD3">
    <w:pPr>
      <w:spacing w:line="207" w:lineRule="exact"/>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hideSpellingErrors/>
  <w:documentProtection w:edit="readOnly" w:enforcement="0"/>
  <w:defaultTabStop w:val="420"/>
  <w:evenAndOddHeaders w:val="1"/>
  <w:drawingGridHorizontalSpacing w:val="105"/>
  <w:drawingGridVerticalSpacing w:val="423"/>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CDC"/>
    <w:rsid w:val="0000041D"/>
    <w:rsid w:val="000007C3"/>
    <w:rsid w:val="00004337"/>
    <w:rsid w:val="000069E6"/>
    <w:rsid w:val="00007029"/>
    <w:rsid w:val="00007133"/>
    <w:rsid w:val="00007D20"/>
    <w:rsid w:val="00007E14"/>
    <w:rsid w:val="0001170A"/>
    <w:rsid w:val="00013C95"/>
    <w:rsid w:val="00017244"/>
    <w:rsid w:val="00020E34"/>
    <w:rsid w:val="00021506"/>
    <w:rsid w:val="00023716"/>
    <w:rsid w:val="00023DA1"/>
    <w:rsid w:val="00024324"/>
    <w:rsid w:val="00025C72"/>
    <w:rsid w:val="00030614"/>
    <w:rsid w:val="000307BB"/>
    <w:rsid w:val="000330D3"/>
    <w:rsid w:val="00033663"/>
    <w:rsid w:val="000344AC"/>
    <w:rsid w:val="0003575F"/>
    <w:rsid w:val="0003696A"/>
    <w:rsid w:val="000416F3"/>
    <w:rsid w:val="00041CDA"/>
    <w:rsid w:val="000454DB"/>
    <w:rsid w:val="00045BED"/>
    <w:rsid w:val="00051110"/>
    <w:rsid w:val="00051B03"/>
    <w:rsid w:val="000520D9"/>
    <w:rsid w:val="000561B1"/>
    <w:rsid w:val="0005705F"/>
    <w:rsid w:val="00057389"/>
    <w:rsid w:val="00057796"/>
    <w:rsid w:val="00060D7C"/>
    <w:rsid w:val="00061303"/>
    <w:rsid w:val="000618E9"/>
    <w:rsid w:val="00062462"/>
    <w:rsid w:val="00062B02"/>
    <w:rsid w:val="0006444A"/>
    <w:rsid w:val="00064FAF"/>
    <w:rsid w:val="00065CDC"/>
    <w:rsid w:val="000721BA"/>
    <w:rsid w:val="00075EFD"/>
    <w:rsid w:val="00076E30"/>
    <w:rsid w:val="00080B5C"/>
    <w:rsid w:val="0008138B"/>
    <w:rsid w:val="0008155F"/>
    <w:rsid w:val="00084DD5"/>
    <w:rsid w:val="00090A70"/>
    <w:rsid w:val="00091026"/>
    <w:rsid w:val="00091F2D"/>
    <w:rsid w:val="000923CF"/>
    <w:rsid w:val="0009695B"/>
    <w:rsid w:val="000A0B59"/>
    <w:rsid w:val="000A17DE"/>
    <w:rsid w:val="000B0D14"/>
    <w:rsid w:val="000B146C"/>
    <w:rsid w:val="000B3EEE"/>
    <w:rsid w:val="000B4132"/>
    <w:rsid w:val="000B41AA"/>
    <w:rsid w:val="000B591E"/>
    <w:rsid w:val="000B5C75"/>
    <w:rsid w:val="000B615F"/>
    <w:rsid w:val="000B69C5"/>
    <w:rsid w:val="000B701B"/>
    <w:rsid w:val="000C0AD8"/>
    <w:rsid w:val="000C143C"/>
    <w:rsid w:val="000C29E2"/>
    <w:rsid w:val="000C35CB"/>
    <w:rsid w:val="000C4BF7"/>
    <w:rsid w:val="000C689C"/>
    <w:rsid w:val="000C6D88"/>
    <w:rsid w:val="000D2CF9"/>
    <w:rsid w:val="000D3147"/>
    <w:rsid w:val="000D44D5"/>
    <w:rsid w:val="000D56C5"/>
    <w:rsid w:val="000D56E5"/>
    <w:rsid w:val="000D6328"/>
    <w:rsid w:val="000D6B00"/>
    <w:rsid w:val="000D6D82"/>
    <w:rsid w:val="000D7674"/>
    <w:rsid w:val="000D7B61"/>
    <w:rsid w:val="000D7CD4"/>
    <w:rsid w:val="000D7E08"/>
    <w:rsid w:val="000E01C1"/>
    <w:rsid w:val="000E0250"/>
    <w:rsid w:val="000E0BCF"/>
    <w:rsid w:val="000E30E1"/>
    <w:rsid w:val="000E686F"/>
    <w:rsid w:val="000E6C3C"/>
    <w:rsid w:val="000F04EC"/>
    <w:rsid w:val="000F139E"/>
    <w:rsid w:val="000F2150"/>
    <w:rsid w:val="000F2D94"/>
    <w:rsid w:val="000F313E"/>
    <w:rsid w:val="000F3220"/>
    <w:rsid w:val="000F4068"/>
    <w:rsid w:val="000F4105"/>
    <w:rsid w:val="000F4984"/>
    <w:rsid w:val="000F5845"/>
    <w:rsid w:val="000F7E03"/>
    <w:rsid w:val="00101A07"/>
    <w:rsid w:val="0010245C"/>
    <w:rsid w:val="00103FAF"/>
    <w:rsid w:val="001041CA"/>
    <w:rsid w:val="001043C5"/>
    <w:rsid w:val="00104BD1"/>
    <w:rsid w:val="00105D3B"/>
    <w:rsid w:val="00106298"/>
    <w:rsid w:val="001070B9"/>
    <w:rsid w:val="00110ACD"/>
    <w:rsid w:val="00113096"/>
    <w:rsid w:val="001132EF"/>
    <w:rsid w:val="00114E60"/>
    <w:rsid w:val="0011516B"/>
    <w:rsid w:val="00117A62"/>
    <w:rsid w:val="0012151C"/>
    <w:rsid w:val="00122FF3"/>
    <w:rsid w:val="0012563A"/>
    <w:rsid w:val="00125ED0"/>
    <w:rsid w:val="00126916"/>
    <w:rsid w:val="001269BF"/>
    <w:rsid w:val="00130E71"/>
    <w:rsid w:val="00131558"/>
    <w:rsid w:val="001332A1"/>
    <w:rsid w:val="00133BBA"/>
    <w:rsid w:val="00134033"/>
    <w:rsid w:val="0013470C"/>
    <w:rsid w:val="001356F0"/>
    <w:rsid w:val="00135A24"/>
    <w:rsid w:val="00135C9D"/>
    <w:rsid w:val="001363A1"/>
    <w:rsid w:val="00136E54"/>
    <w:rsid w:val="00137ABD"/>
    <w:rsid w:val="0014014C"/>
    <w:rsid w:val="00141873"/>
    <w:rsid w:val="001418E9"/>
    <w:rsid w:val="00141A50"/>
    <w:rsid w:val="0014386A"/>
    <w:rsid w:val="00146796"/>
    <w:rsid w:val="00146BF2"/>
    <w:rsid w:val="00147E74"/>
    <w:rsid w:val="00150C06"/>
    <w:rsid w:val="0015119E"/>
    <w:rsid w:val="00152335"/>
    <w:rsid w:val="00152AAE"/>
    <w:rsid w:val="00162C62"/>
    <w:rsid w:val="0016379D"/>
    <w:rsid w:val="00166735"/>
    <w:rsid w:val="00167640"/>
    <w:rsid w:val="00170421"/>
    <w:rsid w:val="0017078E"/>
    <w:rsid w:val="0017085B"/>
    <w:rsid w:val="00170907"/>
    <w:rsid w:val="00170C5F"/>
    <w:rsid w:val="00170CC5"/>
    <w:rsid w:val="00172109"/>
    <w:rsid w:val="00174370"/>
    <w:rsid w:val="00174B1F"/>
    <w:rsid w:val="00177320"/>
    <w:rsid w:val="00177C41"/>
    <w:rsid w:val="00180017"/>
    <w:rsid w:val="00180423"/>
    <w:rsid w:val="00180579"/>
    <w:rsid w:val="0018095A"/>
    <w:rsid w:val="00183BEB"/>
    <w:rsid w:val="001877D0"/>
    <w:rsid w:val="00192304"/>
    <w:rsid w:val="00192A1C"/>
    <w:rsid w:val="00193237"/>
    <w:rsid w:val="00194DED"/>
    <w:rsid w:val="001964CC"/>
    <w:rsid w:val="001A0538"/>
    <w:rsid w:val="001A090E"/>
    <w:rsid w:val="001A11C5"/>
    <w:rsid w:val="001A33A3"/>
    <w:rsid w:val="001A405E"/>
    <w:rsid w:val="001A416B"/>
    <w:rsid w:val="001A421E"/>
    <w:rsid w:val="001A4351"/>
    <w:rsid w:val="001A6D73"/>
    <w:rsid w:val="001A6DD4"/>
    <w:rsid w:val="001B05EE"/>
    <w:rsid w:val="001B1109"/>
    <w:rsid w:val="001B1191"/>
    <w:rsid w:val="001B22F6"/>
    <w:rsid w:val="001B353D"/>
    <w:rsid w:val="001B4007"/>
    <w:rsid w:val="001B6C99"/>
    <w:rsid w:val="001B7367"/>
    <w:rsid w:val="001C13EF"/>
    <w:rsid w:val="001C2052"/>
    <w:rsid w:val="001C32F6"/>
    <w:rsid w:val="001C3CBB"/>
    <w:rsid w:val="001C596B"/>
    <w:rsid w:val="001C6D78"/>
    <w:rsid w:val="001C7326"/>
    <w:rsid w:val="001D322F"/>
    <w:rsid w:val="001D52D4"/>
    <w:rsid w:val="001E0DC3"/>
    <w:rsid w:val="001E1CA9"/>
    <w:rsid w:val="001E2526"/>
    <w:rsid w:val="001E3CE3"/>
    <w:rsid w:val="001F2063"/>
    <w:rsid w:val="001F3F62"/>
    <w:rsid w:val="001F4545"/>
    <w:rsid w:val="001F4B5F"/>
    <w:rsid w:val="001F4D13"/>
    <w:rsid w:val="001F4F9B"/>
    <w:rsid w:val="001F61E9"/>
    <w:rsid w:val="001F6802"/>
    <w:rsid w:val="00202F07"/>
    <w:rsid w:val="00203C17"/>
    <w:rsid w:val="00204D44"/>
    <w:rsid w:val="00210F7F"/>
    <w:rsid w:val="00212232"/>
    <w:rsid w:val="002127C3"/>
    <w:rsid w:val="00213812"/>
    <w:rsid w:val="00217BC4"/>
    <w:rsid w:val="00217FAD"/>
    <w:rsid w:val="0022032E"/>
    <w:rsid w:val="002208DA"/>
    <w:rsid w:val="002222AE"/>
    <w:rsid w:val="00224832"/>
    <w:rsid w:val="0022570E"/>
    <w:rsid w:val="00225BD4"/>
    <w:rsid w:val="002266A1"/>
    <w:rsid w:val="0022795E"/>
    <w:rsid w:val="002306E1"/>
    <w:rsid w:val="00230BB8"/>
    <w:rsid w:val="002334CD"/>
    <w:rsid w:val="0023547C"/>
    <w:rsid w:val="00236797"/>
    <w:rsid w:val="00237481"/>
    <w:rsid w:val="00237A5A"/>
    <w:rsid w:val="00240282"/>
    <w:rsid w:val="002422D7"/>
    <w:rsid w:val="0024573C"/>
    <w:rsid w:val="002463BF"/>
    <w:rsid w:val="00246E42"/>
    <w:rsid w:val="0024755F"/>
    <w:rsid w:val="002477E2"/>
    <w:rsid w:val="00247F31"/>
    <w:rsid w:val="00251584"/>
    <w:rsid w:val="00254628"/>
    <w:rsid w:val="002555F1"/>
    <w:rsid w:val="002649B8"/>
    <w:rsid w:val="00264C37"/>
    <w:rsid w:val="00265BD2"/>
    <w:rsid w:val="00266E58"/>
    <w:rsid w:val="0027016E"/>
    <w:rsid w:val="002705E7"/>
    <w:rsid w:val="002706F6"/>
    <w:rsid w:val="0027404F"/>
    <w:rsid w:val="00277C55"/>
    <w:rsid w:val="00277DDE"/>
    <w:rsid w:val="00282EBD"/>
    <w:rsid w:val="0028378F"/>
    <w:rsid w:val="00284147"/>
    <w:rsid w:val="002841F4"/>
    <w:rsid w:val="00284B78"/>
    <w:rsid w:val="00286A61"/>
    <w:rsid w:val="00291A83"/>
    <w:rsid w:val="00292C23"/>
    <w:rsid w:val="00292DA8"/>
    <w:rsid w:val="00293587"/>
    <w:rsid w:val="00295D1E"/>
    <w:rsid w:val="002A5887"/>
    <w:rsid w:val="002A6559"/>
    <w:rsid w:val="002B2715"/>
    <w:rsid w:val="002B55DF"/>
    <w:rsid w:val="002C0157"/>
    <w:rsid w:val="002C0255"/>
    <w:rsid w:val="002C1A5A"/>
    <w:rsid w:val="002C2E70"/>
    <w:rsid w:val="002C2FFC"/>
    <w:rsid w:val="002D2EBA"/>
    <w:rsid w:val="002D3D1C"/>
    <w:rsid w:val="002D47BE"/>
    <w:rsid w:val="002D5615"/>
    <w:rsid w:val="002D5A27"/>
    <w:rsid w:val="002D73B3"/>
    <w:rsid w:val="002D7DE3"/>
    <w:rsid w:val="002E0E7B"/>
    <w:rsid w:val="002E2477"/>
    <w:rsid w:val="002E25BA"/>
    <w:rsid w:val="002E30AC"/>
    <w:rsid w:val="002E3B4F"/>
    <w:rsid w:val="002E4658"/>
    <w:rsid w:val="002E4965"/>
    <w:rsid w:val="002E5D78"/>
    <w:rsid w:val="002F3792"/>
    <w:rsid w:val="002F48B1"/>
    <w:rsid w:val="002F70A7"/>
    <w:rsid w:val="003012CE"/>
    <w:rsid w:val="003014F0"/>
    <w:rsid w:val="00301565"/>
    <w:rsid w:val="00301A1F"/>
    <w:rsid w:val="00306526"/>
    <w:rsid w:val="00313A7B"/>
    <w:rsid w:val="00314DF0"/>
    <w:rsid w:val="00315DFF"/>
    <w:rsid w:val="0032038C"/>
    <w:rsid w:val="00320F85"/>
    <w:rsid w:val="003212E2"/>
    <w:rsid w:val="00322577"/>
    <w:rsid w:val="003238F4"/>
    <w:rsid w:val="00323E79"/>
    <w:rsid w:val="00324172"/>
    <w:rsid w:val="00325D88"/>
    <w:rsid w:val="00326198"/>
    <w:rsid w:val="00330620"/>
    <w:rsid w:val="00330C05"/>
    <w:rsid w:val="00331CE2"/>
    <w:rsid w:val="00333AC8"/>
    <w:rsid w:val="003364AD"/>
    <w:rsid w:val="00336B60"/>
    <w:rsid w:val="00341BB9"/>
    <w:rsid w:val="00342880"/>
    <w:rsid w:val="00346E53"/>
    <w:rsid w:val="0034709E"/>
    <w:rsid w:val="003518D7"/>
    <w:rsid w:val="00351FF4"/>
    <w:rsid w:val="00352F10"/>
    <w:rsid w:val="0035316A"/>
    <w:rsid w:val="00355353"/>
    <w:rsid w:val="003553E6"/>
    <w:rsid w:val="00355944"/>
    <w:rsid w:val="00355E2E"/>
    <w:rsid w:val="00355F20"/>
    <w:rsid w:val="003602CB"/>
    <w:rsid w:val="00360619"/>
    <w:rsid w:val="00360E84"/>
    <w:rsid w:val="00366702"/>
    <w:rsid w:val="00367F8D"/>
    <w:rsid w:val="003703C4"/>
    <w:rsid w:val="00371BDD"/>
    <w:rsid w:val="00371C97"/>
    <w:rsid w:val="003725C1"/>
    <w:rsid w:val="00372920"/>
    <w:rsid w:val="00374E59"/>
    <w:rsid w:val="003773DD"/>
    <w:rsid w:val="0038107D"/>
    <w:rsid w:val="0038290F"/>
    <w:rsid w:val="00385036"/>
    <w:rsid w:val="00386FC6"/>
    <w:rsid w:val="00387515"/>
    <w:rsid w:val="00393EFC"/>
    <w:rsid w:val="00394026"/>
    <w:rsid w:val="003950D5"/>
    <w:rsid w:val="003957B0"/>
    <w:rsid w:val="003A10C3"/>
    <w:rsid w:val="003A2558"/>
    <w:rsid w:val="003A2662"/>
    <w:rsid w:val="003A359A"/>
    <w:rsid w:val="003A439C"/>
    <w:rsid w:val="003A48A4"/>
    <w:rsid w:val="003A4CD8"/>
    <w:rsid w:val="003A5272"/>
    <w:rsid w:val="003A6063"/>
    <w:rsid w:val="003A630C"/>
    <w:rsid w:val="003A681E"/>
    <w:rsid w:val="003A7BDD"/>
    <w:rsid w:val="003B01EB"/>
    <w:rsid w:val="003B375D"/>
    <w:rsid w:val="003B5BCC"/>
    <w:rsid w:val="003B662E"/>
    <w:rsid w:val="003B7B0C"/>
    <w:rsid w:val="003C078D"/>
    <w:rsid w:val="003C184F"/>
    <w:rsid w:val="003C4143"/>
    <w:rsid w:val="003D2FB7"/>
    <w:rsid w:val="003D2FE7"/>
    <w:rsid w:val="003D5596"/>
    <w:rsid w:val="003E0B57"/>
    <w:rsid w:val="003E1C37"/>
    <w:rsid w:val="003E4942"/>
    <w:rsid w:val="003E6C50"/>
    <w:rsid w:val="003E7623"/>
    <w:rsid w:val="003F02EB"/>
    <w:rsid w:val="003F0F11"/>
    <w:rsid w:val="003F5548"/>
    <w:rsid w:val="003F743A"/>
    <w:rsid w:val="003F76FD"/>
    <w:rsid w:val="004001FC"/>
    <w:rsid w:val="00400FAC"/>
    <w:rsid w:val="004019BD"/>
    <w:rsid w:val="00403622"/>
    <w:rsid w:val="00403C26"/>
    <w:rsid w:val="004042BF"/>
    <w:rsid w:val="00411B27"/>
    <w:rsid w:val="00412D6A"/>
    <w:rsid w:val="004132C7"/>
    <w:rsid w:val="004142F3"/>
    <w:rsid w:val="004150C2"/>
    <w:rsid w:val="004201EC"/>
    <w:rsid w:val="00421446"/>
    <w:rsid w:val="00421D6A"/>
    <w:rsid w:val="0042301C"/>
    <w:rsid w:val="00424B49"/>
    <w:rsid w:val="00424B9D"/>
    <w:rsid w:val="004257B6"/>
    <w:rsid w:val="0042712F"/>
    <w:rsid w:val="00431A30"/>
    <w:rsid w:val="0043240A"/>
    <w:rsid w:val="00432C98"/>
    <w:rsid w:val="0043318C"/>
    <w:rsid w:val="00436CA1"/>
    <w:rsid w:val="00436EC3"/>
    <w:rsid w:val="00440310"/>
    <w:rsid w:val="00441ECB"/>
    <w:rsid w:val="00442A94"/>
    <w:rsid w:val="004430B6"/>
    <w:rsid w:val="00443692"/>
    <w:rsid w:val="00446585"/>
    <w:rsid w:val="004504BE"/>
    <w:rsid w:val="00452E65"/>
    <w:rsid w:val="00454BB4"/>
    <w:rsid w:val="00455EDC"/>
    <w:rsid w:val="004572AF"/>
    <w:rsid w:val="00457860"/>
    <w:rsid w:val="004602F3"/>
    <w:rsid w:val="00461C58"/>
    <w:rsid w:val="00461EC3"/>
    <w:rsid w:val="00461FE3"/>
    <w:rsid w:val="004622DF"/>
    <w:rsid w:val="00462957"/>
    <w:rsid w:val="00463604"/>
    <w:rsid w:val="00467715"/>
    <w:rsid w:val="00470975"/>
    <w:rsid w:val="00471604"/>
    <w:rsid w:val="00474C51"/>
    <w:rsid w:val="004765F4"/>
    <w:rsid w:val="004770DD"/>
    <w:rsid w:val="0048143B"/>
    <w:rsid w:val="00481D1F"/>
    <w:rsid w:val="0048299D"/>
    <w:rsid w:val="00483346"/>
    <w:rsid w:val="00485E95"/>
    <w:rsid w:val="00491101"/>
    <w:rsid w:val="00492729"/>
    <w:rsid w:val="00493699"/>
    <w:rsid w:val="004979B5"/>
    <w:rsid w:val="004A013B"/>
    <w:rsid w:val="004A13F9"/>
    <w:rsid w:val="004B2AEB"/>
    <w:rsid w:val="004B3CE2"/>
    <w:rsid w:val="004B4C6A"/>
    <w:rsid w:val="004B4D7F"/>
    <w:rsid w:val="004B5824"/>
    <w:rsid w:val="004B5B0E"/>
    <w:rsid w:val="004B628F"/>
    <w:rsid w:val="004B74DA"/>
    <w:rsid w:val="004C3678"/>
    <w:rsid w:val="004C4DC0"/>
    <w:rsid w:val="004C506F"/>
    <w:rsid w:val="004C5D6D"/>
    <w:rsid w:val="004D0A90"/>
    <w:rsid w:val="004D16BB"/>
    <w:rsid w:val="004D79F4"/>
    <w:rsid w:val="004E046A"/>
    <w:rsid w:val="004E2C23"/>
    <w:rsid w:val="004E4B69"/>
    <w:rsid w:val="004E4CAD"/>
    <w:rsid w:val="004E7918"/>
    <w:rsid w:val="004F1A62"/>
    <w:rsid w:val="004F1B4B"/>
    <w:rsid w:val="004F2A6B"/>
    <w:rsid w:val="004F2F1F"/>
    <w:rsid w:val="004F312C"/>
    <w:rsid w:val="004F35BE"/>
    <w:rsid w:val="004F49E7"/>
    <w:rsid w:val="004F4EA4"/>
    <w:rsid w:val="004F5424"/>
    <w:rsid w:val="004F6FEB"/>
    <w:rsid w:val="004F7247"/>
    <w:rsid w:val="005053EF"/>
    <w:rsid w:val="005105C8"/>
    <w:rsid w:val="00510CEE"/>
    <w:rsid w:val="00510F70"/>
    <w:rsid w:val="00511B64"/>
    <w:rsid w:val="00512F7C"/>
    <w:rsid w:val="005132D0"/>
    <w:rsid w:val="00517CE1"/>
    <w:rsid w:val="0052019C"/>
    <w:rsid w:val="005205B9"/>
    <w:rsid w:val="005214C9"/>
    <w:rsid w:val="00521FBD"/>
    <w:rsid w:val="0052223E"/>
    <w:rsid w:val="00523DD1"/>
    <w:rsid w:val="00525257"/>
    <w:rsid w:val="005259A7"/>
    <w:rsid w:val="00525A23"/>
    <w:rsid w:val="00525B89"/>
    <w:rsid w:val="00526A12"/>
    <w:rsid w:val="00527187"/>
    <w:rsid w:val="00527658"/>
    <w:rsid w:val="00527699"/>
    <w:rsid w:val="005305F7"/>
    <w:rsid w:val="00530CFB"/>
    <w:rsid w:val="00531BD3"/>
    <w:rsid w:val="00534B27"/>
    <w:rsid w:val="0054237D"/>
    <w:rsid w:val="00543048"/>
    <w:rsid w:val="00543953"/>
    <w:rsid w:val="00544A07"/>
    <w:rsid w:val="0054781B"/>
    <w:rsid w:val="005501D0"/>
    <w:rsid w:val="00550990"/>
    <w:rsid w:val="00551B35"/>
    <w:rsid w:val="0055481B"/>
    <w:rsid w:val="00555238"/>
    <w:rsid w:val="005555C0"/>
    <w:rsid w:val="00556C1C"/>
    <w:rsid w:val="0056086C"/>
    <w:rsid w:val="00560D31"/>
    <w:rsid w:val="005624B3"/>
    <w:rsid w:val="00562B89"/>
    <w:rsid w:val="00563DFA"/>
    <w:rsid w:val="005641D1"/>
    <w:rsid w:val="005643CB"/>
    <w:rsid w:val="005650C5"/>
    <w:rsid w:val="00565BA4"/>
    <w:rsid w:val="0056669F"/>
    <w:rsid w:val="00566CAF"/>
    <w:rsid w:val="00567BC4"/>
    <w:rsid w:val="00571D10"/>
    <w:rsid w:val="0057523B"/>
    <w:rsid w:val="0057567B"/>
    <w:rsid w:val="00576678"/>
    <w:rsid w:val="00583735"/>
    <w:rsid w:val="00584658"/>
    <w:rsid w:val="005856BE"/>
    <w:rsid w:val="005859EA"/>
    <w:rsid w:val="00590EF3"/>
    <w:rsid w:val="005924E7"/>
    <w:rsid w:val="005941DF"/>
    <w:rsid w:val="00594599"/>
    <w:rsid w:val="0059491D"/>
    <w:rsid w:val="00594D42"/>
    <w:rsid w:val="00595817"/>
    <w:rsid w:val="00596806"/>
    <w:rsid w:val="00596AD5"/>
    <w:rsid w:val="005A270D"/>
    <w:rsid w:val="005A44E1"/>
    <w:rsid w:val="005A76F4"/>
    <w:rsid w:val="005A7730"/>
    <w:rsid w:val="005A7FCE"/>
    <w:rsid w:val="005B15BE"/>
    <w:rsid w:val="005B38B1"/>
    <w:rsid w:val="005B6C7A"/>
    <w:rsid w:val="005B73EE"/>
    <w:rsid w:val="005C0E50"/>
    <w:rsid w:val="005C15E5"/>
    <w:rsid w:val="005C435C"/>
    <w:rsid w:val="005C601F"/>
    <w:rsid w:val="005C79C6"/>
    <w:rsid w:val="005D066F"/>
    <w:rsid w:val="005D0CE1"/>
    <w:rsid w:val="005D5DB5"/>
    <w:rsid w:val="005E0006"/>
    <w:rsid w:val="005E0780"/>
    <w:rsid w:val="005E106B"/>
    <w:rsid w:val="005E2686"/>
    <w:rsid w:val="005E3DAC"/>
    <w:rsid w:val="005E497C"/>
    <w:rsid w:val="005E5582"/>
    <w:rsid w:val="005E5E1E"/>
    <w:rsid w:val="005F3784"/>
    <w:rsid w:val="005F557F"/>
    <w:rsid w:val="005F7C47"/>
    <w:rsid w:val="00600E0F"/>
    <w:rsid w:val="0060111D"/>
    <w:rsid w:val="0060132A"/>
    <w:rsid w:val="00603EF1"/>
    <w:rsid w:val="00604876"/>
    <w:rsid w:val="00604F2A"/>
    <w:rsid w:val="00605688"/>
    <w:rsid w:val="00605B5F"/>
    <w:rsid w:val="00606AEC"/>
    <w:rsid w:val="0060718F"/>
    <w:rsid w:val="00607282"/>
    <w:rsid w:val="0061016A"/>
    <w:rsid w:val="0061466E"/>
    <w:rsid w:val="00617ED2"/>
    <w:rsid w:val="006234E4"/>
    <w:rsid w:val="006241E9"/>
    <w:rsid w:val="006244FE"/>
    <w:rsid w:val="00624BA0"/>
    <w:rsid w:val="0062683D"/>
    <w:rsid w:val="0062710B"/>
    <w:rsid w:val="00631C13"/>
    <w:rsid w:val="00631F1A"/>
    <w:rsid w:val="00632203"/>
    <w:rsid w:val="00632BB7"/>
    <w:rsid w:val="00633AF9"/>
    <w:rsid w:val="00633D8E"/>
    <w:rsid w:val="00634291"/>
    <w:rsid w:val="00635BE7"/>
    <w:rsid w:val="00635EB9"/>
    <w:rsid w:val="006427F7"/>
    <w:rsid w:val="00645737"/>
    <w:rsid w:val="006461A1"/>
    <w:rsid w:val="00647D5B"/>
    <w:rsid w:val="00651B09"/>
    <w:rsid w:val="00653601"/>
    <w:rsid w:val="00656365"/>
    <w:rsid w:val="006568AE"/>
    <w:rsid w:val="00660C31"/>
    <w:rsid w:val="00661361"/>
    <w:rsid w:val="0066191B"/>
    <w:rsid w:val="00662407"/>
    <w:rsid w:val="00663F84"/>
    <w:rsid w:val="00665145"/>
    <w:rsid w:val="00670C90"/>
    <w:rsid w:val="00670DDA"/>
    <w:rsid w:val="006718DD"/>
    <w:rsid w:val="00673628"/>
    <w:rsid w:val="00674B42"/>
    <w:rsid w:val="006762EE"/>
    <w:rsid w:val="0067727D"/>
    <w:rsid w:val="00680F17"/>
    <w:rsid w:val="00682A7A"/>
    <w:rsid w:val="00683E37"/>
    <w:rsid w:val="00684132"/>
    <w:rsid w:val="00684504"/>
    <w:rsid w:val="0068548B"/>
    <w:rsid w:val="006916C0"/>
    <w:rsid w:val="0069317A"/>
    <w:rsid w:val="00694270"/>
    <w:rsid w:val="00696ED9"/>
    <w:rsid w:val="00696EF8"/>
    <w:rsid w:val="00697270"/>
    <w:rsid w:val="006977BB"/>
    <w:rsid w:val="006A16C4"/>
    <w:rsid w:val="006A3CA3"/>
    <w:rsid w:val="006A5316"/>
    <w:rsid w:val="006A7BB0"/>
    <w:rsid w:val="006B13B0"/>
    <w:rsid w:val="006B280D"/>
    <w:rsid w:val="006B314A"/>
    <w:rsid w:val="006B35D1"/>
    <w:rsid w:val="006B3A00"/>
    <w:rsid w:val="006B47E2"/>
    <w:rsid w:val="006B5DFD"/>
    <w:rsid w:val="006B7E58"/>
    <w:rsid w:val="006C01BF"/>
    <w:rsid w:val="006C07D5"/>
    <w:rsid w:val="006C0E27"/>
    <w:rsid w:val="006C1C58"/>
    <w:rsid w:val="006C79CB"/>
    <w:rsid w:val="006D0B94"/>
    <w:rsid w:val="006D1475"/>
    <w:rsid w:val="006D1E92"/>
    <w:rsid w:val="006D425D"/>
    <w:rsid w:val="006D47F9"/>
    <w:rsid w:val="006D57EC"/>
    <w:rsid w:val="006D6D02"/>
    <w:rsid w:val="006D7085"/>
    <w:rsid w:val="006E0989"/>
    <w:rsid w:val="006E1140"/>
    <w:rsid w:val="006E25FC"/>
    <w:rsid w:val="006E2EE8"/>
    <w:rsid w:val="006E3A7D"/>
    <w:rsid w:val="006E45D9"/>
    <w:rsid w:val="006E6042"/>
    <w:rsid w:val="006E662A"/>
    <w:rsid w:val="006F0BEB"/>
    <w:rsid w:val="006F166F"/>
    <w:rsid w:val="006F1E62"/>
    <w:rsid w:val="006F24A8"/>
    <w:rsid w:val="006F314B"/>
    <w:rsid w:val="006F38AF"/>
    <w:rsid w:val="006F3E3B"/>
    <w:rsid w:val="006F4FDA"/>
    <w:rsid w:val="006F59BB"/>
    <w:rsid w:val="006F7C10"/>
    <w:rsid w:val="006F7D58"/>
    <w:rsid w:val="00701E37"/>
    <w:rsid w:val="00702FD4"/>
    <w:rsid w:val="0070361A"/>
    <w:rsid w:val="00704838"/>
    <w:rsid w:val="00704C3D"/>
    <w:rsid w:val="007053C2"/>
    <w:rsid w:val="00706502"/>
    <w:rsid w:val="007078FF"/>
    <w:rsid w:val="00707F33"/>
    <w:rsid w:val="007117B4"/>
    <w:rsid w:val="00712103"/>
    <w:rsid w:val="00712C80"/>
    <w:rsid w:val="00712DEC"/>
    <w:rsid w:val="00712E3E"/>
    <w:rsid w:val="007141AB"/>
    <w:rsid w:val="007141EB"/>
    <w:rsid w:val="007141F0"/>
    <w:rsid w:val="00716155"/>
    <w:rsid w:val="007164B3"/>
    <w:rsid w:val="007165E6"/>
    <w:rsid w:val="00717681"/>
    <w:rsid w:val="007176AA"/>
    <w:rsid w:val="007200A0"/>
    <w:rsid w:val="00720AE6"/>
    <w:rsid w:val="00720FAA"/>
    <w:rsid w:val="00721373"/>
    <w:rsid w:val="00721503"/>
    <w:rsid w:val="00721676"/>
    <w:rsid w:val="007217A3"/>
    <w:rsid w:val="00721981"/>
    <w:rsid w:val="00723866"/>
    <w:rsid w:val="00725C6F"/>
    <w:rsid w:val="00726300"/>
    <w:rsid w:val="00726594"/>
    <w:rsid w:val="00730FF1"/>
    <w:rsid w:val="007314E0"/>
    <w:rsid w:val="00732F6F"/>
    <w:rsid w:val="00733233"/>
    <w:rsid w:val="0073409C"/>
    <w:rsid w:val="00735C89"/>
    <w:rsid w:val="00736706"/>
    <w:rsid w:val="00737388"/>
    <w:rsid w:val="00740A13"/>
    <w:rsid w:val="00742EBE"/>
    <w:rsid w:val="007444BF"/>
    <w:rsid w:val="00744B92"/>
    <w:rsid w:val="007452F3"/>
    <w:rsid w:val="0074638E"/>
    <w:rsid w:val="0074784B"/>
    <w:rsid w:val="00754CD2"/>
    <w:rsid w:val="00756DF9"/>
    <w:rsid w:val="007610C6"/>
    <w:rsid w:val="00764E94"/>
    <w:rsid w:val="0076624C"/>
    <w:rsid w:val="00771AE7"/>
    <w:rsid w:val="00771C40"/>
    <w:rsid w:val="00771D59"/>
    <w:rsid w:val="007725F9"/>
    <w:rsid w:val="007727AA"/>
    <w:rsid w:val="00772DF4"/>
    <w:rsid w:val="00773327"/>
    <w:rsid w:val="00774241"/>
    <w:rsid w:val="0077444A"/>
    <w:rsid w:val="00774640"/>
    <w:rsid w:val="00774CC9"/>
    <w:rsid w:val="00774D23"/>
    <w:rsid w:val="0077596F"/>
    <w:rsid w:val="007766B3"/>
    <w:rsid w:val="00776A35"/>
    <w:rsid w:val="00780CE5"/>
    <w:rsid w:val="0078259E"/>
    <w:rsid w:val="00785CB8"/>
    <w:rsid w:val="00786235"/>
    <w:rsid w:val="0079054B"/>
    <w:rsid w:val="007918BF"/>
    <w:rsid w:val="007930D7"/>
    <w:rsid w:val="00793662"/>
    <w:rsid w:val="00793976"/>
    <w:rsid w:val="007946E2"/>
    <w:rsid w:val="00795B1F"/>
    <w:rsid w:val="007962E5"/>
    <w:rsid w:val="007A0798"/>
    <w:rsid w:val="007A201F"/>
    <w:rsid w:val="007A2557"/>
    <w:rsid w:val="007A34B5"/>
    <w:rsid w:val="007A4858"/>
    <w:rsid w:val="007A48B4"/>
    <w:rsid w:val="007A4E5B"/>
    <w:rsid w:val="007A643B"/>
    <w:rsid w:val="007B1DC2"/>
    <w:rsid w:val="007B3C02"/>
    <w:rsid w:val="007B4ADB"/>
    <w:rsid w:val="007B6FA1"/>
    <w:rsid w:val="007C243E"/>
    <w:rsid w:val="007C3192"/>
    <w:rsid w:val="007C41CF"/>
    <w:rsid w:val="007C4362"/>
    <w:rsid w:val="007D017B"/>
    <w:rsid w:val="007D3924"/>
    <w:rsid w:val="007D3D9D"/>
    <w:rsid w:val="007D5BB8"/>
    <w:rsid w:val="007D68E7"/>
    <w:rsid w:val="007E0027"/>
    <w:rsid w:val="007E026B"/>
    <w:rsid w:val="007E078F"/>
    <w:rsid w:val="007E1EED"/>
    <w:rsid w:val="007E359A"/>
    <w:rsid w:val="007E371E"/>
    <w:rsid w:val="007E44B7"/>
    <w:rsid w:val="007E50F4"/>
    <w:rsid w:val="007E64A7"/>
    <w:rsid w:val="007E72B2"/>
    <w:rsid w:val="007E7615"/>
    <w:rsid w:val="007F339D"/>
    <w:rsid w:val="007F3AD0"/>
    <w:rsid w:val="007F417B"/>
    <w:rsid w:val="007F54B6"/>
    <w:rsid w:val="007F78FE"/>
    <w:rsid w:val="007F7B99"/>
    <w:rsid w:val="008008E0"/>
    <w:rsid w:val="008009C6"/>
    <w:rsid w:val="00800BEA"/>
    <w:rsid w:val="00802F08"/>
    <w:rsid w:val="00803531"/>
    <w:rsid w:val="00803F9A"/>
    <w:rsid w:val="00805CCF"/>
    <w:rsid w:val="008071C7"/>
    <w:rsid w:val="00810771"/>
    <w:rsid w:val="00811753"/>
    <w:rsid w:val="00812A34"/>
    <w:rsid w:val="00815763"/>
    <w:rsid w:val="0082159B"/>
    <w:rsid w:val="00822102"/>
    <w:rsid w:val="008242A0"/>
    <w:rsid w:val="00824CC6"/>
    <w:rsid w:val="00826530"/>
    <w:rsid w:val="008274F8"/>
    <w:rsid w:val="00830071"/>
    <w:rsid w:val="00831613"/>
    <w:rsid w:val="00833280"/>
    <w:rsid w:val="00834025"/>
    <w:rsid w:val="00834878"/>
    <w:rsid w:val="00837753"/>
    <w:rsid w:val="00843679"/>
    <w:rsid w:val="008476EC"/>
    <w:rsid w:val="00852C34"/>
    <w:rsid w:val="00852E7A"/>
    <w:rsid w:val="00852E7C"/>
    <w:rsid w:val="008534EF"/>
    <w:rsid w:val="008539B7"/>
    <w:rsid w:val="00855CA5"/>
    <w:rsid w:val="00860948"/>
    <w:rsid w:val="00860BC5"/>
    <w:rsid w:val="00862027"/>
    <w:rsid w:val="00862BBF"/>
    <w:rsid w:val="00862EB3"/>
    <w:rsid w:val="00863EB6"/>
    <w:rsid w:val="00867D86"/>
    <w:rsid w:val="00870440"/>
    <w:rsid w:val="00870E9F"/>
    <w:rsid w:val="00873F29"/>
    <w:rsid w:val="00873F33"/>
    <w:rsid w:val="00874F8E"/>
    <w:rsid w:val="008751E3"/>
    <w:rsid w:val="00877FFE"/>
    <w:rsid w:val="0088076A"/>
    <w:rsid w:val="0088089C"/>
    <w:rsid w:val="00883C95"/>
    <w:rsid w:val="00884C1F"/>
    <w:rsid w:val="0088619A"/>
    <w:rsid w:val="008866A9"/>
    <w:rsid w:val="0088691B"/>
    <w:rsid w:val="0088718C"/>
    <w:rsid w:val="0089045B"/>
    <w:rsid w:val="008910A7"/>
    <w:rsid w:val="00891646"/>
    <w:rsid w:val="0089329A"/>
    <w:rsid w:val="00894BAC"/>
    <w:rsid w:val="0089633E"/>
    <w:rsid w:val="0089700D"/>
    <w:rsid w:val="008A1873"/>
    <w:rsid w:val="008A2395"/>
    <w:rsid w:val="008A4535"/>
    <w:rsid w:val="008A4FBD"/>
    <w:rsid w:val="008A5FCD"/>
    <w:rsid w:val="008A6625"/>
    <w:rsid w:val="008B15B3"/>
    <w:rsid w:val="008B2B62"/>
    <w:rsid w:val="008B3733"/>
    <w:rsid w:val="008B46D1"/>
    <w:rsid w:val="008B5201"/>
    <w:rsid w:val="008B5944"/>
    <w:rsid w:val="008B5B19"/>
    <w:rsid w:val="008B689C"/>
    <w:rsid w:val="008B6C0B"/>
    <w:rsid w:val="008B7AA4"/>
    <w:rsid w:val="008C00FC"/>
    <w:rsid w:val="008C041C"/>
    <w:rsid w:val="008C2392"/>
    <w:rsid w:val="008C330D"/>
    <w:rsid w:val="008C5E9B"/>
    <w:rsid w:val="008C6040"/>
    <w:rsid w:val="008C717E"/>
    <w:rsid w:val="008D0767"/>
    <w:rsid w:val="008D1A1F"/>
    <w:rsid w:val="008D4054"/>
    <w:rsid w:val="008D6401"/>
    <w:rsid w:val="008E1C55"/>
    <w:rsid w:val="008E1F34"/>
    <w:rsid w:val="008E2C25"/>
    <w:rsid w:val="008E743B"/>
    <w:rsid w:val="008F1A79"/>
    <w:rsid w:val="008F2951"/>
    <w:rsid w:val="008F2A8D"/>
    <w:rsid w:val="008F2AAA"/>
    <w:rsid w:val="008F2F09"/>
    <w:rsid w:val="008F398F"/>
    <w:rsid w:val="008F3BA8"/>
    <w:rsid w:val="008F4D6E"/>
    <w:rsid w:val="008F517D"/>
    <w:rsid w:val="008F5B95"/>
    <w:rsid w:val="008F7C05"/>
    <w:rsid w:val="009003BD"/>
    <w:rsid w:val="0090043D"/>
    <w:rsid w:val="00901B74"/>
    <w:rsid w:val="00902F9D"/>
    <w:rsid w:val="0090376B"/>
    <w:rsid w:val="00904AE1"/>
    <w:rsid w:val="009055ED"/>
    <w:rsid w:val="0090670E"/>
    <w:rsid w:val="0090781E"/>
    <w:rsid w:val="0091071C"/>
    <w:rsid w:val="00910F43"/>
    <w:rsid w:val="0091108B"/>
    <w:rsid w:val="00911149"/>
    <w:rsid w:val="00912E10"/>
    <w:rsid w:val="009147FF"/>
    <w:rsid w:val="009154B5"/>
    <w:rsid w:val="00915FBC"/>
    <w:rsid w:val="009169F4"/>
    <w:rsid w:val="00917477"/>
    <w:rsid w:val="009213F9"/>
    <w:rsid w:val="009251E5"/>
    <w:rsid w:val="009256A5"/>
    <w:rsid w:val="00926DAD"/>
    <w:rsid w:val="00933B8A"/>
    <w:rsid w:val="00933DA8"/>
    <w:rsid w:val="00934CB8"/>
    <w:rsid w:val="00936BB8"/>
    <w:rsid w:val="00937494"/>
    <w:rsid w:val="00940B90"/>
    <w:rsid w:val="009428E5"/>
    <w:rsid w:val="00942CDB"/>
    <w:rsid w:val="0094300F"/>
    <w:rsid w:val="00944B7B"/>
    <w:rsid w:val="0095088B"/>
    <w:rsid w:val="00960165"/>
    <w:rsid w:val="009615C9"/>
    <w:rsid w:val="00962774"/>
    <w:rsid w:val="00963048"/>
    <w:rsid w:val="00964F65"/>
    <w:rsid w:val="00964FD3"/>
    <w:rsid w:val="00965798"/>
    <w:rsid w:val="0096679D"/>
    <w:rsid w:val="009717C0"/>
    <w:rsid w:val="00974122"/>
    <w:rsid w:val="00974ECA"/>
    <w:rsid w:val="009758F4"/>
    <w:rsid w:val="0097682D"/>
    <w:rsid w:val="00983F95"/>
    <w:rsid w:val="00986255"/>
    <w:rsid w:val="00990BE5"/>
    <w:rsid w:val="00990E42"/>
    <w:rsid w:val="00993D7F"/>
    <w:rsid w:val="00993F73"/>
    <w:rsid w:val="00994134"/>
    <w:rsid w:val="0099528E"/>
    <w:rsid w:val="00996ABE"/>
    <w:rsid w:val="00997255"/>
    <w:rsid w:val="009A14EF"/>
    <w:rsid w:val="009A2760"/>
    <w:rsid w:val="009A45B6"/>
    <w:rsid w:val="009A4A89"/>
    <w:rsid w:val="009A50CA"/>
    <w:rsid w:val="009A6F32"/>
    <w:rsid w:val="009A70DB"/>
    <w:rsid w:val="009A77F1"/>
    <w:rsid w:val="009B2F7F"/>
    <w:rsid w:val="009B3671"/>
    <w:rsid w:val="009B46C7"/>
    <w:rsid w:val="009C08C9"/>
    <w:rsid w:val="009C15E9"/>
    <w:rsid w:val="009C282C"/>
    <w:rsid w:val="009C286E"/>
    <w:rsid w:val="009C2A6A"/>
    <w:rsid w:val="009C40DD"/>
    <w:rsid w:val="009C4A2A"/>
    <w:rsid w:val="009C5482"/>
    <w:rsid w:val="009C7E50"/>
    <w:rsid w:val="009D1A88"/>
    <w:rsid w:val="009D1F66"/>
    <w:rsid w:val="009D464D"/>
    <w:rsid w:val="009D4EBC"/>
    <w:rsid w:val="009D65AC"/>
    <w:rsid w:val="009D7226"/>
    <w:rsid w:val="009D7D04"/>
    <w:rsid w:val="009E01D6"/>
    <w:rsid w:val="009E0395"/>
    <w:rsid w:val="009E136B"/>
    <w:rsid w:val="009E401D"/>
    <w:rsid w:val="009E45EB"/>
    <w:rsid w:val="009E5C1B"/>
    <w:rsid w:val="009E5F6C"/>
    <w:rsid w:val="009E6924"/>
    <w:rsid w:val="009E71D4"/>
    <w:rsid w:val="009F0322"/>
    <w:rsid w:val="009F12DE"/>
    <w:rsid w:val="009F1D61"/>
    <w:rsid w:val="009F32CA"/>
    <w:rsid w:val="009F3CB7"/>
    <w:rsid w:val="00A00C23"/>
    <w:rsid w:val="00A02544"/>
    <w:rsid w:val="00A042D4"/>
    <w:rsid w:val="00A04B8F"/>
    <w:rsid w:val="00A0502C"/>
    <w:rsid w:val="00A07762"/>
    <w:rsid w:val="00A0794E"/>
    <w:rsid w:val="00A07B21"/>
    <w:rsid w:val="00A10124"/>
    <w:rsid w:val="00A10166"/>
    <w:rsid w:val="00A10970"/>
    <w:rsid w:val="00A1345E"/>
    <w:rsid w:val="00A14513"/>
    <w:rsid w:val="00A1662B"/>
    <w:rsid w:val="00A16CFF"/>
    <w:rsid w:val="00A17253"/>
    <w:rsid w:val="00A17995"/>
    <w:rsid w:val="00A17AB4"/>
    <w:rsid w:val="00A2018E"/>
    <w:rsid w:val="00A20855"/>
    <w:rsid w:val="00A241B0"/>
    <w:rsid w:val="00A25A98"/>
    <w:rsid w:val="00A26567"/>
    <w:rsid w:val="00A26EE2"/>
    <w:rsid w:val="00A307FD"/>
    <w:rsid w:val="00A311ED"/>
    <w:rsid w:val="00A31600"/>
    <w:rsid w:val="00A3273D"/>
    <w:rsid w:val="00A32999"/>
    <w:rsid w:val="00A339A7"/>
    <w:rsid w:val="00A33C1C"/>
    <w:rsid w:val="00A33C95"/>
    <w:rsid w:val="00A33F33"/>
    <w:rsid w:val="00A35FAF"/>
    <w:rsid w:val="00A407D7"/>
    <w:rsid w:val="00A4185B"/>
    <w:rsid w:val="00A4202C"/>
    <w:rsid w:val="00A42C5A"/>
    <w:rsid w:val="00A430E5"/>
    <w:rsid w:val="00A432CE"/>
    <w:rsid w:val="00A466E4"/>
    <w:rsid w:val="00A50C23"/>
    <w:rsid w:val="00A5322A"/>
    <w:rsid w:val="00A534BC"/>
    <w:rsid w:val="00A536E5"/>
    <w:rsid w:val="00A61557"/>
    <w:rsid w:val="00A62508"/>
    <w:rsid w:val="00A635FB"/>
    <w:rsid w:val="00A658D1"/>
    <w:rsid w:val="00A658E4"/>
    <w:rsid w:val="00A667FF"/>
    <w:rsid w:val="00A6680E"/>
    <w:rsid w:val="00A66A4B"/>
    <w:rsid w:val="00A732DB"/>
    <w:rsid w:val="00A73CFA"/>
    <w:rsid w:val="00A77E89"/>
    <w:rsid w:val="00A85C52"/>
    <w:rsid w:val="00A874B9"/>
    <w:rsid w:val="00A9231C"/>
    <w:rsid w:val="00A9381A"/>
    <w:rsid w:val="00A94B78"/>
    <w:rsid w:val="00A9605E"/>
    <w:rsid w:val="00A96367"/>
    <w:rsid w:val="00A97BDD"/>
    <w:rsid w:val="00AA0099"/>
    <w:rsid w:val="00AA0673"/>
    <w:rsid w:val="00AA1326"/>
    <w:rsid w:val="00AA3A86"/>
    <w:rsid w:val="00AA511B"/>
    <w:rsid w:val="00AA5769"/>
    <w:rsid w:val="00AA6132"/>
    <w:rsid w:val="00AA6A1D"/>
    <w:rsid w:val="00AA714A"/>
    <w:rsid w:val="00AA74B4"/>
    <w:rsid w:val="00AA7A72"/>
    <w:rsid w:val="00AB1C98"/>
    <w:rsid w:val="00AB4B51"/>
    <w:rsid w:val="00AB58EF"/>
    <w:rsid w:val="00AB5C4F"/>
    <w:rsid w:val="00AB64D6"/>
    <w:rsid w:val="00AB6B62"/>
    <w:rsid w:val="00AB7035"/>
    <w:rsid w:val="00AC00A8"/>
    <w:rsid w:val="00AC0197"/>
    <w:rsid w:val="00AC3063"/>
    <w:rsid w:val="00AC4A5F"/>
    <w:rsid w:val="00AC65B1"/>
    <w:rsid w:val="00AC759A"/>
    <w:rsid w:val="00AD2013"/>
    <w:rsid w:val="00AD2472"/>
    <w:rsid w:val="00AD4F9A"/>
    <w:rsid w:val="00AD5C84"/>
    <w:rsid w:val="00AD6206"/>
    <w:rsid w:val="00AD6A3E"/>
    <w:rsid w:val="00AD741D"/>
    <w:rsid w:val="00AD7F78"/>
    <w:rsid w:val="00AD7FF1"/>
    <w:rsid w:val="00AE2802"/>
    <w:rsid w:val="00AE370E"/>
    <w:rsid w:val="00AE5A7B"/>
    <w:rsid w:val="00AE5C3B"/>
    <w:rsid w:val="00AE6EB9"/>
    <w:rsid w:val="00AE7785"/>
    <w:rsid w:val="00AF0116"/>
    <w:rsid w:val="00AF240D"/>
    <w:rsid w:val="00AF2632"/>
    <w:rsid w:val="00AF3ACF"/>
    <w:rsid w:val="00AF4F03"/>
    <w:rsid w:val="00AF5539"/>
    <w:rsid w:val="00AF66C9"/>
    <w:rsid w:val="00AF7FAD"/>
    <w:rsid w:val="00B05334"/>
    <w:rsid w:val="00B128AB"/>
    <w:rsid w:val="00B13D3F"/>
    <w:rsid w:val="00B13D81"/>
    <w:rsid w:val="00B157D1"/>
    <w:rsid w:val="00B1589F"/>
    <w:rsid w:val="00B16879"/>
    <w:rsid w:val="00B17B13"/>
    <w:rsid w:val="00B2164F"/>
    <w:rsid w:val="00B2436C"/>
    <w:rsid w:val="00B27868"/>
    <w:rsid w:val="00B31026"/>
    <w:rsid w:val="00B31250"/>
    <w:rsid w:val="00B3363E"/>
    <w:rsid w:val="00B3498E"/>
    <w:rsid w:val="00B35452"/>
    <w:rsid w:val="00B3564E"/>
    <w:rsid w:val="00B36ABD"/>
    <w:rsid w:val="00B37866"/>
    <w:rsid w:val="00B419B4"/>
    <w:rsid w:val="00B41D20"/>
    <w:rsid w:val="00B43248"/>
    <w:rsid w:val="00B437E0"/>
    <w:rsid w:val="00B438A9"/>
    <w:rsid w:val="00B46502"/>
    <w:rsid w:val="00B505D4"/>
    <w:rsid w:val="00B5248A"/>
    <w:rsid w:val="00B52490"/>
    <w:rsid w:val="00B524B8"/>
    <w:rsid w:val="00B527D5"/>
    <w:rsid w:val="00B53886"/>
    <w:rsid w:val="00B55049"/>
    <w:rsid w:val="00B55E38"/>
    <w:rsid w:val="00B565B5"/>
    <w:rsid w:val="00B56FAC"/>
    <w:rsid w:val="00B60825"/>
    <w:rsid w:val="00B64E53"/>
    <w:rsid w:val="00B64F78"/>
    <w:rsid w:val="00B65D69"/>
    <w:rsid w:val="00B662D0"/>
    <w:rsid w:val="00B72C7E"/>
    <w:rsid w:val="00B73F21"/>
    <w:rsid w:val="00B7795E"/>
    <w:rsid w:val="00B77D5A"/>
    <w:rsid w:val="00B80B40"/>
    <w:rsid w:val="00B81B6D"/>
    <w:rsid w:val="00B82F75"/>
    <w:rsid w:val="00B83D4D"/>
    <w:rsid w:val="00B8415B"/>
    <w:rsid w:val="00B84EB8"/>
    <w:rsid w:val="00B851EF"/>
    <w:rsid w:val="00B85559"/>
    <w:rsid w:val="00B91606"/>
    <w:rsid w:val="00B927BB"/>
    <w:rsid w:val="00B92A42"/>
    <w:rsid w:val="00B93AE6"/>
    <w:rsid w:val="00B93CDE"/>
    <w:rsid w:val="00B95A8B"/>
    <w:rsid w:val="00B96A26"/>
    <w:rsid w:val="00B96E09"/>
    <w:rsid w:val="00BA14A3"/>
    <w:rsid w:val="00BA4391"/>
    <w:rsid w:val="00BA45F3"/>
    <w:rsid w:val="00BA5AE3"/>
    <w:rsid w:val="00BB3071"/>
    <w:rsid w:val="00BB3BE3"/>
    <w:rsid w:val="00BB52E3"/>
    <w:rsid w:val="00BB6020"/>
    <w:rsid w:val="00BB769E"/>
    <w:rsid w:val="00BC21EB"/>
    <w:rsid w:val="00BC2461"/>
    <w:rsid w:val="00BC2ACF"/>
    <w:rsid w:val="00BC564D"/>
    <w:rsid w:val="00BC6BF4"/>
    <w:rsid w:val="00BC708D"/>
    <w:rsid w:val="00BC723F"/>
    <w:rsid w:val="00BC757F"/>
    <w:rsid w:val="00BD01F7"/>
    <w:rsid w:val="00BD0FEA"/>
    <w:rsid w:val="00BD2550"/>
    <w:rsid w:val="00BD296D"/>
    <w:rsid w:val="00BD4709"/>
    <w:rsid w:val="00BD4861"/>
    <w:rsid w:val="00BD4968"/>
    <w:rsid w:val="00BD5828"/>
    <w:rsid w:val="00BD68A5"/>
    <w:rsid w:val="00BE1260"/>
    <w:rsid w:val="00BE1486"/>
    <w:rsid w:val="00BE1A1A"/>
    <w:rsid w:val="00BE4720"/>
    <w:rsid w:val="00BE5C06"/>
    <w:rsid w:val="00BE5DC2"/>
    <w:rsid w:val="00BF0E67"/>
    <w:rsid w:val="00BF5CC6"/>
    <w:rsid w:val="00BF64BC"/>
    <w:rsid w:val="00C00357"/>
    <w:rsid w:val="00C01586"/>
    <w:rsid w:val="00C067DA"/>
    <w:rsid w:val="00C06876"/>
    <w:rsid w:val="00C074EC"/>
    <w:rsid w:val="00C07713"/>
    <w:rsid w:val="00C10C15"/>
    <w:rsid w:val="00C11DCD"/>
    <w:rsid w:val="00C1428F"/>
    <w:rsid w:val="00C1507F"/>
    <w:rsid w:val="00C162FF"/>
    <w:rsid w:val="00C17BAE"/>
    <w:rsid w:val="00C20A5C"/>
    <w:rsid w:val="00C2142C"/>
    <w:rsid w:val="00C2196B"/>
    <w:rsid w:val="00C2232F"/>
    <w:rsid w:val="00C22FB2"/>
    <w:rsid w:val="00C232F6"/>
    <w:rsid w:val="00C24E0F"/>
    <w:rsid w:val="00C25494"/>
    <w:rsid w:val="00C25F6E"/>
    <w:rsid w:val="00C27B24"/>
    <w:rsid w:val="00C31DF6"/>
    <w:rsid w:val="00C32662"/>
    <w:rsid w:val="00C34438"/>
    <w:rsid w:val="00C35BB7"/>
    <w:rsid w:val="00C368B3"/>
    <w:rsid w:val="00C3798D"/>
    <w:rsid w:val="00C46142"/>
    <w:rsid w:val="00C47070"/>
    <w:rsid w:val="00C51FFF"/>
    <w:rsid w:val="00C52404"/>
    <w:rsid w:val="00C54C2B"/>
    <w:rsid w:val="00C5532D"/>
    <w:rsid w:val="00C56FA7"/>
    <w:rsid w:val="00C60030"/>
    <w:rsid w:val="00C63E9D"/>
    <w:rsid w:val="00C6727A"/>
    <w:rsid w:val="00C70DC5"/>
    <w:rsid w:val="00C71EC7"/>
    <w:rsid w:val="00C71ED8"/>
    <w:rsid w:val="00C72937"/>
    <w:rsid w:val="00C74B4F"/>
    <w:rsid w:val="00C75040"/>
    <w:rsid w:val="00C75A16"/>
    <w:rsid w:val="00C75EC7"/>
    <w:rsid w:val="00C763DD"/>
    <w:rsid w:val="00C76B78"/>
    <w:rsid w:val="00C779CF"/>
    <w:rsid w:val="00C77B2A"/>
    <w:rsid w:val="00C8026C"/>
    <w:rsid w:val="00C85CE7"/>
    <w:rsid w:val="00C91367"/>
    <w:rsid w:val="00C91939"/>
    <w:rsid w:val="00C91E8E"/>
    <w:rsid w:val="00C92257"/>
    <w:rsid w:val="00C92A8F"/>
    <w:rsid w:val="00C962D4"/>
    <w:rsid w:val="00CA1DC0"/>
    <w:rsid w:val="00CA3CF2"/>
    <w:rsid w:val="00CA5C5A"/>
    <w:rsid w:val="00CA778D"/>
    <w:rsid w:val="00CB05F1"/>
    <w:rsid w:val="00CB179F"/>
    <w:rsid w:val="00CB2156"/>
    <w:rsid w:val="00CB3AC7"/>
    <w:rsid w:val="00CB4B23"/>
    <w:rsid w:val="00CB4D0D"/>
    <w:rsid w:val="00CB5D22"/>
    <w:rsid w:val="00CB5D8A"/>
    <w:rsid w:val="00CB65EA"/>
    <w:rsid w:val="00CC156E"/>
    <w:rsid w:val="00CC31B5"/>
    <w:rsid w:val="00CC4004"/>
    <w:rsid w:val="00CC4FD1"/>
    <w:rsid w:val="00CC5A30"/>
    <w:rsid w:val="00CC6E0A"/>
    <w:rsid w:val="00CC712F"/>
    <w:rsid w:val="00CD0E61"/>
    <w:rsid w:val="00CD108D"/>
    <w:rsid w:val="00CD1384"/>
    <w:rsid w:val="00CD22D7"/>
    <w:rsid w:val="00CD2BB5"/>
    <w:rsid w:val="00CD4DDD"/>
    <w:rsid w:val="00CD5AC6"/>
    <w:rsid w:val="00CD6D46"/>
    <w:rsid w:val="00CE0393"/>
    <w:rsid w:val="00CE1A37"/>
    <w:rsid w:val="00CE72D0"/>
    <w:rsid w:val="00CE745C"/>
    <w:rsid w:val="00CF114E"/>
    <w:rsid w:val="00CF21EB"/>
    <w:rsid w:val="00CF385B"/>
    <w:rsid w:val="00D02EB9"/>
    <w:rsid w:val="00D052D8"/>
    <w:rsid w:val="00D07986"/>
    <w:rsid w:val="00D10D84"/>
    <w:rsid w:val="00D129D7"/>
    <w:rsid w:val="00D1349B"/>
    <w:rsid w:val="00D1399B"/>
    <w:rsid w:val="00D13A2C"/>
    <w:rsid w:val="00D13CAB"/>
    <w:rsid w:val="00D157F8"/>
    <w:rsid w:val="00D16596"/>
    <w:rsid w:val="00D173D3"/>
    <w:rsid w:val="00D2041A"/>
    <w:rsid w:val="00D21AF6"/>
    <w:rsid w:val="00D24AE6"/>
    <w:rsid w:val="00D2555C"/>
    <w:rsid w:val="00D2577E"/>
    <w:rsid w:val="00D30341"/>
    <w:rsid w:val="00D31D06"/>
    <w:rsid w:val="00D3408E"/>
    <w:rsid w:val="00D351E0"/>
    <w:rsid w:val="00D35D40"/>
    <w:rsid w:val="00D40318"/>
    <w:rsid w:val="00D43431"/>
    <w:rsid w:val="00D4596B"/>
    <w:rsid w:val="00D516ED"/>
    <w:rsid w:val="00D55CBF"/>
    <w:rsid w:val="00D6053F"/>
    <w:rsid w:val="00D62546"/>
    <w:rsid w:val="00D64C10"/>
    <w:rsid w:val="00D65623"/>
    <w:rsid w:val="00D65FD4"/>
    <w:rsid w:val="00D663BC"/>
    <w:rsid w:val="00D66656"/>
    <w:rsid w:val="00D67BD9"/>
    <w:rsid w:val="00D72808"/>
    <w:rsid w:val="00D72C69"/>
    <w:rsid w:val="00D73CD3"/>
    <w:rsid w:val="00D77B22"/>
    <w:rsid w:val="00D8108C"/>
    <w:rsid w:val="00D82443"/>
    <w:rsid w:val="00D82492"/>
    <w:rsid w:val="00D84D2F"/>
    <w:rsid w:val="00D925A9"/>
    <w:rsid w:val="00D9753D"/>
    <w:rsid w:val="00D97DDB"/>
    <w:rsid w:val="00DA3A36"/>
    <w:rsid w:val="00DA3FA7"/>
    <w:rsid w:val="00DA62F9"/>
    <w:rsid w:val="00DA6A92"/>
    <w:rsid w:val="00DA7679"/>
    <w:rsid w:val="00DB1710"/>
    <w:rsid w:val="00DB27AF"/>
    <w:rsid w:val="00DB42DF"/>
    <w:rsid w:val="00DB454E"/>
    <w:rsid w:val="00DB5A16"/>
    <w:rsid w:val="00DC08C5"/>
    <w:rsid w:val="00DC31E2"/>
    <w:rsid w:val="00DC437D"/>
    <w:rsid w:val="00DC604A"/>
    <w:rsid w:val="00DC6327"/>
    <w:rsid w:val="00DC6529"/>
    <w:rsid w:val="00DC6817"/>
    <w:rsid w:val="00DC6B29"/>
    <w:rsid w:val="00DC6DEB"/>
    <w:rsid w:val="00DD0F32"/>
    <w:rsid w:val="00DD43A5"/>
    <w:rsid w:val="00DD4FCA"/>
    <w:rsid w:val="00DD5107"/>
    <w:rsid w:val="00DD5645"/>
    <w:rsid w:val="00DD65DD"/>
    <w:rsid w:val="00DE03EB"/>
    <w:rsid w:val="00DE08B9"/>
    <w:rsid w:val="00DE2366"/>
    <w:rsid w:val="00DE33B4"/>
    <w:rsid w:val="00DE39A6"/>
    <w:rsid w:val="00DE4E3E"/>
    <w:rsid w:val="00DE504E"/>
    <w:rsid w:val="00DE5291"/>
    <w:rsid w:val="00DE79D5"/>
    <w:rsid w:val="00DF007C"/>
    <w:rsid w:val="00DF0103"/>
    <w:rsid w:val="00DF1906"/>
    <w:rsid w:val="00DF3393"/>
    <w:rsid w:val="00DF5DAE"/>
    <w:rsid w:val="00DF6800"/>
    <w:rsid w:val="00DF6CED"/>
    <w:rsid w:val="00E0343B"/>
    <w:rsid w:val="00E0657F"/>
    <w:rsid w:val="00E06E60"/>
    <w:rsid w:val="00E106A6"/>
    <w:rsid w:val="00E11DAC"/>
    <w:rsid w:val="00E12041"/>
    <w:rsid w:val="00E12CDA"/>
    <w:rsid w:val="00E12E8C"/>
    <w:rsid w:val="00E12F3F"/>
    <w:rsid w:val="00E15B48"/>
    <w:rsid w:val="00E171A7"/>
    <w:rsid w:val="00E17848"/>
    <w:rsid w:val="00E20851"/>
    <w:rsid w:val="00E21E85"/>
    <w:rsid w:val="00E251D0"/>
    <w:rsid w:val="00E269AD"/>
    <w:rsid w:val="00E26A1D"/>
    <w:rsid w:val="00E26EE4"/>
    <w:rsid w:val="00E314FC"/>
    <w:rsid w:val="00E319E5"/>
    <w:rsid w:val="00E32235"/>
    <w:rsid w:val="00E329F8"/>
    <w:rsid w:val="00E34755"/>
    <w:rsid w:val="00E34AD3"/>
    <w:rsid w:val="00E35ACB"/>
    <w:rsid w:val="00E376F9"/>
    <w:rsid w:val="00E428ED"/>
    <w:rsid w:val="00E43832"/>
    <w:rsid w:val="00E43AA0"/>
    <w:rsid w:val="00E51C69"/>
    <w:rsid w:val="00E51FA0"/>
    <w:rsid w:val="00E5221D"/>
    <w:rsid w:val="00E52A8A"/>
    <w:rsid w:val="00E52C3B"/>
    <w:rsid w:val="00E53480"/>
    <w:rsid w:val="00E54600"/>
    <w:rsid w:val="00E55B41"/>
    <w:rsid w:val="00E564A7"/>
    <w:rsid w:val="00E56D3F"/>
    <w:rsid w:val="00E62901"/>
    <w:rsid w:val="00E63E2A"/>
    <w:rsid w:val="00E64BD9"/>
    <w:rsid w:val="00E67E9F"/>
    <w:rsid w:val="00E715C4"/>
    <w:rsid w:val="00E7253E"/>
    <w:rsid w:val="00E74F99"/>
    <w:rsid w:val="00E757C0"/>
    <w:rsid w:val="00E75960"/>
    <w:rsid w:val="00E75E79"/>
    <w:rsid w:val="00E77788"/>
    <w:rsid w:val="00E80C01"/>
    <w:rsid w:val="00E8329D"/>
    <w:rsid w:val="00E838AD"/>
    <w:rsid w:val="00E83DC7"/>
    <w:rsid w:val="00E840AD"/>
    <w:rsid w:val="00E841BA"/>
    <w:rsid w:val="00E843B9"/>
    <w:rsid w:val="00E84A76"/>
    <w:rsid w:val="00E866D7"/>
    <w:rsid w:val="00E86F4C"/>
    <w:rsid w:val="00E9149B"/>
    <w:rsid w:val="00E92807"/>
    <w:rsid w:val="00E93697"/>
    <w:rsid w:val="00E93FB5"/>
    <w:rsid w:val="00E9462A"/>
    <w:rsid w:val="00E955BB"/>
    <w:rsid w:val="00E9591B"/>
    <w:rsid w:val="00E95A6E"/>
    <w:rsid w:val="00E9678C"/>
    <w:rsid w:val="00EA00F7"/>
    <w:rsid w:val="00EA0F6C"/>
    <w:rsid w:val="00EA14ED"/>
    <w:rsid w:val="00EA1C19"/>
    <w:rsid w:val="00EA3323"/>
    <w:rsid w:val="00EA3D4D"/>
    <w:rsid w:val="00EA6C1D"/>
    <w:rsid w:val="00EB1CAE"/>
    <w:rsid w:val="00EB3539"/>
    <w:rsid w:val="00EB398A"/>
    <w:rsid w:val="00EB5BF6"/>
    <w:rsid w:val="00EB60E3"/>
    <w:rsid w:val="00EB736D"/>
    <w:rsid w:val="00EB741B"/>
    <w:rsid w:val="00EB7E06"/>
    <w:rsid w:val="00EC0262"/>
    <w:rsid w:val="00EC03FB"/>
    <w:rsid w:val="00EC04B4"/>
    <w:rsid w:val="00EC086A"/>
    <w:rsid w:val="00EC15A8"/>
    <w:rsid w:val="00EC3B93"/>
    <w:rsid w:val="00EC45A3"/>
    <w:rsid w:val="00ED0EB6"/>
    <w:rsid w:val="00ED205B"/>
    <w:rsid w:val="00ED32C9"/>
    <w:rsid w:val="00ED5086"/>
    <w:rsid w:val="00ED5463"/>
    <w:rsid w:val="00ED5F70"/>
    <w:rsid w:val="00EE17FF"/>
    <w:rsid w:val="00EE1D1D"/>
    <w:rsid w:val="00EE3A22"/>
    <w:rsid w:val="00EE4745"/>
    <w:rsid w:val="00EE6098"/>
    <w:rsid w:val="00EE6A79"/>
    <w:rsid w:val="00EE6C9D"/>
    <w:rsid w:val="00EF3F37"/>
    <w:rsid w:val="00EF46E2"/>
    <w:rsid w:val="00EF4753"/>
    <w:rsid w:val="00EF54D7"/>
    <w:rsid w:val="00F00A5A"/>
    <w:rsid w:val="00F02759"/>
    <w:rsid w:val="00F02FAA"/>
    <w:rsid w:val="00F03612"/>
    <w:rsid w:val="00F03E9E"/>
    <w:rsid w:val="00F04A6E"/>
    <w:rsid w:val="00F05CA1"/>
    <w:rsid w:val="00F07D6C"/>
    <w:rsid w:val="00F10DBD"/>
    <w:rsid w:val="00F13D5B"/>
    <w:rsid w:val="00F14D6E"/>
    <w:rsid w:val="00F1784E"/>
    <w:rsid w:val="00F209B9"/>
    <w:rsid w:val="00F226DC"/>
    <w:rsid w:val="00F23C99"/>
    <w:rsid w:val="00F24085"/>
    <w:rsid w:val="00F24686"/>
    <w:rsid w:val="00F25473"/>
    <w:rsid w:val="00F254D8"/>
    <w:rsid w:val="00F25897"/>
    <w:rsid w:val="00F26B3F"/>
    <w:rsid w:val="00F27746"/>
    <w:rsid w:val="00F32697"/>
    <w:rsid w:val="00F33D96"/>
    <w:rsid w:val="00F33F3B"/>
    <w:rsid w:val="00F34B97"/>
    <w:rsid w:val="00F3546F"/>
    <w:rsid w:val="00F362F8"/>
    <w:rsid w:val="00F36EFF"/>
    <w:rsid w:val="00F40257"/>
    <w:rsid w:val="00F41059"/>
    <w:rsid w:val="00F437F1"/>
    <w:rsid w:val="00F460F0"/>
    <w:rsid w:val="00F51823"/>
    <w:rsid w:val="00F51A78"/>
    <w:rsid w:val="00F5239C"/>
    <w:rsid w:val="00F52C24"/>
    <w:rsid w:val="00F54546"/>
    <w:rsid w:val="00F54950"/>
    <w:rsid w:val="00F54CB0"/>
    <w:rsid w:val="00F55836"/>
    <w:rsid w:val="00F6038A"/>
    <w:rsid w:val="00F611DC"/>
    <w:rsid w:val="00F61BD6"/>
    <w:rsid w:val="00F639E3"/>
    <w:rsid w:val="00F65749"/>
    <w:rsid w:val="00F65B7B"/>
    <w:rsid w:val="00F66128"/>
    <w:rsid w:val="00F665B5"/>
    <w:rsid w:val="00F7002B"/>
    <w:rsid w:val="00F7136B"/>
    <w:rsid w:val="00F750E3"/>
    <w:rsid w:val="00F756E4"/>
    <w:rsid w:val="00F802A8"/>
    <w:rsid w:val="00F80701"/>
    <w:rsid w:val="00F814A7"/>
    <w:rsid w:val="00F82DC2"/>
    <w:rsid w:val="00F82E97"/>
    <w:rsid w:val="00F83191"/>
    <w:rsid w:val="00F83216"/>
    <w:rsid w:val="00F86A40"/>
    <w:rsid w:val="00F87682"/>
    <w:rsid w:val="00F9005C"/>
    <w:rsid w:val="00F9070C"/>
    <w:rsid w:val="00F9276A"/>
    <w:rsid w:val="00F93B72"/>
    <w:rsid w:val="00F94223"/>
    <w:rsid w:val="00F94F2E"/>
    <w:rsid w:val="00F95F92"/>
    <w:rsid w:val="00F964F7"/>
    <w:rsid w:val="00F97E6F"/>
    <w:rsid w:val="00FA2685"/>
    <w:rsid w:val="00FA4C37"/>
    <w:rsid w:val="00FA5169"/>
    <w:rsid w:val="00FA5550"/>
    <w:rsid w:val="00FA5FD1"/>
    <w:rsid w:val="00FA709F"/>
    <w:rsid w:val="00FA7E8F"/>
    <w:rsid w:val="00FB1537"/>
    <w:rsid w:val="00FB1949"/>
    <w:rsid w:val="00FB25FA"/>
    <w:rsid w:val="00FB6548"/>
    <w:rsid w:val="00FB6D6A"/>
    <w:rsid w:val="00FB7360"/>
    <w:rsid w:val="00FB788C"/>
    <w:rsid w:val="00FC0726"/>
    <w:rsid w:val="00FC3B46"/>
    <w:rsid w:val="00FC6031"/>
    <w:rsid w:val="00FC6510"/>
    <w:rsid w:val="00FD0531"/>
    <w:rsid w:val="00FD1711"/>
    <w:rsid w:val="00FD34AE"/>
    <w:rsid w:val="00FD3A54"/>
    <w:rsid w:val="00FD3F34"/>
    <w:rsid w:val="00FD4B28"/>
    <w:rsid w:val="00FD4E0D"/>
    <w:rsid w:val="00FD5145"/>
    <w:rsid w:val="00FD7A3A"/>
    <w:rsid w:val="00FE1759"/>
    <w:rsid w:val="00FE21D6"/>
    <w:rsid w:val="00FE2E85"/>
    <w:rsid w:val="00FE4422"/>
    <w:rsid w:val="00FE4CCE"/>
    <w:rsid w:val="00FE573C"/>
    <w:rsid w:val="00FE58DA"/>
    <w:rsid w:val="00FE66CC"/>
    <w:rsid w:val="00FE7949"/>
    <w:rsid w:val="00FF27D7"/>
    <w:rsid w:val="00FF5581"/>
    <w:rsid w:val="00FF5985"/>
    <w:rsid w:val="00FF6D69"/>
    <w:rsid w:val="00FF6E6A"/>
    <w:rsid w:val="00FF72AA"/>
    <w:rsid w:val="0DB918EE"/>
    <w:rsid w:val="1B4030D7"/>
    <w:rsid w:val="1C2507D9"/>
    <w:rsid w:val="235822A6"/>
    <w:rsid w:val="24342B56"/>
    <w:rsid w:val="38AC41A0"/>
    <w:rsid w:val="41F30DBB"/>
    <w:rsid w:val="42973B52"/>
    <w:rsid w:val="44C958B7"/>
    <w:rsid w:val="4A767548"/>
    <w:rsid w:val="566F344D"/>
    <w:rsid w:val="63716114"/>
    <w:rsid w:val="64F76AE8"/>
    <w:rsid w:val="656B1338"/>
    <w:rsid w:val="65E24B1F"/>
    <w:rsid w:val="68EC2D43"/>
    <w:rsid w:val="6BB73461"/>
    <w:rsid w:val="6FAE395C"/>
    <w:rsid w:val="702603CC"/>
    <w:rsid w:val="713315CA"/>
    <w:rsid w:val="729B1611"/>
    <w:rsid w:val="734C3358"/>
    <w:rsid w:val="739637F5"/>
    <w:rsid w:val="74270D3C"/>
    <w:rsid w:val="75F02CD1"/>
    <w:rsid w:val="78231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宋体" w:hAnsi="宋体" w:eastAsia="宋体" w:cs="宋体"/>
      <w:color w:val="000000" w:themeColor="text1"/>
      <w:kern w:val="2"/>
      <w:sz w:val="21"/>
      <w:szCs w:val="21"/>
      <w:lang w:val="en-US" w:eastAsia="zh-CN" w:bidi="ar-SA"/>
      <w14:textFill>
        <w14:solidFill>
          <w14:schemeClr w14:val="tx1"/>
        </w14:solidFill>
      </w14:textFill>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0"/>
    <w:unhideWhenUsed/>
    <w:qFormat/>
    <w:uiPriority w:val="0"/>
    <w:pPr>
      <w:keepNext/>
      <w:keepLines/>
      <w:spacing w:before="260" w:after="260" w:line="413" w:lineRule="auto"/>
      <w:outlineLvl w:val="2"/>
    </w:pPr>
    <w:rPr>
      <w:b/>
      <w:sz w:val="32"/>
    </w:rPr>
  </w:style>
  <w:style w:type="paragraph" w:styleId="5">
    <w:name w:val="heading 4"/>
    <w:basedOn w:val="1"/>
    <w:next w:val="1"/>
    <w:link w:val="6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70"/>
    <w:qFormat/>
    <w:uiPriority w:val="0"/>
    <w:pPr>
      <w:keepNext/>
      <w:keepLines/>
      <w:spacing w:before="280" w:after="290" w:line="376" w:lineRule="auto"/>
      <w:outlineLvl w:val="4"/>
    </w:pPr>
    <w:rPr>
      <w:rFonts w:ascii="Calibri" w:hAnsi="Calibri" w:cs="Times New Roman"/>
      <w:b/>
      <w:bCs/>
      <w:color w:val="auto"/>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pPr>
  </w:style>
  <w:style w:type="paragraph" w:styleId="8">
    <w:name w:val="Document Map"/>
    <w:basedOn w:val="1"/>
    <w:link w:val="40"/>
    <w:unhideWhenUsed/>
    <w:qFormat/>
    <w:uiPriority w:val="0"/>
    <w:rPr>
      <w:sz w:val="24"/>
      <w:szCs w:val="24"/>
    </w:rPr>
  </w:style>
  <w:style w:type="paragraph" w:styleId="9">
    <w:name w:val="annotation text"/>
    <w:basedOn w:val="1"/>
    <w:link w:val="41"/>
    <w:unhideWhenUsed/>
    <w:qFormat/>
    <w:uiPriority w:val="99"/>
    <w:pPr>
      <w:jc w:val="left"/>
    </w:pPr>
  </w:style>
  <w:style w:type="paragraph" w:styleId="10">
    <w:name w:val="toc 5"/>
    <w:basedOn w:val="1"/>
    <w:next w:val="1"/>
    <w:unhideWhenUsed/>
    <w:qFormat/>
    <w:uiPriority w:val="39"/>
    <w:pPr>
      <w:ind w:left="840"/>
    </w:pPr>
  </w:style>
  <w:style w:type="paragraph" w:styleId="11">
    <w:name w:val="toc 3"/>
    <w:basedOn w:val="1"/>
    <w:next w:val="1"/>
    <w:unhideWhenUsed/>
    <w:qFormat/>
    <w:uiPriority w:val="39"/>
    <w:pPr>
      <w:ind w:left="420"/>
    </w:pPr>
  </w:style>
  <w:style w:type="paragraph" w:styleId="12">
    <w:name w:val="Plain Text"/>
    <w:basedOn w:val="1"/>
    <w:link w:val="38"/>
    <w:unhideWhenUsed/>
    <w:qFormat/>
    <w:uiPriority w:val="99"/>
    <w:rPr>
      <w:rFonts w:hAnsi="Courier New" w:cs="Courier New"/>
      <w:kern w:val="0"/>
      <w:sz w:val="20"/>
    </w:rPr>
  </w:style>
  <w:style w:type="paragraph" w:styleId="13">
    <w:name w:val="toc 8"/>
    <w:basedOn w:val="1"/>
    <w:next w:val="1"/>
    <w:unhideWhenUsed/>
    <w:qFormat/>
    <w:uiPriority w:val="39"/>
    <w:pPr>
      <w:ind w:left="1470"/>
    </w:pPr>
  </w:style>
  <w:style w:type="paragraph" w:styleId="14">
    <w:name w:val="Balloon Text"/>
    <w:basedOn w:val="1"/>
    <w:link w:val="42"/>
    <w:unhideWhenUsed/>
    <w:qFormat/>
    <w:uiPriority w:val="99"/>
    <w:rPr>
      <w:sz w:val="18"/>
      <w:szCs w:val="18"/>
    </w:rPr>
  </w:style>
  <w:style w:type="paragraph" w:styleId="15">
    <w:name w:val="footer"/>
    <w:basedOn w:val="1"/>
    <w:link w:val="43"/>
    <w:unhideWhenUsed/>
    <w:qFormat/>
    <w:uiPriority w:val="0"/>
    <w:pPr>
      <w:tabs>
        <w:tab w:val="center" w:pos="4153"/>
        <w:tab w:val="right" w:pos="8306"/>
      </w:tabs>
      <w:snapToGrid w:val="0"/>
      <w:jc w:val="left"/>
    </w:pPr>
    <w:rPr>
      <w:sz w:val="18"/>
      <w:szCs w:val="18"/>
    </w:rPr>
  </w:style>
  <w:style w:type="paragraph" w:styleId="16">
    <w:name w:val="header"/>
    <w:basedOn w:val="1"/>
    <w:link w:val="44"/>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toc 4"/>
    <w:basedOn w:val="1"/>
    <w:next w:val="1"/>
    <w:unhideWhenUsed/>
    <w:qFormat/>
    <w:uiPriority w:val="39"/>
    <w:pPr>
      <w:ind w:left="630"/>
    </w:pPr>
  </w:style>
  <w:style w:type="paragraph" w:styleId="19">
    <w:name w:val="Subtitle"/>
    <w:basedOn w:val="1"/>
    <w:next w:val="1"/>
    <w:link w:val="67"/>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20">
    <w:name w:val="footnote text"/>
    <w:basedOn w:val="1"/>
    <w:link w:val="48"/>
    <w:unhideWhenUsed/>
    <w:qFormat/>
    <w:uiPriority w:val="99"/>
    <w:pPr>
      <w:snapToGrid w:val="0"/>
      <w:jc w:val="left"/>
    </w:pPr>
    <w:rPr>
      <w:sz w:val="18"/>
    </w:rPr>
  </w:style>
  <w:style w:type="paragraph" w:styleId="21">
    <w:name w:val="toc 6"/>
    <w:basedOn w:val="1"/>
    <w:next w:val="1"/>
    <w:unhideWhenUsed/>
    <w:qFormat/>
    <w:uiPriority w:val="39"/>
    <w:pPr>
      <w:ind w:left="1050"/>
    </w:pPr>
  </w:style>
  <w:style w:type="paragraph" w:styleId="22">
    <w:name w:val="toc 2"/>
    <w:basedOn w:val="1"/>
    <w:next w:val="1"/>
    <w:unhideWhenUsed/>
    <w:qFormat/>
    <w:uiPriority w:val="39"/>
    <w:pPr>
      <w:ind w:left="210"/>
    </w:pPr>
  </w:style>
  <w:style w:type="paragraph" w:styleId="23">
    <w:name w:val="toc 9"/>
    <w:basedOn w:val="1"/>
    <w:next w:val="1"/>
    <w:unhideWhenUsed/>
    <w:qFormat/>
    <w:uiPriority w:val="39"/>
    <w:pPr>
      <w:ind w:left="1680"/>
    </w:pPr>
  </w:style>
  <w:style w:type="paragraph" w:styleId="24">
    <w:name w:val="Normal (Web)"/>
    <w:basedOn w:val="1"/>
    <w:unhideWhenUsed/>
    <w:qFormat/>
    <w:uiPriority w:val="99"/>
    <w:pPr>
      <w:widowControl/>
      <w:spacing w:before="100" w:beforeAutospacing="1" w:after="100" w:afterAutospacing="1"/>
      <w:jc w:val="left"/>
    </w:pPr>
    <w:rPr>
      <w:color w:val="auto"/>
      <w:kern w:val="0"/>
      <w:sz w:val="24"/>
      <w:szCs w:val="24"/>
    </w:rPr>
  </w:style>
  <w:style w:type="paragraph" w:styleId="25">
    <w:name w:val="Title"/>
    <w:basedOn w:val="1"/>
    <w:next w:val="1"/>
    <w:link w:val="45"/>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6"/>
    <w:semiHidden/>
    <w:unhideWhenUsed/>
    <w:qFormat/>
    <w:uiPriority w:val="99"/>
    <w:rPr>
      <w:b/>
      <w:bCs/>
    </w:rPr>
  </w:style>
  <w:style w:type="table" w:styleId="28">
    <w:name w:val="Table Grid"/>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rPr>
  </w:style>
  <w:style w:type="character" w:styleId="31">
    <w:name w:val="page number"/>
    <w:basedOn w:val="29"/>
    <w:unhideWhenUsed/>
    <w:qFormat/>
    <w:uiPriority w:val="99"/>
  </w:style>
  <w:style w:type="character" w:styleId="32">
    <w:name w:val="FollowedHyperlink"/>
    <w:basedOn w:val="29"/>
    <w:semiHidden/>
    <w:unhideWhenUsed/>
    <w:qFormat/>
    <w:uiPriority w:val="99"/>
    <w:rPr>
      <w:color w:val="954F72"/>
      <w:u w:val="single"/>
    </w:rPr>
  </w:style>
  <w:style w:type="character" w:styleId="33">
    <w:name w:val="Hyperlink"/>
    <w:basedOn w:val="29"/>
    <w:unhideWhenUsed/>
    <w:qFormat/>
    <w:uiPriority w:val="99"/>
    <w:rPr>
      <w:color w:val="0563C1" w:themeColor="hyperlink"/>
      <w:u w:val="single"/>
      <w14:textFill>
        <w14:solidFill>
          <w14:schemeClr w14:val="hlink"/>
        </w14:solidFill>
      </w14:textFill>
    </w:rPr>
  </w:style>
  <w:style w:type="character" w:styleId="34">
    <w:name w:val="annotation reference"/>
    <w:basedOn w:val="29"/>
    <w:semiHidden/>
    <w:unhideWhenUsed/>
    <w:qFormat/>
    <w:uiPriority w:val="99"/>
    <w:rPr>
      <w:sz w:val="21"/>
      <w:szCs w:val="21"/>
    </w:rPr>
  </w:style>
  <w:style w:type="character" w:styleId="35">
    <w:name w:val="footnote reference"/>
    <w:basedOn w:val="29"/>
    <w:unhideWhenUsed/>
    <w:qFormat/>
    <w:uiPriority w:val="0"/>
    <w:rPr>
      <w:vertAlign w:val="superscript"/>
    </w:rPr>
  </w:style>
  <w:style w:type="character" w:customStyle="1" w:styleId="36">
    <w:name w:val="标题 1 字符"/>
    <w:link w:val="2"/>
    <w:qFormat/>
    <w:uiPriority w:val="9"/>
    <w:rPr>
      <w:b/>
      <w:bCs/>
      <w:kern w:val="44"/>
      <w:sz w:val="44"/>
      <w:szCs w:val="44"/>
    </w:rPr>
  </w:style>
  <w:style w:type="character" w:customStyle="1" w:styleId="37">
    <w:name w:val="标题 2 字符"/>
    <w:basedOn w:val="29"/>
    <w:link w:val="3"/>
    <w:qFormat/>
    <w:uiPriority w:val="9"/>
    <w:rPr>
      <w:rFonts w:asciiTheme="majorHAnsi" w:hAnsiTheme="majorHAnsi" w:eastAsiaTheme="majorEastAsia" w:cstheme="majorBidi"/>
      <w:b/>
      <w:bCs/>
      <w:kern w:val="2"/>
      <w:sz w:val="32"/>
      <w:szCs w:val="32"/>
    </w:rPr>
  </w:style>
  <w:style w:type="character" w:customStyle="1" w:styleId="38">
    <w:name w:val="纯文本 字符"/>
    <w:link w:val="12"/>
    <w:qFormat/>
    <w:uiPriority w:val="99"/>
    <w:rPr>
      <w:rFonts w:ascii="宋体" w:hAnsi="Courier New" w:cs="Courier New"/>
      <w:szCs w:val="21"/>
    </w:rPr>
  </w:style>
  <w:style w:type="paragraph" w:styleId="39">
    <w:name w:val="List Paragraph"/>
    <w:basedOn w:val="1"/>
    <w:qFormat/>
    <w:uiPriority w:val="34"/>
    <w:pPr>
      <w:ind w:firstLine="420" w:firstLineChars="200"/>
    </w:pPr>
  </w:style>
  <w:style w:type="character" w:customStyle="1" w:styleId="40">
    <w:name w:val="文档结构图 字符"/>
    <w:basedOn w:val="29"/>
    <w:link w:val="8"/>
    <w:qFormat/>
    <w:uiPriority w:val="0"/>
    <w:rPr>
      <w:rFonts w:ascii="宋体" w:hAnsi="宋体" w:cs="宋体"/>
      <w:color w:val="000000" w:themeColor="text1"/>
      <w:kern w:val="2"/>
      <w:sz w:val="24"/>
      <w:szCs w:val="24"/>
      <w14:textFill>
        <w14:solidFill>
          <w14:schemeClr w14:val="tx1"/>
        </w14:solidFill>
      </w14:textFill>
    </w:rPr>
  </w:style>
  <w:style w:type="character" w:customStyle="1" w:styleId="41">
    <w:name w:val="批注文字 字符"/>
    <w:basedOn w:val="29"/>
    <w:link w:val="9"/>
    <w:qFormat/>
    <w:uiPriority w:val="99"/>
    <w:rPr>
      <w:rFonts w:ascii="宋体" w:hAnsi="宋体" w:cs="宋体"/>
      <w:color w:val="000000" w:themeColor="text1"/>
      <w:kern w:val="2"/>
      <w:sz w:val="21"/>
      <w:szCs w:val="21"/>
      <w14:textFill>
        <w14:solidFill>
          <w14:schemeClr w14:val="tx1"/>
        </w14:solidFill>
      </w14:textFill>
    </w:rPr>
  </w:style>
  <w:style w:type="character" w:customStyle="1" w:styleId="42">
    <w:name w:val="批注框文本 字符"/>
    <w:basedOn w:val="29"/>
    <w:link w:val="14"/>
    <w:qFormat/>
    <w:uiPriority w:val="99"/>
    <w:rPr>
      <w:rFonts w:ascii="宋体" w:hAnsi="宋体" w:cs="宋体"/>
      <w:color w:val="000000" w:themeColor="text1"/>
      <w:kern w:val="2"/>
      <w:sz w:val="18"/>
      <w:szCs w:val="18"/>
      <w14:textFill>
        <w14:solidFill>
          <w14:schemeClr w14:val="tx1"/>
        </w14:solidFill>
      </w14:textFill>
    </w:rPr>
  </w:style>
  <w:style w:type="character" w:customStyle="1" w:styleId="43">
    <w:name w:val="页脚 字符"/>
    <w:basedOn w:val="29"/>
    <w:link w:val="15"/>
    <w:qFormat/>
    <w:uiPriority w:val="0"/>
    <w:rPr>
      <w:rFonts w:ascii="宋体" w:hAnsi="宋体" w:cs="宋体"/>
      <w:color w:val="000000" w:themeColor="text1"/>
      <w:kern w:val="2"/>
      <w:sz w:val="18"/>
      <w:szCs w:val="18"/>
      <w14:textFill>
        <w14:solidFill>
          <w14:schemeClr w14:val="tx1"/>
        </w14:solidFill>
      </w14:textFill>
    </w:rPr>
  </w:style>
  <w:style w:type="character" w:customStyle="1" w:styleId="44">
    <w:name w:val="页眉 字符"/>
    <w:basedOn w:val="29"/>
    <w:link w:val="16"/>
    <w:qFormat/>
    <w:uiPriority w:val="0"/>
    <w:rPr>
      <w:rFonts w:ascii="宋体" w:hAnsi="宋体" w:cs="宋体"/>
      <w:color w:val="000000" w:themeColor="text1"/>
      <w:kern w:val="2"/>
      <w:sz w:val="18"/>
      <w:szCs w:val="18"/>
      <w14:textFill>
        <w14:solidFill>
          <w14:schemeClr w14:val="tx1"/>
        </w14:solidFill>
      </w14:textFill>
    </w:rPr>
  </w:style>
  <w:style w:type="character" w:customStyle="1" w:styleId="45">
    <w:name w:val="标题 字符"/>
    <w:basedOn w:val="29"/>
    <w:link w:val="25"/>
    <w:qFormat/>
    <w:uiPriority w:val="10"/>
    <w:rPr>
      <w:rFonts w:asciiTheme="majorHAnsi" w:hAnsiTheme="majorHAnsi" w:eastAsiaTheme="majorEastAsia" w:cstheme="majorBidi"/>
      <w:b/>
      <w:bCs/>
      <w:color w:val="000000" w:themeColor="text1"/>
      <w:kern w:val="2"/>
      <w:sz w:val="32"/>
      <w:szCs w:val="32"/>
      <w14:textFill>
        <w14:solidFill>
          <w14:schemeClr w14:val="tx1"/>
        </w14:solidFill>
      </w14:textFill>
    </w:rPr>
  </w:style>
  <w:style w:type="character" w:customStyle="1" w:styleId="46">
    <w:name w:val="批注主题 字符"/>
    <w:basedOn w:val="41"/>
    <w:link w:val="26"/>
    <w:semiHidden/>
    <w:qFormat/>
    <w:uiPriority w:val="99"/>
    <w:rPr>
      <w:rFonts w:ascii="宋体" w:hAnsi="宋体" w:cs="宋体"/>
      <w:b/>
      <w:bCs/>
      <w:color w:val="000000" w:themeColor="text1"/>
      <w:kern w:val="2"/>
      <w:sz w:val="21"/>
      <w:szCs w:val="21"/>
      <w14:textFill>
        <w14:solidFill>
          <w14:schemeClr w14:val="tx1"/>
        </w14:solidFill>
      </w14:textFill>
    </w:rPr>
  </w:style>
  <w:style w:type="table" w:customStyle="1" w:styleId="47">
    <w:name w:val="网格型1"/>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8">
    <w:name w:val="脚注文本 字符"/>
    <w:basedOn w:val="29"/>
    <w:link w:val="20"/>
    <w:qFormat/>
    <w:uiPriority w:val="99"/>
    <w:rPr>
      <w:rFonts w:hint="eastAsia" w:ascii="宋体" w:hAnsi="宋体" w:eastAsia="宋体" w:cs="宋体"/>
      <w:kern w:val="2"/>
      <w:sz w:val="18"/>
      <w:szCs w:val="18"/>
    </w:rPr>
  </w:style>
  <w:style w:type="paragraph" w:customStyle="1" w:styleId="49">
    <w:name w:val="msolistparagraph"/>
    <w:basedOn w:val="1"/>
    <w:qFormat/>
    <w:uiPriority w:val="0"/>
    <w:pPr>
      <w:ind w:firstLine="420" w:firstLineChars="200"/>
    </w:pPr>
    <w:rPr>
      <w:rFonts w:hint="eastAsia" w:cs="Times New Roman"/>
      <w:sz w:val="24"/>
      <w:szCs w:val="24"/>
    </w:rPr>
  </w:style>
  <w:style w:type="character" w:customStyle="1" w:styleId="50">
    <w:name w:val="标题 3 字符"/>
    <w:basedOn w:val="29"/>
    <w:link w:val="4"/>
    <w:qFormat/>
    <w:uiPriority w:val="0"/>
    <w:rPr>
      <w:rFonts w:hint="eastAsia" w:ascii="宋体" w:hAnsi="宋体" w:eastAsia="宋体" w:cs="宋体"/>
      <w:b/>
      <w:kern w:val="2"/>
      <w:sz w:val="32"/>
      <w:szCs w:val="32"/>
    </w:rPr>
  </w:style>
  <w:style w:type="character" w:customStyle="1" w:styleId="51">
    <w:name w:val="页脚 字符1"/>
    <w:basedOn w:val="29"/>
    <w:semiHidden/>
    <w:qFormat/>
    <w:uiPriority w:val="99"/>
    <w:rPr>
      <w:rFonts w:ascii="Calibri" w:hAnsi="Calibri" w:eastAsia="宋体" w:cs="Times New Roman"/>
      <w:sz w:val="18"/>
      <w:szCs w:val="18"/>
    </w:rPr>
  </w:style>
  <w:style w:type="character" w:customStyle="1" w:styleId="52">
    <w:name w:val="批注框文本 字符1"/>
    <w:basedOn w:val="29"/>
    <w:semiHidden/>
    <w:qFormat/>
    <w:uiPriority w:val="99"/>
    <w:rPr>
      <w:rFonts w:ascii="宋体" w:hAnsi="Calibri" w:eastAsia="宋体" w:cs="Times New Roman"/>
      <w:sz w:val="18"/>
      <w:szCs w:val="18"/>
    </w:rPr>
  </w:style>
  <w:style w:type="character" w:customStyle="1" w:styleId="53">
    <w:name w:val="文档结构图 字符1"/>
    <w:basedOn w:val="29"/>
    <w:semiHidden/>
    <w:qFormat/>
    <w:uiPriority w:val="99"/>
    <w:rPr>
      <w:rFonts w:ascii="ACADEMY ENGRAVED LET PLAIN:1.0" w:hAnsi="ACADEMY ENGRAVED LET PLAIN:1.0" w:eastAsia="宋体" w:cs="Times New Roman"/>
      <w:sz w:val="26"/>
      <w:szCs w:val="26"/>
    </w:rPr>
  </w:style>
  <w:style w:type="character" w:customStyle="1" w:styleId="54">
    <w:name w:val="纯文本 字符1"/>
    <w:basedOn w:val="29"/>
    <w:semiHidden/>
    <w:qFormat/>
    <w:uiPriority w:val="99"/>
    <w:rPr>
      <w:rFonts w:hAnsi="Courier New" w:cs="Courier New" w:asciiTheme="minorEastAsia"/>
      <w:sz w:val="21"/>
    </w:rPr>
  </w:style>
  <w:style w:type="character" w:customStyle="1" w:styleId="55">
    <w:name w:val="脚注文本 字符1"/>
    <w:basedOn w:val="29"/>
    <w:semiHidden/>
    <w:qFormat/>
    <w:uiPriority w:val="99"/>
    <w:rPr>
      <w:rFonts w:ascii="Calibri" w:hAnsi="Calibri" w:eastAsia="宋体" w:cs="Times New Roman"/>
      <w:sz w:val="18"/>
      <w:szCs w:val="18"/>
    </w:rPr>
  </w:style>
  <w:style w:type="character" w:customStyle="1" w:styleId="56">
    <w:name w:val="页眉 字符1"/>
    <w:basedOn w:val="29"/>
    <w:semiHidden/>
    <w:qFormat/>
    <w:uiPriority w:val="99"/>
    <w:rPr>
      <w:rFonts w:ascii="Calibri" w:hAnsi="Calibri" w:eastAsia="宋体" w:cs="Times New Roman"/>
      <w:sz w:val="18"/>
      <w:szCs w:val="18"/>
    </w:rPr>
  </w:style>
  <w:style w:type="paragraph" w:customStyle="1" w:styleId="57">
    <w:name w:val="列出段落1"/>
    <w:basedOn w:val="1"/>
    <w:qFormat/>
    <w:uiPriority w:val="34"/>
    <w:pPr>
      <w:ind w:firstLine="420" w:firstLineChars="200"/>
    </w:pPr>
    <w:rPr>
      <w:rFonts w:ascii="Calibri" w:hAnsi="Calibri" w:cs="Times New Roman"/>
      <w:color w:val="auto"/>
      <w:szCs w:val="24"/>
    </w:rPr>
  </w:style>
  <w:style w:type="paragraph" w:customStyle="1" w:styleId="58">
    <w:name w:val="无间隔1"/>
    <w:qFormat/>
    <w:uiPriority w:val="1"/>
    <w:pPr>
      <w:widowControl w:val="0"/>
      <w:spacing w:after="160" w:line="278" w:lineRule="auto"/>
      <w:jc w:val="both"/>
    </w:pPr>
    <w:rPr>
      <w:rFonts w:ascii="Calibri" w:hAnsi="Calibri" w:eastAsia="宋体" w:cs="Times New Roman"/>
      <w:kern w:val="2"/>
      <w:sz w:val="21"/>
      <w:szCs w:val="24"/>
      <w:lang w:val="en-US" w:eastAsia="zh-CN" w:bidi="ar-SA"/>
    </w:rPr>
  </w:style>
  <w:style w:type="paragraph" w:customStyle="1" w:styleId="59">
    <w:name w:val="列出段落11"/>
    <w:basedOn w:val="1"/>
    <w:qFormat/>
    <w:uiPriority w:val="34"/>
    <w:pPr>
      <w:ind w:firstLine="420" w:firstLineChars="200"/>
    </w:pPr>
    <w:rPr>
      <w:rFonts w:ascii="Calibri" w:hAnsi="Calibri" w:cs="Times New Roman"/>
      <w:color w:val="auto"/>
      <w:szCs w:val="24"/>
    </w:rPr>
  </w:style>
  <w:style w:type="table" w:customStyle="1" w:styleId="60">
    <w:name w:val="Table Normal"/>
    <w:qFormat/>
    <w:uiPriority w:val="0"/>
    <w:rPr>
      <w:rFonts w:eastAsia="等线"/>
    </w:rPr>
    <w:tblPr>
      <w:tblCellMar>
        <w:top w:w="0" w:type="dxa"/>
        <w:left w:w="0" w:type="dxa"/>
        <w:bottom w:w="0" w:type="dxa"/>
        <w:right w:w="0" w:type="dxa"/>
      </w:tblCellMar>
    </w:tblPr>
  </w:style>
  <w:style w:type="character" w:customStyle="1" w:styleId="61">
    <w:name w:val="无"/>
    <w:qFormat/>
    <w:uiPriority w:val="0"/>
  </w:style>
  <w:style w:type="table" w:customStyle="1" w:styleId="62">
    <w:name w:val="Table Normal1"/>
    <w:qFormat/>
    <w:uiPriority w:val="0"/>
    <w:rPr>
      <w:rFonts w:eastAsiaTheme="minorEastAsia"/>
    </w:rPr>
    <w:tblPr>
      <w:tblCellMar>
        <w:top w:w="0" w:type="dxa"/>
        <w:left w:w="0" w:type="dxa"/>
        <w:bottom w:w="0" w:type="dxa"/>
        <w:right w:w="0" w:type="dxa"/>
      </w:tblCellMar>
    </w:tblPr>
  </w:style>
  <w:style w:type="character" w:customStyle="1" w:styleId="63">
    <w:name w:val="Hyperlink.1"/>
    <w:basedOn w:val="61"/>
    <w:qFormat/>
    <w:uiPriority w:val="0"/>
    <w:rPr>
      <w:rFonts w:ascii="宋体" w:hAnsi="宋体" w:eastAsia="宋体" w:cs="宋体"/>
      <w:color w:val="000000"/>
      <w:u w:color="000000"/>
      <w:lang w:val="zh-TW" w:eastAsia="zh-TW"/>
    </w:rPr>
  </w:style>
  <w:style w:type="paragraph" w:customStyle="1" w:styleId="64">
    <w:name w:val="正文 A"/>
    <w:qFormat/>
    <w:uiPriority w:val="0"/>
    <w:pPr>
      <w:widowControl w:val="0"/>
      <w:spacing w:after="160" w:line="278" w:lineRule="auto"/>
      <w:jc w:val="both"/>
    </w:pPr>
    <w:rPr>
      <w:rFonts w:ascii="Calibri" w:hAnsi="Calibri" w:eastAsia="Arial Unicode MS" w:cs="Arial Unicode MS"/>
      <w:color w:val="000000"/>
      <w:kern w:val="2"/>
      <w:sz w:val="21"/>
      <w:szCs w:val="21"/>
      <w:u w:color="000000"/>
      <w:lang w:val="en-US" w:eastAsia="zh-CN" w:bidi="ar-SA"/>
    </w:rPr>
  </w:style>
  <w:style w:type="paragraph" w:customStyle="1" w:styleId="65">
    <w:name w:val="表格标题1"/>
    <w:basedOn w:val="1"/>
    <w:qFormat/>
    <w:uiPriority w:val="0"/>
    <w:pPr>
      <w:tabs>
        <w:tab w:val="left" w:pos="420"/>
      </w:tabs>
      <w:spacing w:before="10" w:beforeLines="10" w:after="20" w:afterLines="20" w:line="280" w:lineRule="exact"/>
      <w:jc w:val="center"/>
    </w:pPr>
    <w:rPr>
      <w:rFonts w:eastAsia="汉仪中黑简"/>
      <w:color w:val="FF0000"/>
      <w:sz w:val="20"/>
    </w:rPr>
  </w:style>
  <w:style w:type="character" w:customStyle="1" w:styleId="66">
    <w:name w:val="标题 4 字符"/>
    <w:basedOn w:val="29"/>
    <w:link w:val="5"/>
    <w:semiHidden/>
    <w:uiPriority w:val="9"/>
    <w:rPr>
      <w:rFonts w:asciiTheme="majorHAnsi" w:hAnsiTheme="majorHAnsi" w:eastAsiaTheme="majorEastAsia" w:cstheme="majorBidi"/>
      <w:b/>
      <w:bCs/>
      <w:color w:val="000000" w:themeColor="text1"/>
      <w:kern w:val="2"/>
      <w:sz w:val="28"/>
      <w:szCs w:val="28"/>
      <w14:textFill>
        <w14:solidFill>
          <w14:schemeClr w14:val="tx1"/>
        </w14:solidFill>
      </w14:textFill>
    </w:rPr>
  </w:style>
  <w:style w:type="character" w:customStyle="1" w:styleId="67">
    <w:name w:val="副标题 字符"/>
    <w:basedOn w:val="29"/>
    <w:link w:val="19"/>
    <w:qFormat/>
    <w:uiPriority w:val="11"/>
    <w:rPr>
      <w:rFonts w:asciiTheme="minorHAnsi" w:hAnsiTheme="minorHAnsi" w:eastAsiaTheme="minorEastAsia" w:cstheme="minorBidi"/>
      <w:b/>
      <w:bCs/>
      <w:color w:val="000000" w:themeColor="text1"/>
      <w:kern w:val="28"/>
      <w:sz w:val="32"/>
      <w:szCs w:val="32"/>
      <w14:textFill>
        <w14:solidFill>
          <w14:schemeClr w14:val="tx1"/>
        </w14:solidFill>
      </w14:textFill>
    </w:rPr>
  </w:style>
  <w:style w:type="character" w:customStyle="1" w:styleId="68">
    <w:name w:val="样式1 字符"/>
    <w:link w:val="69"/>
    <w:uiPriority w:val="0"/>
    <w:rPr>
      <w:rFonts w:ascii="黑体" w:hAnsi="黑体" w:eastAsia="黑体" w:cs="黑体"/>
      <w:kern w:val="2"/>
      <w:sz w:val="17"/>
      <w:szCs w:val="17"/>
    </w:rPr>
  </w:style>
  <w:style w:type="paragraph" w:customStyle="1" w:styleId="69">
    <w:name w:val="样式1"/>
    <w:basedOn w:val="1"/>
    <w:link w:val="68"/>
    <w:qFormat/>
    <w:uiPriority w:val="0"/>
    <w:pPr>
      <w:spacing w:line="207" w:lineRule="exact"/>
      <w:jc w:val="left"/>
    </w:pPr>
    <w:rPr>
      <w:rFonts w:ascii="黑体" w:hAnsi="黑体" w:eastAsia="黑体" w:cs="黑体"/>
      <w:color w:val="auto"/>
      <w:sz w:val="17"/>
      <w:szCs w:val="17"/>
    </w:rPr>
  </w:style>
  <w:style w:type="character" w:customStyle="1" w:styleId="70">
    <w:name w:val="标题 5 字符"/>
    <w:basedOn w:val="29"/>
    <w:link w:val="6"/>
    <w:qFormat/>
    <w:uiPriority w:val="0"/>
    <w:rPr>
      <w:rFonts w:ascii="Calibri" w:hAnsi="Calibri"/>
      <w:b/>
      <w:bCs/>
      <w:kern w:val="2"/>
      <w:sz w:val="28"/>
      <w:szCs w:val="28"/>
    </w:rPr>
  </w:style>
  <w:style w:type="paragraph" w:customStyle="1" w:styleId="71">
    <w:name w:val="列表段落1"/>
    <w:basedOn w:val="1"/>
    <w:qFormat/>
    <w:uiPriority w:val="34"/>
    <w:pPr>
      <w:ind w:firstLine="420" w:firstLineChars="200"/>
    </w:pPr>
    <w:rPr>
      <w:rFonts w:asciiTheme="minorHAnsi" w:hAnsiTheme="minorHAnsi" w:eastAsiaTheme="minorEastAsia" w:cstheme="minorBidi"/>
      <w:color w:val="auto"/>
      <w:szCs w:val="22"/>
    </w:rPr>
  </w:style>
  <w:style w:type="character" w:customStyle="1" w:styleId="72">
    <w:name w:val="未处理的提及1"/>
    <w:basedOn w:val="29"/>
    <w:semiHidden/>
    <w:unhideWhenUsed/>
    <w:uiPriority w:val="99"/>
    <w:rPr>
      <w:color w:val="605E5C"/>
      <w:shd w:val="clear" w:color="auto" w:fill="E1DFDD"/>
    </w:rPr>
  </w:style>
  <w:style w:type="character" w:customStyle="1" w:styleId="73">
    <w:name w:val="未处理的提及2"/>
    <w:basedOn w:val="29"/>
    <w:semiHidden/>
    <w:unhideWhenUsed/>
    <w:uiPriority w:val="99"/>
    <w:rPr>
      <w:color w:val="605E5C"/>
      <w:shd w:val="clear" w:color="auto" w:fill="E1DFDD"/>
    </w:rPr>
  </w:style>
  <w:style w:type="table" w:customStyle="1" w:styleId="74">
    <w:name w:val="网格型2"/>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11"/>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Table Normal2"/>
    <w:qFormat/>
    <w:uiPriority w:val="0"/>
    <w:pPr>
      <w:spacing w:after="0" w:line="240" w:lineRule="auto"/>
    </w:pPr>
    <w:rPr>
      <w:rFonts w:eastAsia="等线"/>
    </w:rPr>
    <w:tblPr>
      <w:tblCellMar>
        <w:top w:w="0" w:type="dxa"/>
        <w:left w:w="0" w:type="dxa"/>
        <w:bottom w:w="0" w:type="dxa"/>
        <w:right w:w="0" w:type="dxa"/>
      </w:tblCellMar>
    </w:tblPr>
  </w:style>
  <w:style w:type="table" w:customStyle="1" w:styleId="77">
    <w:name w:val="Table Normal11"/>
    <w:qFormat/>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78">
    <w:name w:val="Unresolved Mention"/>
    <w:basedOn w:val="2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EEF7D8D-3A44-4765-8B2A-718795FD185E}">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24</Lines>
  <Paragraphs>6</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2021-06-07T08:31:00Z</dcterms:created>
  <dc:creator>Microsoft Office 用户</dc:creator>
  <cp:lastModifiedBy>王老师</cp:lastModifiedBy>
  <cp:lastPrinted>2026-08-20T02:56:00Z</cp:lastPrinted>
  <dcterms:modified xsi:type="dcterms:W3CDTF">2026-09-05T08:17:57Z</dcterms:modified>
  <cp:revision>707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eyJoZGlkIjoiZWM1MTZkMWZiOWJjMGNkODI2M2Q4MWJmNjRmYWM2YjQiLCJ1c2VySWQiOiIxNjE3NjE0MTU0In0=</vt:lpwstr>
  </property>
  <property fmtid="{D5CDD505-2E9C-101B-9397-08002B2CF9AE}" pid="4" name="ICV">
    <vt:lpwstr>99F0502D054F46368FFF36ECD3511F6C_13</vt:lpwstr>
  </property>
</Properties>
</file>