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436FFB2">
      <w:pPr>
        <w:pStyle w:val="style0"/>
        <w:snapToGrid w:val="false"/>
        <w:spacing w:after="0" w:lineRule="auto" w:line="240"/>
        <w:ind w:firstLine="422" w:firstLineChars="200"/>
        <w:jc w:val="center"/>
        <w:rPr>
          <w:b/>
          <w:bCs/>
        </w:rPr>
      </w:pPr>
      <w:bookmarkStart w:id="0" w:name="_Toc236828939"/>
      <w:r>
        <w:rPr>
          <w:b/>
          <w:bCs/>
        </w:rPr>
        <w:t>预测考点</w:t>
      </w:r>
      <w:r>
        <w:rPr>
          <w:b/>
          <w:bCs/>
        </w:rPr>
        <w:t>1  行政法的基本原则</w:t>
      </w:r>
      <w:bookmarkEnd w:id="0"/>
    </w:p>
    <w:p w14:paraId="04926730">
      <w:pPr>
        <w:pStyle w:val="style0"/>
        <w:snapToGrid w:val="false"/>
        <w:spacing w:after="0" w:lineRule="auto" w:line="240"/>
        <w:ind w:firstLine="422" w:firstLineChars="200"/>
        <w:rPr>
          <w:b/>
          <w:bCs/>
        </w:rPr>
      </w:pPr>
      <w:r>
        <w:rPr>
          <w:rFonts w:hint="eastAsia"/>
          <w:b/>
          <w:bCs/>
        </w:rPr>
        <w:t>1.</w:t>
      </w:r>
      <w:r>
        <w:rPr>
          <w:b/>
          <w:bCs/>
        </w:rPr>
        <w:t>合法行政：法律优先和法律保留。</w:t>
      </w:r>
    </w:p>
    <w:p w14:paraId="6CFBCCB7">
      <w:pPr>
        <w:pStyle w:val="style0"/>
        <w:snapToGrid w:val="false"/>
        <w:spacing w:after="0" w:lineRule="auto" w:line="240"/>
        <w:ind w:firstLine="420" w:firstLineChars="200"/>
        <w:rPr>
          <w:rFonts w:cs="汉仪中黑简"/>
          <w:color w:val="000000"/>
          <w:kern w:val="44"/>
        </w:rPr>
      </w:pPr>
      <w:r>
        <w:rPr>
          <w:rFonts w:cs="汉仪中黑简" w:hint="eastAsia"/>
          <w:color w:val="000000"/>
          <w:kern w:val="44"/>
        </w:rPr>
        <w:t>（1）</w:t>
      </w:r>
      <w:r>
        <w:rPr>
          <w:rFonts w:cs="汉仪中黑简"/>
          <w:color w:val="000000"/>
          <w:kern w:val="44"/>
        </w:rPr>
        <w:t>法律优先：</w:t>
      </w:r>
      <w:r>
        <w:rPr>
          <w:color w:val="000000"/>
        </w:rPr>
        <w:t>行政机关必须遵守现行有效的法律，即</w:t>
      </w:r>
      <w:r>
        <w:rPr>
          <w:color w:val="ff0000"/>
        </w:rPr>
        <w:t>法有规定须遵守，法有规定不违反。</w:t>
      </w:r>
    </w:p>
    <w:p w14:paraId="221D0D54">
      <w:pPr>
        <w:pStyle w:val="style0"/>
        <w:snapToGrid w:val="false"/>
        <w:spacing w:after="0" w:lineRule="auto" w:line="240"/>
        <w:ind w:firstLine="420" w:firstLineChars="200"/>
        <w:rPr>
          <w:rFonts w:cs="汉仪中黑简" w:hint="eastAsia"/>
          <w:color w:val="000000"/>
          <w:kern w:val="44"/>
        </w:rPr>
      </w:pPr>
      <w:r>
        <w:rPr>
          <w:rFonts w:cs="汉仪中黑简" w:hint="eastAsia"/>
          <w:color w:val="000000"/>
          <w:kern w:val="44"/>
        </w:rPr>
        <w:t>（2）</w:t>
      </w:r>
      <w:r>
        <w:rPr>
          <w:rFonts w:cs="汉仪中黑简"/>
          <w:color w:val="000000"/>
          <w:kern w:val="44"/>
        </w:rPr>
        <w:t>法律保留：</w:t>
      </w:r>
      <w:r>
        <w:rPr>
          <w:color w:val="000000"/>
        </w:rPr>
        <w:t>行政机关应当依照法律授权活动，即</w:t>
      </w:r>
      <w:r>
        <w:rPr>
          <w:color w:val="ff0000"/>
        </w:rPr>
        <w:t>法有规定才可为，法无授权即禁止。</w:t>
      </w:r>
    </w:p>
    <w:p w14:paraId="7F8D5B86">
      <w:pPr>
        <w:pStyle w:val="style0"/>
        <w:snapToGrid w:val="false"/>
        <w:spacing w:after="0" w:lineRule="auto" w:line="240"/>
        <w:ind w:firstLine="422" w:firstLineChars="200"/>
        <w:rPr>
          <w:b/>
          <w:bCs/>
        </w:rPr>
      </w:pPr>
      <w:r>
        <w:rPr>
          <w:b/>
          <w:bCs/>
        </w:rPr>
        <w:t>2．合理行政：公平公正、考虑相关因素和比例原则。</w:t>
      </w:r>
    </w:p>
    <w:p w14:paraId="6031A71D">
      <w:pPr>
        <w:pStyle w:val="style0"/>
        <w:snapToGrid w:val="false"/>
        <w:spacing w:after="0" w:lineRule="auto" w:line="240"/>
        <w:ind w:firstLine="420" w:firstLineChars="200"/>
        <w:rPr>
          <w:rFonts w:cs="汉仪中黑简"/>
          <w:color w:val="000000"/>
          <w:kern w:val="44"/>
        </w:rPr>
      </w:pPr>
      <w:r>
        <w:rPr>
          <w:rFonts w:cs="汉仪中黑简" w:hint="eastAsia"/>
          <w:color w:val="000000"/>
          <w:kern w:val="44"/>
        </w:rPr>
        <w:t>（1）</w:t>
      </w:r>
      <w:r>
        <w:rPr>
          <w:rFonts w:cs="汉仪中黑简"/>
          <w:color w:val="000000"/>
          <w:kern w:val="44"/>
        </w:rPr>
        <w:t>公平公正：</w:t>
      </w:r>
      <w:r>
        <w:rPr>
          <w:color w:val="000000"/>
        </w:rPr>
        <w:t>行政机关要平等对待当事人，</w:t>
      </w:r>
      <w:r>
        <w:rPr>
          <w:color w:val="ff0000"/>
        </w:rPr>
        <w:t>不偏私</w:t>
      </w:r>
      <w:r>
        <w:rPr>
          <w:color w:val="000000"/>
        </w:rPr>
        <w:t>，</w:t>
      </w:r>
      <w:r>
        <w:rPr>
          <w:color w:val="ff0000"/>
        </w:rPr>
        <w:t>不歧视</w:t>
      </w:r>
      <w:r>
        <w:rPr>
          <w:color w:val="000000"/>
        </w:rPr>
        <w:t>。</w:t>
      </w:r>
    </w:p>
    <w:p w14:paraId="6BE4DE45">
      <w:pPr>
        <w:pStyle w:val="style0"/>
        <w:snapToGrid w:val="false"/>
        <w:spacing w:after="0" w:lineRule="auto" w:line="240"/>
        <w:ind w:firstLine="420" w:firstLineChars="200"/>
        <w:rPr>
          <w:rFonts w:cs="汉仪中黑简"/>
          <w:color w:val="000000"/>
          <w:kern w:val="44"/>
        </w:rPr>
      </w:pPr>
      <w:r>
        <w:rPr>
          <w:rFonts w:cs="汉仪中黑简" w:hint="eastAsia"/>
          <w:color w:val="000000"/>
          <w:kern w:val="44"/>
        </w:rPr>
        <w:t>（2）</w:t>
      </w:r>
      <w:r>
        <w:rPr>
          <w:rFonts w:cs="汉仪中黑简"/>
          <w:color w:val="000000"/>
          <w:kern w:val="44"/>
        </w:rPr>
        <w:t>考虑相关因素：</w:t>
      </w:r>
      <w:r>
        <w:rPr>
          <w:color w:val="000000"/>
        </w:rPr>
        <w:t>行政机关进行行政裁量和作出行政决定时，</w:t>
      </w:r>
      <w:r>
        <w:rPr>
          <w:color w:val="ff0000"/>
        </w:rPr>
        <w:t>只能考虑符合立法授权目的的各种因素</w:t>
      </w:r>
      <w:r>
        <w:rPr>
          <w:color w:val="000000"/>
        </w:rPr>
        <w:t>，</w:t>
      </w:r>
      <w:r>
        <w:rPr>
          <w:color w:val="ff0000"/>
        </w:rPr>
        <w:t>不得考虑无关因素</w:t>
      </w:r>
      <w:r>
        <w:rPr>
          <w:color w:val="000000"/>
        </w:rPr>
        <w:t>，要排除不相关因素的干扰。</w:t>
      </w:r>
    </w:p>
    <w:p w14:paraId="2CC6C2F3">
      <w:pPr>
        <w:pStyle w:val="style0"/>
        <w:snapToGrid w:val="false"/>
        <w:spacing w:after="0" w:lineRule="auto" w:line="240"/>
        <w:ind w:firstLine="420" w:firstLineChars="200"/>
        <w:rPr>
          <w:rFonts w:cs="汉仪中黑简" w:hint="eastAsia"/>
          <w:color w:val="000000"/>
          <w:kern w:val="44"/>
        </w:rPr>
      </w:pPr>
      <w:r>
        <w:rPr>
          <w:rFonts w:cs="汉仪中黑简" w:hint="eastAsia"/>
          <w:color w:val="4472c4"/>
          <w:kern w:val="44"/>
        </w:rPr>
        <w:t>（3）</w:t>
      </w:r>
      <w:r>
        <w:rPr>
          <w:rFonts w:cs="汉仪中黑简"/>
          <w:color w:val="4472c4"/>
          <w:kern w:val="44"/>
        </w:rPr>
        <w:t>比例原则：</w:t>
      </w:r>
      <w:r>
        <w:rPr>
          <w:color w:val="000000"/>
        </w:rPr>
        <w:t>政府从事行政活动应当</w:t>
      </w:r>
      <w:r>
        <w:rPr>
          <w:color w:val="ff0000"/>
        </w:rPr>
        <w:t>平衡和兼顾行政目标的实现和保护公民的利益</w:t>
      </w:r>
      <w:r>
        <w:rPr>
          <w:color w:val="000000"/>
        </w:rPr>
        <w:t>，如果行政目标的实现可能对公民的利益造成不利的影响，则这种不利影响应该被限制在尽可能小的范围和限度之内，二者应当有适当的比例。</w:t>
      </w:r>
    </w:p>
    <w:p w14:paraId="6CFD21A2">
      <w:pPr>
        <w:pStyle w:val="style0"/>
        <w:snapToGrid w:val="false"/>
        <w:spacing w:after="0" w:lineRule="auto" w:line="240"/>
        <w:ind w:firstLine="422" w:firstLineChars="200"/>
        <w:rPr>
          <w:b/>
          <w:bCs/>
        </w:rPr>
      </w:pPr>
      <w:r>
        <w:rPr>
          <w:b/>
          <w:bCs/>
        </w:rPr>
        <w:t>3．程序正当：行政公开、程序参与和回避原则。</w:t>
      </w:r>
    </w:p>
    <w:bookmarkStart w:id="1" w:name="_Hlk151370133"/>
    <w:p w14:paraId="3490D082">
      <w:pPr>
        <w:pStyle w:val="style0"/>
        <w:snapToGrid w:val="false"/>
        <w:spacing w:after="0" w:lineRule="auto" w:line="240"/>
        <w:ind w:firstLine="420" w:firstLineChars="200"/>
        <w:rPr>
          <w:rFonts w:cs="汉仪中黑简"/>
          <w:color w:val="000000"/>
          <w:kern w:val="44"/>
        </w:rPr>
      </w:pPr>
      <w:r>
        <w:rPr>
          <w:rFonts w:cs="汉仪中黑简" w:hint="eastAsia"/>
          <w:color w:val="000000"/>
          <w:kern w:val="44"/>
        </w:rPr>
        <w:t>（1）</w:t>
      </w:r>
      <w:r>
        <w:rPr>
          <w:rFonts w:cs="汉仪中黑简"/>
          <w:color w:val="000000"/>
          <w:kern w:val="44"/>
        </w:rPr>
        <w:t>行政公开：</w:t>
      </w:r>
      <w:r>
        <w:rPr>
          <w:color w:val="000000"/>
        </w:rPr>
        <w:t>要求行政机关履行行政管理职能过程中制作或者获取的政府信息</w:t>
      </w:r>
      <w:r>
        <w:rPr>
          <w:color w:val="ff0000"/>
        </w:rPr>
        <w:t>以公开为常态，不公开为例外</w:t>
      </w:r>
      <w:r>
        <w:rPr>
          <w:color w:val="000000"/>
        </w:rPr>
        <w:t>，</w:t>
      </w:r>
      <w:r>
        <w:rPr>
          <w:color w:val="ff0000"/>
        </w:rPr>
        <w:t>以保障公民的知情权</w:t>
      </w:r>
      <w:r>
        <w:rPr>
          <w:color w:val="000000"/>
        </w:rPr>
        <w:t>。</w:t>
      </w:r>
    </w:p>
    <w:p w14:paraId="329BD0FC">
      <w:pPr>
        <w:pStyle w:val="style0"/>
        <w:snapToGrid w:val="false"/>
        <w:spacing w:after="0" w:lineRule="auto" w:line="240"/>
        <w:ind w:firstLine="420" w:firstLineChars="200"/>
        <w:rPr>
          <w:rFonts w:cs="汉仪中黑简"/>
          <w:color w:val="000000"/>
          <w:kern w:val="44"/>
        </w:rPr>
      </w:pPr>
      <w:r>
        <w:rPr>
          <w:rFonts w:cs="汉仪中黑简" w:hint="eastAsia"/>
          <w:color w:val="4472c4"/>
          <w:kern w:val="44"/>
        </w:rPr>
        <w:t>（2）</w:t>
      </w:r>
      <w:r>
        <w:rPr>
          <w:rFonts w:cs="汉仪中黑简"/>
          <w:color w:val="4472c4"/>
          <w:kern w:val="44"/>
        </w:rPr>
        <w:t>程序参与：</w:t>
      </w:r>
      <w:r>
        <w:rPr>
          <w:color w:val="000000"/>
        </w:rPr>
        <w:t>要求行政机关作出重要的决定时，应当听取公众意见；</w:t>
      </w:r>
      <w:r>
        <w:rPr>
          <w:color w:val="ff0000"/>
        </w:rPr>
        <w:t>针对特定的行政相对人作出不利的行政决定，应当事前听取行政相对人的陈述、申辩。</w:t>
      </w:r>
    </w:p>
    <w:p w14:paraId="52694AA4">
      <w:pPr>
        <w:pStyle w:val="style0"/>
        <w:snapToGrid w:val="false"/>
        <w:spacing w:after="0" w:lineRule="auto" w:line="240"/>
        <w:ind w:firstLine="420" w:firstLineChars="200"/>
        <w:rPr>
          <w:rFonts w:cs="汉仪中黑简" w:hint="eastAsia"/>
          <w:color w:val="000000"/>
          <w:kern w:val="44"/>
        </w:rPr>
      </w:pPr>
      <w:r>
        <w:rPr>
          <w:rFonts w:cs="汉仪中黑简" w:hint="eastAsia"/>
          <w:color w:val="000000"/>
          <w:kern w:val="44"/>
        </w:rPr>
        <w:t>（3）</w:t>
      </w:r>
      <w:r>
        <w:rPr>
          <w:rFonts w:cs="汉仪中黑简"/>
          <w:color w:val="000000"/>
          <w:kern w:val="44"/>
        </w:rPr>
        <w:t>回避原则：</w:t>
      </w:r>
      <w:r>
        <w:rPr>
          <w:color w:val="000000"/>
        </w:rPr>
        <w:t>行政机关工作人员履行职责，与管理事项存在利害关系时，应当回避。当行政机关工作人员与其处理的公务无利害关系，但由于其他原因可能影响客观中立时，也应回避。</w:t>
      </w:r>
      <w:bookmarkEnd w:id="1"/>
    </w:p>
    <w:p w14:paraId="46002ABA">
      <w:pPr>
        <w:pStyle w:val="style0"/>
        <w:snapToGrid w:val="false"/>
        <w:spacing w:after="0" w:lineRule="auto" w:line="240"/>
        <w:ind w:firstLine="422" w:firstLineChars="200"/>
        <w:rPr>
          <w:rFonts w:hint="eastAsia"/>
          <w:b/>
          <w:bCs/>
        </w:rPr>
      </w:pPr>
      <w:r>
        <w:rPr>
          <w:b/>
          <w:bCs/>
        </w:rPr>
        <w:t>4．诚实守信：信息真实和信赖保护。</w:t>
      </w:r>
    </w:p>
    <w:p w14:paraId="6376A877">
      <w:pPr>
        <w:pStyle w:val="style0"/>
        <w:snapToGrid w:val="false"/>
        <w:spacing w:after="0" w:lineRule="auto" w:line="240"/>
        <w:ind w:firstLine="420" w:firstLineChars="200"/>
        <w:rPr>
          <w:rFonts w:cs="汉仪中黑简" w:hint="eastAsia"/>
          <w:color w:val="000000"/>
          <w:kern w:val="44"/>
        </w:rPr>
      </w:pPr>
      <w:r>
        <w:rPr>
          <w:rFonts w:cs="汉仪中黑简" w:hint="eastAsia"/>
          <w:color w:val="000000"/>
          <w:kern w:val="44"/>
        </w:rPr>
        <w:t>（1）</w:t>
      </w:r>
      <w:r>
        <w:rPr>
          <w:rFonts w:cs="汉仪中黑简"/>
          <w:color w:val="000000"/>
          <w:kern w:val="44"/>
        </w:rPr>
        <w:t>信息真实</w:t>
      </w:r>
      <w:r>
        <w:rPr>
          <w:rFonts w:cs="汉仪中黑简" w:hint="eastAsia"/>
          <w:color w:val="000000"/>
          <w:kern w:val="44"/>
        </w:rPr>
        <w:t>：</w:t>
      </w:r>
      <w:r>
        <w:rPr>
          <w:rFonts w:cs="汉仪书宋二简"/>
          <w:color w:val="000000"/>
          <w:kern w:val="0"/>
          <w:lang w:val="zh-CN"/>
        </w:rPr>
        <w:t>要求行政机关公布的信息应当全面、准确、真实。</w:t>
      </w:r>
      <w:r>
        <w:rPr>
          <w:rFonts w:cs="汉仪书宋二简" w:hint="eastAsia"/>
          <w:color w:val="000000"/>
          <w:kern w:val="0"/>
          <w:lang w:val="zh-CN"/>
        </w:rPr>
        <w:t>（侧重点信息真假）</w:t>
      </w:r>
    </w:p>
    <w:p w14:paraId="5A29C0BC">
      <w:pPr>
        <w:pStyle w:val="style0"/>
        <w:snapToGrid w:val="false"/>
        <w:spacing w:after="0" w:lineRule="auto" w:line="240"/>
        <w:ind w:firstLine="420" w:firstLineChars="200"/>
        <w:rPr>
          <w:rFonts w:cs="汉仪中黑简" w:hint="eastAsia"/>
          <w:color w:val="000000"/>
          <w:kern w:val="44"/>
        </w:rPr>
      </w:pPr>
      <w:r>
        <w:rPr>
          <w:rFonts w:cs="汉仪中黑简" w:hint="eastAsia"/>
          <w:color w:val="4472c4"/>
          <w:kern w:val="44"/>
        </w:rPr>
        <w:t>（2）</w:t>
      </w:r>
      <w:r>
        <w:rPr>
          <w:rFonts w:cs="汉仪中黑简"/>
          <w:color w:val="4472c4"/>
          <w:kern w:val="44"/>
        </w:rPr>
        <w:t>信赖保护</w:t>
      </w:r>
      <w:bookmarkStart w:id="2" w:name="_Hlk151370256"/>
      <w:r>
        <w:rPr>
          <w:rFonts w:cs="汉仪中黑简" w:hint="eastAsia"/>
          <w:color w:val="4472c4"/>
          <w:kern w:val="44"/>
        </w:rPr>
        <w:t>：</w:t>
      </w:r>
      <w:r>
        <w:rPr>
          <w:rFonts w:hint="eastAsia"/>
          <w:color w:val="ff0000"/>
        </w:rPr>
        <w:t>要求行政机关的决定一旦作出，就不能轻易更改或者撤销。</w:t>
      </w:r>
      <w:r>
        <w:rPr>
          <w:rFonts w:hint="eastAsia"/>
          <w:color w:val="000000"/>
        </w:rPr>
        <w:t>如果确因国家利益、公共利益的需要而必须更改或者撤销时，除了必须有充分的法律依据并遵循法定程序之外，还应当给予权益受损人</w:t>
      </w:r>
      <w:r>
        <w:rPr>
          <w:rFonts w:hint="eastAsia"/>
          <w:color w:val="ff0000"/>
        </w:rPr>
        <w:t>补偿</w:t>
      </w:r>
      <w:r>
        <w:rPr>
          <w:rFonts w:hint="eastAsia"/>
          <w:color w:val="000000"/>
        </w:rPr>
        <w:t>。</w:t>
      </w:r>
    </w:p>
    <w:bookmarkEnd w:id="2"/>
    <w:p w14:paraId="1CB89ED5">
      <w:pPr>
        <w:pStyle w:val="style0"/>
        <w:snapToGrid w:val="false"/>
        <w:spacing w:after="0" w:lineRule="auto" w:line="240"/>
        <w:ind w:firstLine="420" w:firstLineChars="200"/>
        <w:rPr>
          <w:rFonts w:hint="eastAsia"/>
        </w:rPr>
      </w:pPr>
    </w:p>
    <w:bookmarkStart w:id="3" w:name="_Toc236828940"/>
    <w:p w14:paraId="55AA94A5">
      <w:pPr>
        <w:pStyle w:val="style0"/>
        <w:snapToGrid w:val="false"/>
        <w:spacing w:after="0" w:lineRule="auto" w:line="240"/>
        <w:ind w:firstLine="422" w:firstLineChars="200"/>
        <w:jc w:val="center"/>
        <w:rPr>
          <w:rFonts w:hint="eastAsia"/>
          <w:b/>
          <w:bCs/>
        </w:rPr>
      </w:pPr>
      <w:r>
        <w:rPr>
          <w:b/>
          <w:bCs/>
        </w:rPr>
        <w:t>预测考点</w:t>
      </w:r>
      <w:r>
        <w:rPr>
          <w:b/>
          <w:bCs/>
        </w:rPr>
        <w:t>2  行政主体</w:t>
      </w:r>
      <w:bookmarkEnd w:id="3"/>
    </w:p>
    <w:p w14:paraId="0B9030B9">
      <w:pPr>
        <w:pStyle w:val="style0"/>
        <w:snapToGrid w:val="false"/>
        <w:spacing w:after="0" w:lineRule="auto" w:line="240"/>
        <w:ind w:firstLine="422" w:firstLineChars="200"/>
        <w:rPr>
          <w:rFonts w:hint="eastAsia"/>
        </w:rPr>
      </w:pPr>
      <w:r>
        <w:rPr>
          <w:b/>
          <w:bCs/>
        </w:rPr>
        <w:t>1．国务院行政机构的类型和职能：</w:t>
      </w:r>
      <w:r>
        <w:t>国务院组成部门</w:t>
      </w:r>
      <w:r>
        <w:rPr>
          <w:rFonts w:hint="eastAsia"/>
        </w:rPr>
        <w:t>（</w:t>
      </w:r>
      <w:r>
        <w:rPr>
          <w:rFonts w:cs="Arial Unicode MS" w:hint="eastAsia"/>
          <w:kern w:val="0"/>
        </w:rPr>
        <w:t>履行</w:t>
      </w:r>
      <w:r>
        <w:rPr>
          <w:rFonts w:cs="Arial Unicode MS" w:hint="eastAsia"/>
          <w:color w:val="ff0000"/>
          <w:kern w:val="0"/>
        </w:rPr>
        <w:t>国务院基本的</w:t>
      </w:r>
      <w:r>
        <w:rPr>
          <w:rFonts w:cs="Arial Unicode MS" w:hint="eastAsia"/>
          <w:kern w:val="0"/>
        </w:rPr>
        <w:t>行政管理职能</w:t>
      </w:r>
      <w:r>
        <w:rPr>
          <w:rFonts w:cs="Arial Unicode MS" w:hint="eastAsia"/>
          <w:kern w:val="0"/>
        </w:rPr>
        <w:t>）</w:t>
      </w:r>
      <w:r>
        <w:t>、部委管理的国家局</w:t>
      </w:r>
      <w:r>
        <w:rPr>
          <w:rFonts w:hint="eastAsia"/>
        </w:rPr>
        <w:t>（</w:t>
      </w:r>
      <w:r>
        <w:rPr>
          <w:rFonts w:cs="Arial Unicode MS" w:hint="eastAsia"/>
          <w:kern w:val="0"/>
        </w:rPr>
        <w:t>主管</w:t>
      </w:r>
      <w:r>
        <w:rPr>
          <w:rFonts w:cs="Arial Unicode MS" w:hint="eastAsia"/>
          <w:color w:val="ff0000"/>
          <w:kern w:val="0"/>
        </w:rPr>
        <w:t>特定业务</w:t>
      </w:r>
      <w:r>
        <w:rPr>
          <w:rFonts w:cs="Arial Unicode MS" w:hint="eastAsia"/>
          <w:color w:val="ff0000"/>
          <w:kern w:val="0"/>
        </w:rPr>
        <w:t>）</w:t>
      </w:r>
      <w:r>
        <w:t>、国务院的直属机构</w:t>
      </w:r>
      <w:r>
        <w:rPr>
          <w:rFonts w:hint="eastAsia"/>
        </w:rPr>
        <w:t>（</w:t>
      </w:r>
      <w:r>
        <w:rPr>
          <w:rFonts w:cs="Arial Unicode MS" w:hint="eastAsia"/>
          <w:kern w:val="0"/>
        </w:rPr>
        <w:t>主管国务院的某项</w:t>
      </w:r>
      <w:r>
        <w:rPr>
          <w:rFonts w:cs="Arial Unicode MS" w:hint="eastAsia"/>
          <w:color w:val="ff0000"/>
          <w:kern w:val="0"/>
        </w:rPr>
        <w:t>专门业务</w:t>
      </w:r>
      <w:r>
        <w:rPr>
          <w:rFonts w:cs="Arial Unicode MS" w:hint="eastAsia"/>
          <w:color w:val="ff0000"/>
          <w:kern w:val="0"/>
        </w:rPr>
        <w:t>）</w:t>
      </w:r>
      <w:r>
        <w:t>、办事机构、议事协调机构、国务院办公厅。</w:t>
      </w:r>
    </w:p>
    <w:p w14:paraId="35A9EE4B">
      <w:pPr>
        <w:pStyle w:val="style0"/>
        <w:snapToGrid w:val="false"/>
        <w:spacing w:after="0" w:lineRule="auto" w:line="240"/>
        <w:ind w:firstLine="422" w:firstLineChars="200"/>
        <w:rPr>
          <w:b/>
          <w:bCs/>
        </w:rPr>
      </w:pPr>
      <w:r>
        <w:rPr>
          <w:b/>
          <w:bCs/>
        </w:rPr>
        <w:t>2．国务院行政机构的设置程序：去掉一高一低。</w:t>
      </w:r>
    </w:p>
    <w:p w14:paraId="6EECCBD8">
      <w:pPr>
        <w:pStyle w:val="style0"/>
        <w:snapToGrid w:val="false"/>
        <w:spacing w:after="0" w:lineRule="auto" w:line="240"/>
        <w:ind w:firstLine="420" w:firstLineChars="200"/>
        <w:rPr>
          <w:rFonts w:hint="eastAsia"/>
          <w:b/>
          <w:bCs/>
          <w:color w:val="000000"/>
        </w:rPr>
      </w:pPr>
      <w:r>
        <w:rPr>
          <w:rFonts w:hint="eastAsia"/>
          <w:color w:val="000000"/>
        </w:rPr>
        <w:t>国务院组成部门（高）的设置由全国人大或者全国人大常委会决定和处级内设机构（低）的</w:t>
      </w:r>
      <w:r>
        <w:rPr>
          <w:rFonts w:hint="eastAsia"/>
          <w:b/>
          <w:bCs/>
          <w:color w:val="000000"/>
        </w:rPr>
        <w:t>设置由本行政机构决定，其他国务院行政机构的设置均为国务院决定。</w:t>
      </w:r>
    </w:p>
    <w:p w14:paraId="532778DB">
      <w:pPr>
        <w:pStyle w:val="style0"/>
        <w:snapToGrid w:val="false"/>
        <w:spacing w:after="0" w:lineRule="auto" w:line="240"/>
        <w:ind w:firstLine="422" w:firstLineChars="200"/>
        <w:rPr>
          <w:rFonts w:hint="eastAsia"/>
        </w:rPr>
      </w:pPr>
      <w:r>
        <w:rPr>
          <w:b/>
          <w:bCs/>
        </w:rPr>
        <w:t>3．地方政府机构的设置程序：</w:t>
      </w:r>
      <w:r>
        <w:t>除议事协调机构由本级政府自行决定设立外，其他地方政府机构的设立、撤销、合并，由本级政府提出方案，报上一级政府批准。</w:t>
      </w:r>
    </w:p>
    <w:p w14:paraId="2D7F3208">
      <w:pPr>
        <w:pStyle w:val="style0"/>
        <w:snapToGrid w:val="false"/>
        <w:spacing w:after="0" w:lineRule="auto" w:line="240"/>
        <w:ind w:firstLine="420" w:firstLineChars="200"/>
        <w:rPr>
          <w:rFonts w:hint="eastAsia"/>
        </w:rPr>
      </w:pPr>
    </w:p>
    <w:p w14:paraId="03AF29A3">
      <w:pPr>
        <w:pStyle w:val="style0"/>
        <w:snapToGrid w:val="false"/>
        <w:spacing w:after="0" w:lineRule="auto" w:line="240"/>
        <w:ind w:firstLine="420" w:firstLineChars="200"/>
        <w:rPr>
          <w:rFonts w:hint="eastAsia"/>
        </w:rPr>
      </w:pPr>
    </w:p>
    <w:bookmarkStart w:id="4" w:name="_Toc236828941"/>
    <w:p w14:paraId="71DD05B0">
      <w:pPr>
        <w:pStyle w:val="style0"/>
        <w:snapToGrid w:val="false"/>
        <w:spacing w:after="0" w:lineRule="auto" w:line="240"/>
        <w:ind w:firstLine="422" w:firstLineChars="200"/>
        <w:jc w:val="center"/>
        <w:rPr>
          <w:b/>
          <w:bCs/>
        </w:rPr>
      </w:pPr>
      <w:r>
        <w:rPr>
          <w:b/>
          <w:bCs/>
        </w:rPr>
        <w:t>预测考点</w:t>
      </w:r>
      <w:r>
        <w:rPr>
          <w:b/>
          <w:bCs/>
        </w:rPr>
        <w:t>3  公务员</w:t>
      </w:r>
      <w:bookmarkEnd w:id="4"/>
    </w:p>
    <w:p w14:paraId="473028F9">
      <w:pPr>
        <w:pStyle w:val="style0"/>
        <w:snapToGrid w:val="false"/>
        <w:spacing w:after="0" w:lineRule="auto" w:line="240"/>
        <w:ind w:firstLine="420" w:firstLineChars="200"/>
        <w:rPr>
          <w:rFonts w:hint="eastAsia"/>
        </w:rPr>
      </w:pPr>
    </w:p>
    <w:p w14:paraId="668E10FE">
      <w:pPr>
        <w:pStyle w:val="style0"/>
        <w:snapToGrid w:val="false"/>
        <w:spacing w:after="0" w:lineRule="auto" w:line="240"/>
        <w:ind w:firstLine="422" w:firstLineChars="200"/>
        <w:rPr>
          <w:b/>
          <w:bCs/>
        </w:rPr>
      </w:pPr>
      <w:r>
        <w:rPr>
          <w:b/>
          <w:bCs/>
        </w:rPr>
        <w:t>1．公职的取得：录用制、聘任制。</w:t>
      </w:r>
    </w:p>
    <w:p w14:paraId="7B8529F7">
      <w:pPr>
        <w:pStyle w:val="style0"/>
        <w:snapToGrid w:val="false"/>
        <w:spacing w:after="0" w:lineRule="auto" w:line="240"/>
        <w:ind w:firstLine="420" w:firstLineChars="200"/>
        <w:rPr/>
      </w:pPr>
      <w:r>
        <w:rPr>
          <w:rFonts w:hint="eastAsia"/>
        </w:rPr>
        <w:t>（1）录用制</w:t>
      </w:r>
    </w:p>
    <w:p w14:paraId="68AD8CB4">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ff0000"/>
          <w14:ligatures xmlns:w14="http://schemas.microsoft.com/office/word/2010/wordml" w14:val="standardContextual"/>
        </w:rPr>
        <w:t>①适合岗位：</w:t>
      </w:r>
      <w:r>
        <w:rPr>
          <w:rFonts w:cs="Arial Unicode MS"/>
          <w:color w:val="000000"/>
          <w14:ligatures xmlns:w14="http://schemas.microsoft.com/office/word/2010/wordml" w14:val="standardContextual"/>
        </w:rPr>
        <w:t>一级主任科员以下的职位</w:t>
      </w:r>
    </w:p>
    <w:p w14:paraId="64FBC6FB">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ff0000"/>
          <w14:ligatures xmlns:w14="http://schemas.microsoft.com/office/word/2010/wordml" w14:val="standardContextual"/>
        </w:rPr>
        <w:t>②组织考试：</w:t>
      </w:r>
      <w:r>
        <w:rPr>
          <w:rFonts w:cs="Arial Unicode MS"/>
          <w:color w:val="000000"/>
          <w14:ligatures xmlns:w14="http://schemas.microsoft.com/office/word/2010/wordml" w14:val="standardContextual"/>
        </w:rPr>
        <w:t>中央公务员的录用，由中央公务员主管部门负责组织；地方公务员的录用，由省级公务员主管部门负责组织，必要时省级公务员主管部门可以授权设区的市级公务员主管部门组织</w:t>
      </w:r>
    </w:p>
    <w:p w14:paraId="2A0D731C">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ff0000"/>
          <w14:ligatures xmlns:w14="http://schemas.microsoft.com/office/word/2010/wordml" w14:val="standardContextual"/>
        </w:rPr>
        <w:t>③录用程序：</w:t>
      </w:r>
      <w:r>
        <w:rPr>
          <w:rFonts w:cs="Arial Unicode MS"/>
          <w:color w:val="000000"/>
          <w14:ligatures xmlns:w14="http://schemas.microsoft.com/office/word/2010/wordml" w14:val="standardContextual"/>
        </w:rPr>
        <w:t>发布招考公告+笔试+面试+考察+体检+公示（公示期不少于5日）</w:t>
      </w:r>
    </w:p>
    <w:p w14:paraId="6105D089">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ff0000"/>
          <w14:ligatures xmlns:w14="http://schemas.microsoft.com/office/word/2010/wordml" w14:val="standardContextual"/>
        </w:rPr>
        <w:t>④录用委任：</w:t>
      </w:r>
      <w:r>
        <w:rPr>
          <w:rFonts w:cs="Arial Unicode MS"/>
          <w:color w:val="000000"/>
          <w14:ligatures xmlns:w14="http://schemas.microsoft.com/office/word/2010/wordml" w14:val="standardContextual"/>
        </w:rPr>
        <w:t>新录用的公务员试用期1年，试用期满合格的，委任职位；不合格的，取消录用</w:t>
      </w:r>
      <w:r>
        <w:rPr>
          <w:rFonts w:cs="Arial Unicode MS"/>
          <w:color w:val="4472c4"/>
          <w14:ligatures xmlns:w14="http://schemas.microsoft.com/office/word/2010/wordml" w14:val="standardContextual"/>
        </w:rPr>
        <w:t>（不能提前转正）</w:t>
      </w:r>
    </w:p>
    <w:p w14:paraId="5AC6B902">
      <w:pPr>
        <w:pStyle w:val="style0"/>
        <w:snapToGrid w:val="false"/>
        <w:spacing w:after="0" w:lineRule="auto" w:line="240"/>
        <w:ind w:firstLine="420" w:firstLineChars="200"/>
        <w:rPr/>
      </w:pPr>
      <w:r>
        <w:rPr>
          <w:rFonts w:hint="eastAsia"/>
        </w:rPr>
        <w:t>（2）聘用制</w:t>
      </w:r>
    </w:p>
    <w:p w14:paraId="18861C7A">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①可以实行聘任制的岗位：</w:t>
      </w:r>
      <w:r>
        <w:rPr>
          <w:rFonts w:cs="Arial Unicode MS"/>
          <w:color w:val="ff0000"/>
          <w14:ligatures xmlns:w14="http://schemas.microsoft.com/office/word/2010/wordml" w14:val="standardContextual"/>
        </w:rPr>
        <w:t>专业性较强的职位和辅助性职位</w:t>
      </w:r>
    </w:p>
    <w:p w14:paraId="6BFF235F">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②不能实行聘任制的岗位：涉及国家秘密的职位</w:t>
      </w:r>
    </w:p>
    <w:p w14:paraId="35FCF66A">
      <w:pPr>
        <w:pStyle w:val="style0"/>
        <w:snapToGrid w:val="false"/>
        <w:spacing w:after="0" w:lineRule="auto" w:line="240"/>
        <w:ind w:firstLine="420" w:firstLineChars="200"/>
        <w:rPr>
          <w:color w:val="ff0000"/>
          <w14:ligatures xmlns:w14="http://schemas.microsoft.com/office/word/2010/wordml" w14:val="standardContextual"/>
        </w:rPr>
      </w:pPr>
      <w:r>
        <w:rPr>
          <w:rFonts w:cs="Arial Unicode MS"/>
          <w:color w:val="000000"/>
          <w14:ligatures xmlns:w14="http://schemas.microsoft.com/office/word/2010/wordml" w14:val="standardContextual"/>
        </w:rPr>
        <w:t>③聘任制岗位的四个特征：</w:t>
      </w:r>
      <w:r>
        <w:rPr>
          <w:rFonts w:cs="Arial Unicode MS"/>
          <w:color w:val="ff0000"/>
          <w14:ligatures xmlns:w14="http://schemas.microsoft.com/office/word/2010/wordml" w14:val="standardContextual"/>
        </w:rPr>
        <w:t>签合同、定期限、议工资、走仲裁</w:t>
      </w:r>
    </w:p>
    <w:p w14:paraId="44860092">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④批准实行聘任制的主体：省级以上公务员主管部门</w:t>
      </w:r>
    </w:p>
    <w:p w14:paraId="63D0C67D">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⑤聘任制合同要履行备案：向同级公务员主管部门备案</w:t>
      </w:r>
    </w:p>
    <w:p w14:paraId="78785FA3">
      <w:pPr>
        <w:pStyle w:val="style0"/>
        <w:snapToGrid w:val="false"/>
        <w:spacing w:after="0" w:lineRule="auto" w:line="240"/>
        <w:ind w:firstLine="420" w:firstLineChars="200"/>
        <w:rPr>
          <w:rFonts w:hint="eastAsia"/>
          <w:color w:val="ff0000"/>
        </w:rPr>
      </w:pPr>
      <w:r>
        <w:rPr>
          <w:rFonts w:cs="Arial Unicode MS" w:hint="eastAsia"/>
          <w:color w:val="ff0000"/>
        </w:rPr>
        <w:t>聘任制公务员合同期限1～5年；试用期1～12个月</w:t>
      </w:r>
    </w:p>
    <w:p w14:paraId="732ED7B5">
      <w:pPr>
        <w:pStyle w:val="style0"/>
        <w:snapToGrid w:val="false"/>
        <w:spacing w:after="0" w:lineRule="auto" w:line="240"/>
        <w:ind w:firstLine="422" w:firstLineChars="200"/>
        <w:rPr>
          <w:b/>
          <w:bCs/>
        </w:rPr>
      </w:pPr>
      <w:r>
        <w:rPr>
          <w:b/>
          <w:bCs/>
        </w:rPr>
        <w:t>2．公职的履行：考核、处分、回避。</w:t>
      </w:r>
    </w:p>
    <w:p w14:paraId="26CECF93">
      <w:pPr>
        <w:pStyle w:val="style0"/>
        <w:snapToGrid w:val="false"/>
        <w:spacing w:after="0" w:lineRule="auto" w:line="240"/>
        <w:ind w:firstLine="420" w:firstLineChars="200"/>
        <w:rPr/>
      </w:pPr>
      <w:r>
        <w:rPr>
          <w:rFonts w:hint="eastAsia"/>
        </w:rPr>
        <w:t>（1）考核</w:t>
      </w:r>
    </w:p>
    <w:p w14:paraId="170219B4">
      <w:pPr>
        <w:pStyle w:val="style0"/>
        <w:snapToGrid w:val="false"/>
        <w:spacing w:after="0" w:lineRule="auto" w:line="240"/>
        <w:ind w:firstLine="420" w:firstLineChars="200"/>
        <w:rPr>
          <w:rFonts w:cs="Arial Unicode MS"/>
          <w:color w:val="000000"/>
        </w:rPr>
      </w:pPr>
      <w:r>
        <w:rPr>
          <w:rFonts w:cs="Arial Unicode MS" w:hint="eastAsia"/>
          <w:color w:val="000000"/>
        </w:rPr>
        <w:t>①平时考核；</w:t>
      </w:r>
      <w:r>
        <w:rPr>
          <w:rFonts w:cs="Arial Unicode MS" w:hint="eastAsia"/>
          <w:color w:val="ff0000"/>
        </w:rPr>
        <w:t>②专项考核</w:t>
      </w:r>
      <w:r>
        <w:rPr>
          <w:rFonts w:cs="Arial Unicode MS" w:hint="eastAsia"/>
          <w:color w:val="000000"/>
        </w:rPr>
        <w:t>③定期考核（非领导成员公务员的定期考核采取年度考核的方式）</w:t>
      </w:r>
    </w:p>
    <w:p w14:paraId="503FC8D9">
      <w:pPr>
        <w:pStyle w:val="style0"/>
        <w:snapToGrid w:val="false"/>
        <w:spacing w:after="0" w:lineRule="auto" w:line="240"/>
        <w:ind w:firstLine="420" w:firstLineChars="200"/>
        <w:rPr>
          <w:rFonts w:hint="eastAsia"/>
          <w:color w:val="ff0000"/>
          <w14:ligatures xmlns:w14="http://schemas.microsoft.com/office/word/2010/wordml" w14:val="standardContextual"/>
        </w:rPr>
      </w:pPr>
      <w:r>
        <w:rPr>
          <w:rFonts w:cs="微软雅黑"/>
          <w:color w:val="ff0000"/>
          <w14:ligatures xmlns:w14="http://schemas.microsoft.com/office/word/2010/wordml" w14:val="standardContextual"/>
        </w:rPr>
        <w:t>【不称职等次后果】</w:t>
      </w:r>
      <w:r>
        <w:rPr>
          <w:rFonts w:cs="Arial Unicode MS"/>
          <w:color w:val="000000"/>
          <w14:ligatures xmlns:w14="http://schemas.microsoft.com/office/word/2010/wordml" w14:val="standardContextual"/>
        </w:rPr>
        <w:t>①降低一个职务或者职级层次任职；②不享受年终奖金③</w:t>
      </w:r>
      <w:r>
        <w:rPr>
          <w:rFonts w:cs="Arial Unicode MS"/>
          <w:color w:val="ff0000"/>
          <w14:ligatures xmlns:w14="http://schemas.microsoft.com/office/word/2010/wordml" w14:val="standardContextual"/>
        </w:rPr>
        <w:t>连续2年</w:t>
      </w:r>
      <w:r>
        <w:rPr>
          <w:rFonts w:cs="Arial Unicode MS"/>
          <w:color w:val="000000"/>
          <w14:ligatures xmlns:w14="http://schemas.microsoft.com/office/word/2010/wordml" w14:val="standardContextual"/>
        </w:rPr>
        <w:t>年度考核不称职的，应当辞退</w:t>
      </w:r>
    </w:p>
    <w:p w14:paraId="21AA22C5">
      <w:pPr>
        <w:pStyle w:val="style0"/>
        <w:snapToGrid w:val="false"/>
        <w:spacing w:after="0" w:lineRule="auto" w:line="240"/>
        <w:ind w:firstLine="420" w:firstLineChars="200"/>
        <w:rPr/>
      </w:pPr>
      <w:r>
        <w:rPr>
          <w:rFonts w:hint="eastAsia"/>
        </w:rPr>
        <w:t>（2）处分</w:t>
      </w:r>
    </w:p>
    <w:p w14:paraId="622ED368">
      <w:pPr>
        <w:pStyle w:val="style0"/>
        <w:snapToGrid w:val="false"/>
        <w:spacing w:after="0" w:lineRule="auto" w:line="240"/>
        <w:ind w:firstLine="420" w:firstLineChars="200"/>
        <w:rPr>
          <w:rFonts w:hint="eastAsia"/>
          <w:color w:val="000000"/>
        </w:rPr>
      </w:pPr>
      <w:r>
        <w:rPr>
          <w:rFonts w:hint="eastAsia"/>
        </w:rPr>
        <w:t>处分种类与期限：</w:t>
      </w:r>
      <w:r>
        <w:rPr>
          <w:rFonts w:cs="Arial Unicode MS" w:hint="eastAsia"/>
          <w:color w:val="000000"/>
        </w:rPr>
        <w:t>①警告（6个月）；②记过（12个月）；③记大过（18个月）；④降级（24个月）；⑤撤职（24个月），⑥开除（永久）</w:t>
      </w:r>
    </w:p>
    <w:p w14:paraId="28BDB00C">
      <w:pPr>
        <w:pStyle w:val="style0"/>
        <w:snapToGrid w:val="false"/>
        <w:spacing w:after="0" w:lineRule="auto" w:line="240"/>
        <w:ind w:firstLine="420" w:firstLineChars="200"/>
        <w:rPr>
          <w:rFonts w:hint="eastAsia"/>
          <w:color w:val="ff0000"/>
        </w:rPr>
      </w:pPr>
      <w:r>
        <w:rPr>
          <w:rFonts w:hint="eastAsia"/>
        </w:rPr>
        <w:t>处分效果：</w:t>
      </w:r>
      <w:r>
        <w:rPr>
          <w:rFonts w:cs="Arial Unicode MS" w:hint="eastAsia"/>
          <w:color w:val="ff0000"/>
        </w:rPr>
        <w:t>①不管受何种处分，在受处分期间不得晋升职务、职级、级别</w:t>
      </w:r>
      <w:r>
        <w:rPr>
          <w:rFonts w:cs="Arial Unicode MS" w:hint="eastAsia"/>
          <w:color w:val="000000"/>
        </w:rPr>
        <w:t>②受撤职处分的，应当按照规定降低级别</w:t>
      </w:r>
      <w:r>
        <w:rPr>
          <w:rFonts w:cs="Arial Unicode MS" w:hint="eastAsia"/>
          <w:color w:val="ff0000"/>
        </w:rPr>
        <w:t>③受警告处分的，可以晋升工资档次；受其他处分的，不得晋升工资档次④公职人员被开除的，自处分决定生效之日起，解除其与所在机关、单位的人事关系</w:t>
      </w:r>
    </w:p>
    <w:p w14:paraId="5905F688">
      <w:pPr>
        <w:pStyle w:val="style0"/>
        <w:snapToGrid w:val="false"/>
        <w:spacing w:after="0" w:lineRule="auto" w:line="240"/>
        <w:ind w:firstLine="420" w:firstLineChars="200"/>
        <w:rPr>
          <w:rFonts w:cs="Arial Unicode MS" w:hint="eastAsia"/>
          <w:color w:val="000000"/>
        </w:rPr>
      </w:pPr>
      <w:r>
        <w:rPr>
          <w:rFonts w:hint="eastAsia"/>
        </w:rPr>
        <w:t>处分解除的效果：</w:t>
      </w:r>
      <w:r>
        <w:rPr>
          <w:rFonts w:cs="Arial Unicode MS" w:hint="eastAsia"/>
          <w:color w:val="000000"/>
        </w:rPr>
        <w:t>①解除处分后，晋升工资档次、级别、职务、职级不再受原处分的影响②解除降级、撤职处分的，不视为恢复原级别、原职务、原职级</w:t>
      </w:r>
    </w:p>
    <w:p w14:paraId="78D5CDAC">
      <w:pPr>
        <w:pStyle w:val="style0"/>
        <w:snapToGrid w:val="false"/>
        <w:spacing w:after="0" w:lineRule="auto" w:line="240"/>
        <w:ind w:firstLine="420" w:firstLineChars="200"/>
        <w:rPr>
          <w:rFonts w:hint="eastAsia"/>
          <w:color w:val="ff0000"/>
        </w:rPr>
      </w:pPr>
      <w:r>
        <w:rPr>
          <w:color w:val="ff0000"/>
        </w:rPr>
        <w:t>对同一违纪违法行为，监察机关已经作出政务处分决定的，公务员所在机关不再给予处分。</w:t>
      </w:r>
    </w:p>
    <w:p w14:paraId="5CA28EEB">
      <w:pPr>
        <w:pStyle w:val="style0"/>
        <w:snapToGrid w:val="false"/>
        <w:spacing w:after="0" w:lineRule="auto" w:line="240"/>
        <w:ind w:firstLine="420" w:firstLineChars="200"/>
        <w:rPr/>
      </w:pPr>
      <w:r>
        <w:rPr>
          <w:rFonts w:hint="eastAsia"/>
        </w:rPr>
        <w:t>（3）回避</w:t>
      </w:r>
    </w:p>
    <w:p w14:paraId="4973D818">
      <w:pPr>
        <w:pStyle w:val="style0"/>
        <w:snapToGrid w:val="false"/>
        <w:spacing w:after="0" w:lineRule="auto" w:line="240"/>
        <w:ind w:firstLine="420" w:firstLineChars="200"/>
        <w:rPr>
          <w:rFonts w:cs="Arial Unicode MS"/>
          <w:color w:val="ff0000"/>
          <w14:ligatures xmlns:w14="http://schemas.microsoft.com/office/word/2010/wordml" w14:val="standardContextual"/>
        </w:rPr>
      </w:pPr>
      <w:r>
        <w:rPr>
          <w:rFonts w:cs="Arial Unicode MS" w:hint="eastAsia"/>
          <w:color w:val="ff0000"/>
          <w14:ligatures xmlns:w14="http://schemas.microsoft.com/office/word/2010/wordml" w14:val="standardContextual"/>
        </w:rPr>
        <w:t>任职回避：</w:t>
      </w:r>
    </w:p>
    <w:p w14:paraId="6A540E6C">
      <w:pPr>
        <w:pStyle w:val="style0"/>
        <w:snapToGrid w:val="false"/>
        <w:spacing w:after="0" w:lineRule="auto" w:line="240"/>
        <w:ind w:firstLine="420" w:firstLineChars="200"/>
        <w:rPr>
          <w:color w:val="ff0000"/>
          <w14:ligatures xmlns:w14="http://schemas.microsoft.com/office/word/2010/wordml" w14:val="standardContextual"/>
        </w:rPr>
      </w:pPr>
      <w:r>
        <w:rPr>
          <w:rFonts w:cs="Arial Unicode MS"/>
          <w:color w:val="ff0000"/>
          <w14:ligatures xmlns:w14="http://schemas.microsoft.com/office/word/2010/wordml" w14:val="standardContextual"/>
        </w:rPr>
        <w:t>【近亲回避】</w:t>
      </w:r>
    </w:p>
    <w:p w14:paraId="35BA2478">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①不得在同一机关担任双方直接隶属于同一领导人员的职务</w:t>
      </w:r>
    </w:p>
    <w:p w14:paraId="4115E443">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②不得在同一机关担任有直接上下级领导关系的职务</w:t>
      </w:r>
    </w:p>
    <w:p w14:paraId="7FE2C1EA">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③不得在其中一方担任领导职务的机关从事组织、人事、纪检、监察、审计和财务工作</w:t>
      </w:r>
    </w:p>
    <w:p w14:paraId="39363D92">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④不得在其配偶、子女及其配偶经营的企业、营利性组织的行业监管部门担任领导成员</w:t>
      </w:r>
    </w:p>
    <w:p w14:paraId="70E4E4C6">
      <w:pPr>
        <w:pStyle w:val="style0"/>
        <w:snapToGrid w:val="false"/>
        <w:spacing w:after="0" w:lineRule="auto" w:line="240"/>
        <w:ind w:firstLine="420" w:firstLineChars="200"/>
        <w:rPr>
          <w:color w:val="ff0000"/>
          <w14:ligatures xmlns:w14="http://schemas.microsoft.com/office/word/2010/wordml" w14:val="standardContextual"/>
        </w:rPr>
      </w:pPr>
      <w:r>
        <w:rPr>
          <w:rFonts w:cs="Arial Unicode MS"/>
          <w:color w:val="ff0000"/>
          <w14:ligatures xmlns:w14="http://schemas.microsoft.com/office/word/2010/wordml" w14:val="standardContextual"/>
        </w:rPr>
        <w:t>【地域回避】</w:t>
      </w:r>
    </w:p>
    <w:p w14:paraId="18297EDC">
      <w:pPr>
        <w:pStyle w:val="style0"/>
        <w:snapToGrid w:val="false"/>
        <w:spacing w:after="0" w:lineRule="auto" w:line="240"/>
        <w:ind w:firstLine="420" w:firstLineChars="200"/>
        <w:rPr>
          <w:color w:val="000000"/>
          <w14:ligatures xmlns:w14="http://schemas.microsoft.com/office/word/2010/wordml" w14:val="standardContextual"/>
        </w:rPr>
      </w:pPr>
      <w:r>
        <w:rPr>
          <w:rFonts w:cs="Arial Unicode MS"/>
          <w:color w:val="000000"/>
          <w14:ligatures xmlns:w14="http://schemas.microsoft.com/office/word/2010/wordml" w14:val="standardContextual"/>
        </w:rPr>
        <w:t>原则：公务员不得在原籍担任乡级机关、县级机关和设区市及其有关部门的主要领导职务</w:t>
      </w:r>
    </w:p>
    <w:p w14:paraId="3C18F947">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000000"/>
          <w14:ligatures xmlns:w14="http://schemas.microsoft.com/office/word/2010/wordml" w14:val="standardContextual"/>
        </w:rPr>
        <w:t>例外：自治县县长和民族乡乡长由实行区域自治的民族的公民担任</w:t>
      </w:r>
    </w:p>
    <w:p w14:paraId="0A104CDD">
      <w:pPr>
        <w:pStyle w:val="style0"/>
        <w:snapToGrid w:val="false"/>
        <w:spacing w:after="0" w:lineRule="auto" w:line="240"/>
        <w:ind w:firstLine="420" w:firstLineChars="200"/>
        <w:rPr>
          <w:rFonts w:hint="eastAsia"/>
        </w:rPr>
      </w:pPr>
      <w:r>
        <w:rPr>
          <w:rFonts w:cs="Arial Unicode MS" w:hint="eastAsia"/>
          <w:color w:val="4472c4"/>
        </w:rPr>
        <w:t>离职回避</w:t>
      </w:r>
      <w:r>
        <w:rPr>
          <w:rFonts w:cs="Arial Unicode MS" w:hint="eastAsia"/>
          <w:color w:val="4472c4"/>
        </w:rPr>
        <w:t>：</w:t>
      </w:r>
      <w:r>
        <w:rPr>
          <w:rFonts w:cs="Arial Unicode MS"/>
          <w:color w:val="ff0000"/>
          <w14:ligatures xmlns:w14="http://schemas.microsoft.com/office/word/2010/wordml" w14:val="standardContextual"/>
        </w:rPr>
        <w:t>原系领导成员、县处级以上的公务员在离职3年内，其他公务员在离职2年内，</w:t>
      </w:r>
      <w:r>
        <w:rPr>
          <w:rFonts w:cs="Arial Unicode MS"/>
          <w:color w:val="000000"/>
          <w14:ligatures xmlns:w14="http://schemas.microsoft.com/office/word/2010/wordml" w14:val="standardContextual"/>
        </w:rPr>
        <w:t>不得到与原工作业务直接相关的企业或其他营利性组织任职，不得从事与原工作业务直接相关的营利性活动</w:t>
      </w:r>
      <w:r>
        <w:rPr>
          <w:rFonts w:cs="Arial Unicode MS"/>
          <w:color w:val="4472c4"/>
          <w14:ligatures xmlns:w14="http://schemas.microsoft.com/office/word/2010/wordml" w14:val="standardContextual"/>
        </w:rPr>
        <w:t>【领导成员特指班子成员】</w:t>
      </w:r>
    </w:p>
    <w:p w14:paraId="6716291F">
      <w:pPr>
        <w:pStyle w:val="style0"/>
        <w:snapToGrid w:val="false"/>
        <w:spacing w:after="0" w:lineRule="auto" w:line="240"/>
        <w:ind w:firstLine="422" w:firstLineChars="200"/>
        <w:rPr>
          <w:rFonts w:hint="eastAsia"/>
        </w:rPr>
      </w:pPr>
      <w:r>
        <w:rPr>
          <w:b/>
          <w:bCs/>
        </w:rPr>
        <w:t>3．纠纷的解决：</w:t>
      </w:r>
      <w:r>
        <w:t>复核申诉或者直接申诉；聘任制的公务员由人事争议仲裁委员会解决纠纷。</w:t>
      </w:r>
    </w:p>
    <w:p w14:paraId="1F53F955">
      <w:pPr>
        <w:pStyle w:val="style0"/>
        <w:snapToGrid w:val="false"/>
        <w:spacing w:after="0" w:lineRule="auto" w:line="240"/>
        <w:ind w:firstLine="420" w:firstLineChars="200"/>
        <w:rPr>
          <w:rFonts w:hint="eastAsia"/>
        </w:rPr>
      </w:pPr>
    </w:p>
    <w:bookmarkStart w:id="5" w:name="_Toc236828942"/>
    <w:p w14:paraId="1842EB2A">
      <w:pPr>
        <w:pStyle w:val="style0"/>
        <w:snapToGrid w:val="false"/>
        <w:spacing w:after="0" w:lineRule="auto" w:line="240"/>
        <w:ind w:firstLine="422" w:firstLineChars="200"/>
        <w:jc w:val="center"/>
        <w:rPr>
          <w:rFonts w:hint="eastAsia"/>
          <w:b/>
          <w:bCs/>
        </w:rPr>
      </w:pPr>
      <w:r>
        <w:rPr>
          <w:b/>
          <w:bCs/>
        </w:rPr>
        <w:t>预测考点</w:t>
      </w:r>
      <w:r>
        <w:rPr>
          <w:b/>
          <w:bCs/>
        </w:rPr>
        <w:t>4  行政行为</w:t>
      </w:r>
      <w:bookmarkEnd w:id="5"/>
    </w:p>
    <w:p w14:paraId="7B87B419">
      <w:pPr>
        <w:pStyle w:val="style0"/>
        <w:snapToGrid w:val="false"/>
        <w:spacing w:after="0" w:lineRule="auto" w:line="240"/>
        <w:ind w:firstLine="422" w:firstLineChars="200"/>
        <w:rPr>
          <w:rFonts w:hint="eastAsia"/>
        </w:rPr>
      </w:pPr>
      <w:r>
        <w:rPr>
          <w:b/>
          <w:bCs/>
        </w:rPr>
        <w:t>1．行政行为与行政规范性文件的识别：</w:t>
      </w:r>
      <w:r>
        <w:t>看行为是否具有特定性、是否可以反复适用。</w:t>
      </w:r>
    </w:p>
    <w:p w14:paraId="20151726">
      <w:pPr>
        <w:pStyle w:val="style0"/>
        <w:snapToGrid w:val="false"/>
        <w:spacing w:after="0" w:lineRule="auto" w:line="240"/>
        <w:ind w:firstLine="422" w:firstLineChars="200"/>
        <w:rPr>
          <w:rFonts w:hint="eastAsia"/>
        </w:rPr>
      </w:pPr>
      <w:r>
        <w:rPr>
          <w:b/>
          <w:bCs/>
        </w:rPr>
        <w:t>2．行政行为的生效：</w:t>
      </w:r>
      <w:r>
        <w:t>原则上成立了就生效了，但是无效的行政行为自始无效，附生效条件的行政行为自条件成就后生效。</w:t>
      </w:r>
    </w:p>
    <w:p w14:paraId="6425CE37">
      <w:pPr>
        <w:pStyle w:val="style0"/>
        <w:snapToGrid w:val="false"/>
        <w:spacing w:after="0" w:lineRule="auto" w:line="240"/>
        <w:ind w:firstLine="422" w:firstLineChars="200"/>
        <w:rPr>
          <w:rFonts w:hint="eastAsia"/>
        </w:rPr>
      </w:pPr>
      <w:r>
        <w:rPr>
          <w:b/>
          <w:bCs/>
        </w:rPr>
        <w:t>3．行政行为的合法性判断：</w:t>
      </w:r>
      <w:r>
        <w:t>①事实清楚；②适用法律法规正确；③程序合法；④无超越职权；⑤无滥用职权；⑥无明显不当。</w:t>
      </w:r>
    </w:p>
    <w:p w14:paraId="196503C7">
      <w:pPr>
        <w:pStyle w:val="style0"/>
        <w:snapToGrid w:val="false"/>
        <w:spacing w:after="0" w:lineRule="auto" w:line="240"/>
        <w:ind w:firstLine="422" w:firstLineChars="200"/>
        <w:rPr/>
      </w:pPr>
      <w:r>
        <w:rPr>
          <w:b/>
          <w:bCs/>
        </w:rPr>
        <w:t>4．行政行为的效力内容：</w:t>
      </w:r>
      <w:r>
        <w:t>公定力、拘束力、确定力、执行力。</w:t>
      </w:r>
    </w:p>
    <w:p w14:paraId="51FF5E17">
      <w:pPr>
        <w:pStyle w:val="style0"/>
        <w:snapToGrid w:val="false"/>
        <w:spacing w:after="0" w:lineRule="auto" w:line="240"/>
        <w:ind w:firstLine="420" w:firstLineChars="200"/>
        <w:rPr>
          <w:rFonts w:cs="汉仪中黑简"/>
          <w:color w:val="000000"/>
          <w:kern w:val="44"/>
        </w:rPr>
      </w:pPr>
      <w:r>
        <w:rPr>
          <w:rFonts w:cs="汉仪中黑简" w:hint="eastAsia"/>
          <w:color w:val="000000"/>
          <w:kern w:val="44"/>
        </w:rPr>
        <w:t>（1</w:t>
      </w:r>
      <w:r>
        <w:rPr>
          <w:rFonts w:cs="汉仪中黑简"/>
          <w:color w:val="000000"/>
          <w:kern w:val="44"/>
        </w:rPr>
        <w:t>）</w:t>
      </w:r>
      <w:r>
        <w:rPr>
          <w:rFonts w:cs="汉仪中黑简"/>
          <w:color w:val="000000"/>
          <w:kern w:val="44"/>
        </w:rPr>
        <w:t>公定力：</w:t>
      </w:r>
      <w:r>
        <w:rPr>
          <w:color w:val="auto"/>
        </w:rPr>
        <w:t>行政行为一经作出，除非存在明显且重大违法情形，</w:t>
      </w:r>
      <w:r>
        <w:rPr>
          <w:color w:val="ff0000"/>
        </w:rPr>
        <w:t>即假定其合法有效，</w:t>
      </w:r>
      <w:r>
        <w:rPr>
          <w:color w:val="auto"/>
        </w:rPr>
        <w:t>任何机关、组织和个人未经法定程序不得否定其效力。</w:t>
      </w:r>
    </w:p>
    <w:p w14:paraId="4CC9885F">
      <w:pPr>
        <w:pStyle w:val="style0"/>
        <w:snapToGrid w:val="false"/>
        <w:spacing w:after="0" w:lineRule="auto" w:line="240"/>
        <w:ind w:firstLine="420" w:firstLineChars="200"/>
        <w:rPr>
          <w:rFonts w:cs="汉仪中黑简"/>
          <w:color w:val="auto"/>
          <w:kern w:val="44"/>
        </w:rPr>
      </w:pPr>
      <w:r>
        <w:rPr>
          <w:rFonts w:cs="汉仪中黑简" w:hint="eastAsia"/>
          <w:color w:val="ee0000"/>
          <w:kern w:val="44"/>
        </w:rPr>
        <w:t>(2)</w:t>
      </w:r>
      <w:r>
        <w:rPr>
          <w:rFonts w:cs="汉仪中黑简"/>
          <w:color w:val="ee0000"/>
          <w:kern w:val="44"/>
        </w:rPr>
        <w:t>拘束力：</w:t>
      </w:r>
      <w:r>
        <w:rPr>
          <w:color w:val="auto"/>
        </w:rPr>
        <w:t>行政行为成立生效后，</w:t>
      </w:r>
      <w:r>
        <w:rPr>
          <w:color w:val="ff0000"/>
        </w:rPr>
        <w:t>该行为的内容具有约束行政机关和行政相对人，</w:t>
      </w:r>
      <w:r>
        <w:rPr>
          <w:color w:val="auto"/>
        </w:rPr>
        <w:t>使其遵守和服从该行政行为的法律效力。</w:t>
      </w:r>
    </w:p>
    <w:p w14:paraId="08068FC6">
      <w:pPr>
        <w:pStyle w:val="style0"/>
        <w:snapToGrid w:val="false"/>
        <w:spacing w:after="0" w:lineRule="auto" w:line="240"/>
        <w:ind w:firstLine="420" w:firstLineChars="200"/>
        <w:rPr>
          <w:rFonts w:cs="汉仪中黑简"/>
          <w:color w:val="000000"/>
          <w:kern w:val="44"/>
        </w:rPr>
      </w:pPr>
      <w:r>
        <w:rPr>
          <w:rFonts w:cs="汉仪中黑简" w:hint="eastAsia"/>
          <w:color w:val="ee0000"/>
          <w:kern w:val="44"/>
        </w:rPr>
        <w:t>(3)</w:t>
      </w:r>
      <w:r>
        <w:rPr>
          <w:rFonts w:cs="汉仪中黑简"/>
          <w:color w:val="ee0000"/>
          <w:kern w:val="44"/>
        </w:rPr>
        <w:t>确定力。</w:t>
      </w:r>
      <w:r>
        <w:rPr>
          <w:color w:val="ff0000"/>
        </w:rPr>
        <w:t>在争议期过后，行政行为确定的权利义务具有不再争议、不得更改的法律效力。</w:t>
      </w:r>
      <w:r>
        <w:rPr>
          <w:color w:val="4472c4"/>
        </w:rPr>
        <w:t>（行政相对人不得更改）</w:t>
      </w:r>
    </w:p>
    <w:p w14:paraId="0FDDFB53">
      <w:pPr>
        <w:pStyle w:val="style0"/>
        <w:snapToGrid w:val="false"/>
        <w:spacing w:after="0" w:lineRule="auto" w:line="240"/>
        <w:ind w:firstLine="420" w:firstLineChars="200"/>
        <w:rPr>
          <w:rFonts w:cs="汉仪中黑简" w:hint="eastAsia"/>
          <w:color w:val="000000"/>
          <w:kern w:val="44"/>
        </w:rPr>
      </w:pPr>
      <w:r>
        <w:rPr>
          <w:rFonts w:cs="汉仪中黑简" w:hint="eastAsia"/>
          <w:color w:val="000000"/>
          <w:kern w:val="44"/>
        </w:rPr>
        <w:t>(4)</w:t>
      </w:r>
      <w:r>
        <w:rPr>
          <w:rFonts w:cs="汉仪中黑简"/>
          <w:color w:val="000000"/>
          <w:kern w:val="44"/>
        </w:rPr>
        <w:t>执行力</w:t>
      </w:r>
      <w:bookmarkStart w:id="6" w:name="_Hlk35427428"/>
      <w:r>
        <w:rPr>
          <w:rFonts w:cs="汉仪中黑简"/>
          <w:color w:val="000000"/>
          <w:kern w:val="44"/>
        </w:rPr>
        <w:t>。</w:t>
      </w:r>
      <w:r>
        <w:rPr>
          <w:color w:val="auto"/>
        </w:rPr>
        <w:t>行政行为的履行期届满后，当事人经催告仍不履行义务的，行政机关使用国家强制力迫使当事人履行义务或者以其他方式实现行政行为权利义务安排的效力。</w:t>
      </w:r>
      <w:bookmarkEnd w:id="6"/>
    </w:p>
    <w:p w14:paraId="534E9D11">
      <w:pPr>
        <w:pStyle w:val="style0"/>
        <w:snapToGrid w:val="false"/>
        <w:spacing w:after="0" w:lineRule="auto" w:line="240"/>
        <w:ind w:firstLine="422" w:firstLineChars="200"/>
        <w:rPr>
          <w:b/>
          <w:bCs/>
        </w:rPr>
      </w:pPr>
      <w:r>
        <w:rPr>
          <w:b/>
          <w:bCs/>
        </w:rPr>
        <w:t>5．行政行为效力的终止：无效、可撤销和废止。</w:t>
      </w:r>
    </w:p>
    <w:p w14:paraId="5EA76D54">
      <w:pPr>
        <w:pStyle w:val="style0"/>
        <w:snapToGrid w:val="false"/>
        <w:spacing w:after="0" w:lineRule="auto" w:line="240"/>
        <w:ind w:firstLine="420" w:firstLineChars="200"/>
        <w:rPr>
          <w:color w:val="ff0000"/>
        </w:rPr>
      </w:pPr>
      <w:r>
        <w:rPr>
          <w:rFonts w:hint="eastAsia"/>
        </w:rPr>
        <w:t>(1)无效：</w:t>
      </w:r>
      <w:r>
        <w:rPr>
          <w:rFonts w:cs="汉仪书宋二简" w:hint="eastAsia"/>
          <w:color w:val="000000"/>
          <w:kern w:val="0"/>
          <w:lang w:val="zh-CN"/>
        </w:rPr>
        <w:t>主体无资格</w:t>
      </w:r>
      <w:r>
        <w:rPr>
          <w:rFonts w:cs="汉仪书宋二简" w:hint="eastAsia"/>
          <w:color w:val="000000"/>
          <w:kern w:val="0"/>
          <w:lang w:val="zh-CN"/>
        </w:rPr>
        <w:t>，</w:t>
      </w:r>
      <w:r>
        <w:rPr>
          <w:rFonts w:cs="汉仪书宋二简" w:hint="eastAsia"/>
          <w:color w:val="000000"/>
          <w:kern w:val="0"/>
          <w:lang w:val="zh-CN"/>
        </w:rPr>
        <w:t>行为无依据</w:t>
      </w:r>
      <w:r>
        <w:rPr>
          <w:rFonts w:cs="汉仪书宋二简" w:hint="eastAsia"/>
          <w:color w:val="000000"/>
          <w:kern w:val="0"/>
          <w:lang w:val="zh-CN"/>
        </w:rPr>
        <w:t>，</w:t>
      </w:r>
      <w:r>
        <w:rPr>
          <w:rFonts w:cs="汉仪书宋二简" w:hint="eastAsia"/>
          <w:color w:val="000000"/>
          <w:kern w:val="0"/>
          <w:lang w:val="zh-CN"/>
        </w:rPr>
        <w:t>内容不可能</w:t>
      </w:r>
      <w:r>
        <w:rPr>
          <w:rFonts w:cs="汉仪书宋二简" w:hint="eastAsia"/>
          <w:color w:val="000000"/>
          <w:kern w:val="0"/>
          <w:lang w:val="zh-CN"/>
        </w:rPr>
        <w:t>，</w:t>
      </w:r>
      <w:r>
        <w:rPr>
          <w:rFonts w:hint="eastAsia"/>
          <w:color w:val="ff0000"/>
        </w:rPr>
        <w:t>处罚程序重大且明显违法的，该处罚无效</w:t>
      </w:r>
    </w:p>
    <w:p w14:paraId="1BE116B4">
      <w:pPr>
        <w:pStyle w:val="style0"/>
        <w:snapToGrid w:val="false"/>
        <w:spacing w:after="0" w:lineRule="auto" w:line="240"/>
        <w:ind w:firstLine="420" w:firstLineChars="200"/>
        <w:rPr>
          <w:color w:val="4472c4"/>
        </w:rPr>
      </w:pPr>
      <w:r>
        <w:rPr>
          <w:rFonts w:hint="eastAsia"/>
          <w:color w:val="ff0000"/>
        </w:rPr>
        <w:t>（2）可撤销：</w:t>
      </w:r>
      <w:r>
        <w:rPr>
          <w:color w:val="4472c4"/>
        </w:rPr>
        <w:t>行政行为的撤销，不属于行政处罚，是独立的一类行政行为。</w:t>
      </w:r>
    </w:p>
    <w:p w14:paraId="188C8345">
      <w:pPr>
        <w:pStyle w:val="style0"/>
        <w:snapToGrid w:val="false"/>
        <w:spacing w:after="0" w:lineRule="auto" w:line="240"/>
        <w:ind w:firstLine="420" w:firstLineChars="200"/>
        <w:rPr>
          <w:rFonts w:hint="eastAsia"/>
          <w:color w:val="4472c4"/>
        </w:rPr>
      </w:pPr>
      <w:r>
        <w:rPr>
          <w:rFonts w:hint="eastAsia"/>
        </w:rPr>
        <w:t>（3）废止：</w:t>
      </w:r>
      <w:r>
        <w:rPr>
          <w:color w:val="4472c4"/>
        </w:rPr>
        <w:t>撤销：国家赔偿；废止：国家补偿</w:t>
      </w:r>
    </w:p>
    <w:bookmarkStart w:id="7" w:name="_Toc236828943"/>
    <w:p w14:paraId="088C681B">
      <w:pPr>
        <w:pStyle w:val="style0"/>
        <w:snapToGrid w:val="false"/>
        <w:spacing w:after="0" w:lineRule="auto" w:line="240"/>
        <w:ind w:firstLine="422" w:firstLineChars="200"/>
        <w:jc w:val="center"/>
        <w:rPr>
          <w:b/>
          <w:bCs/>
        </w:rPr>
      </w:pPr>
      <w:r>
        <w:rPr>
          <w:b/>
          <w:bCs/>
        </w:rPr>
        <w:t>预测考点</w:t>
      </w:r>
      <w:r>
        <w:rPr>
          <w:b/>
          <w:bCs/>
        </w:rPr>
        <w:t>5  行政规范性文件</w:t>
      </w:r>
      <w:bookmarkEnd w:id="7"/>
    </w:p>
    <w:p w14:paraId="0D828856">
      <w:pPr>
        <w:pStyle w:val="style0"/>
        <w:snapToGrid w:val="false"/>
        <w:spacing w:after="0" w:lineRule="auto" w:line="240"/>
        <w:ind w:firstLine="420" w:firstLineChars="200"/>
        <w:rPr>
          <w:rFonts w:hint="eastAsia"/>
        </w:rPr>
      </w:pPr>
    </w:p>
    <w:p w14:paraId="2DC04252">
      <w:pPr>
        <w:pStyle w:val="style0"/>
        <w:snapToGrid w:val="false"/>
        <w:spacing w:after="0" w:lineRule="auto" w:line="240"/>
        <w:ind w:firstLine="422" w:firstLineChars="200"/>
        <w:rPr>
          <w:b/>
          <w:bCs/>
        </w:rPr>
      </w:pPr>
      <w:r>
        <w:rPr>
          <w:b/>
          <w:bCs/>
        </w:rPr>
        <w:t>1．行政法规的制定程序：立项、起草、审查、决定、公布、施行。</w:t>
      </w:r>
    </w:p>
    <w:p w14:paraId="5AC1CE5E">
      <w:pPr>
        <w:pStyle w:val="style0"/>
        <w:snapToGrid w:val="false"/>
        <w:spacing w:after="0" w:lineRule="auto" w:line="240"/>
        <w:ind w:firstLine="420" w:firstLineChars="200"/>
        <w:rPr>
          <w:lang w:val="zh-CN"/>
        </w:rPr>
      </w:pPr>
      <w:r>
        <w:rPr>
          <w:rFonts w:hint="eastAsia"/>
          <w:lang w:val="zh-CN"/>
        </w:rPr>
        <w:t>（1）</w:t>
      </w:r>
      <w:r>
        <w:rPr>
          <w:lang w:val="zh-CN"/>
        </w:rPr>
        <w:t>起草：</w:t>
      </w:r>
      <w:r>
        <w:rPr>
          <w:rFonts w:cs="Arial Unicode MS"/>
          <w:color w:val="ff0000"/>
        </w:rPr>
        <w:t>起草与经营主体生产经营活动密切相关的行政法规，应当听取有关企业和行业协会商会的意见；</w:t>
      </w:r>
    </w:p>
    <w:p w14:paraId="20FD4727">
      <w:pPr>
        <w:pStyle w:val="style0"/>
        <w:snapToGrid w:val="false"/>
        <w:spacing w:after="0" w:lineRule="auto" w:line="240"/>
        <w:ind w:firstLine="420" w:firstLineChars="200"/>
        <w:rPr>
          <w:rFonts w:cs="Arial Unicode MS"/>
          <w:color w:val="auto"/>
        </w:rPr>
      </w:pPr>
      <w:r>
        <w:rPr>
          <w:rFonts w:cs="Arial Unicode MS" w:hint="eastAsia"/>
          <w:color w:val="auto"/>
        </w:rPr>
        <w:t>（2）</w:t>
      </w:r>
      <w:r>
        <w:rPr>
          <w:rFonts w:cs="Arial Unicode MS"/>
          <w:color w:val="auto"/>
        </w:rPr>
        <w:t>审查：行政法规送审稿涉及重大利益调整的，国务院法治部门</w:t>
      </w:r>
      <w:r>
        <w:rPr>
          <w:rFonts w:cs="Arial Unicode MS"/>
          <w:color w:val="ff0000"/>
        </w:rPr>
        <w:t>应当进行论证咨询。</w:t>
      </w:r>
    </w:p>
    <w:p w14:paraId="2F9F56DF">
      <w:pPr>
        <w:pStyle w:val="style0"/>
        <w:snapToGrid w:val="false"/>
        <w:spacing w:after="0" w:lineRule="auto" w:line="240"/>
        <w:ind w:firstLine="420" w:firstLineChars="200"/>
        <w:rPr>
          <w:rFonts w:cs="Arial Unicode MS"/>
          <w:color w:val="auto"/>
        </w:rPr>
      </w:pPr>
      <w:r>
        <w:rPr>
          <w:rFonts w:cs="Arial Unicode MS"/>
          <w:color w:val="ff0000"/>
        </w:rPr>
        <w:t>缓办或退回情形：</w:t>
      </w:r>
      <w:r>
        <w:rPr>
          <w:rFonts w:cs="Arial Unicode MS"/>
          <w:color w:val="auto"/>
        </w:rPr>
        <w:t>①制定行政法规的基本条件尚不成熟或者发生重大变化的②有关部门对送审稿规定的主要制度存在较大争议的③未就涉及部门职责分工、行政许可、财政支持、税收优惠政策的规定征得机构编制、财政、税务等相关部门同意的④按照本条例有关规定公开征求意见的⑤上报送审稿等材料不符合要求的</w:t>
      </w:r>
    </w:p>
    <w:p w14:paraId="05D5A31A">
      <w:pPr>
        <w:pStyle w:val="style0"/>
        <w:snapToGrid w:val="false"/>
        <w:spacing w:after="0" w:lineRule="auto" w:line="240"/>
        <w:ind w:firstLine="420" w:firstLineChars="200"/>
        <w:rPr/>
      </w:pPr>
      <w:r>
        <w:rPr>
          <w:rFonts w:hint="eastAsia"/>
        </w:rPr>
        <w:t>（</w:t>
      </w:r>
      <w:r>
        <w:rPr>
          <w:rFonts w:hint="eastAsia"/>
        </w:rPr>
        <w:t>3</w:t>
      </w:r>
      <w:r>
        <w:rPr>
          <w:rFonts w:hint="eastAsia"/>
        </w:rPr>
        <w:t>）</w:t>
      </w:r>
      <w:r>
        <w:t>决定：</w:t>
      </w:r>
      <w:r>
        <w:rPr>
          <w:rFonts w:cs="Arial Unicode MS"/>
          <w:color w:val="auto"/>
        </w:rPr>
        <w:t>国务院常务会议</w:t>
      </w:r>
      <w:r>
        <w:rPr>
          <w:rFonts w:cs="Arial Unicode MS"/>
          <w:color w:val="ff0000"/>
        </w:rPr>
        <w:t>审议</w:t>
      </w:r>
      <w:r>
        <w:rPr>
          <w:rFonts w:cs="Arial Unicode MS"/>
          <w:color w:val="auto"/>
        </w:rPr>
        <w:t>时，可以由</w:t>
      </w:r>
      <w:r>
        <w:rPr>
          <w:rFonts w:cs="Arial Unicode MS"/>
          <w:color w:val="ff0000"/>
        </w:rPr>
        <w:t>国务院法治部门</w:t>
      </w:r>
      <w:r>
        <w:rPr>
          <w:rFonts w:cs="Arial Unicode MS"/>
          <w:color w:val="auto"/>
        </w:rPr>
        <w:t>或</w:t>
      </w:r>
      <w:r>
        <w:rPr>
          <w:rFonts w:cs="Arial Unicode MS"/>
          <w:color w:val="ff0000"/>
        </w:rPr>
        <w:t>起草部门</w:t>
      </w:r>
      <w:r>
        <w:rPr>
          <w:rFonts w:cs="Arial Unicode MS"/>
          <w:color w:val="auto"/>
        </w:rPr>
        <w:t>进行说明</w:t>
      </w:r>
    </w:p>
    <w:p w14:paraId="6AFB0E7D">
      <w:pPr>
        <w:pStyle w:val="style0"/>
        <w:snapToGrid w:val="false"/>
        <w:spacing w:after="0" w:lineRule="auto" w:line="240"/>
        <w:ind w:firstLine="420" w:firstLineChars="200"/>
        <w:rPr/>
      </w:pPr>
      <w:r>
        <w:rPr>
          <w:rFonts w:hint="eastAsia"/>
        </w:rPr>
        <w:t>（</w:t>
      </w:r>
      <w:r>
        <w:rPr>
          <w:rFonts w:hint="eastAsia"/>
        </w:rPr>
        <w:t>4</w:t>
      </w:r>
      <w:r>
        <w:rPr>
          <w:rFonts w:hint="eastAsia"/>
        </w:rPr>
        <w:t>）</w:t>
      </w:r>
      <w:r>
        <w:t>公布：国务院法治部门形成草案修改稿，</w:t>
      </w:r>
      <w:r>
        <w:rPr>
          <w:color w:val="ee0000"/>
        </w:rPr>
        <w:t>报请总理签署国务院令公布施行</w:t>
      </w:r>
      <w:r>
        <w:t>。行政法规签署公布后，及时在国务院公报（标准文本）和中国政府法制信息网以及在全国范围内发行的报纸上刊载。行政法规应当自公布之日起30日后施行；但是，涉及国家安全、外汇汇率、货币政策的确定以及公布后不立即施行将有碍行政法规施行的，可以自公布之日起施行行政法规在公布后的30日内由</w:t>
      </w:r>
      <w:r>
        <w:rPr>
          <w:color w:val="ee0000"/>
        </w:rPr>
        <w:t>国务院办公厅</w:t>
      </w:r>
      <w:r>
        <w:t>报全国人民代表大会常务委员会备案。</w:t>
      </w:r>
    </w:p>
    <w:p w14:paraId="0F9B0459">
      <w:pPr>
        <w:pStyle w:val="style0"/>
        <w:snapToGrid w:val="false"/>
        <w:spacing w:after="0" w:lineRule="auto" w:line="240"/>
        <w:ind w:firstLine="420" w:firstLineChars="200"/>
        <w:rPr/>
      </w:pPr>
      <w:r>
        <w:rPr>
          <w:rFonts w:hint="eastAsia"/>
        </w:rPr>
        <w:t>（</w:t>
      </w:r>
      <w:r>
        <w:rPr>
          <w:rFonts w:hint="eastAsia"/>
        </w:rPr>
        <w:t>5</w:t>
      </w:r>
      <w:r>
        <w:rPr>
          <w:rFonts w:hint="eastAsia"/>
        </w:rPr>
        <w:t>）</w:t>
      </w:r>
      <w:r>
        <w:t>解释：</w:t>
      </w:r>
      <w:r>
        <w:rPr>
          <w:color w:val="ee0000"/>
        </w:rPr>
        <w:t>行政法规的解释与行政法规具有同等效力。</w:t>
      </w:r>
      <w:r>
        <w:t>对属于行政工作中具体应用行政法规的问题，省、自治区、直辖市人民政府法治部门以及国务院有关部门法治机构请求国务院法治部门解释的，国务院法治部门可以研究答复；其中涉及重大问题的，由国务院法治部门提出意见，报国务院同意后答复。</w:t>
      </w:r>
    </w:p>
    <w:p w14:paraId="43BD0281">
      <w:pPr>
        <w:pStyle w:val="style0"/>
        <w:snapToGrid w:val="false"/>
        <w:spacing w:after="0" w:lineRule="auto" w:line="240"/>
        <w:ind w:firstLine="422" w:firstLineChars="200"/>
        <w:rPr>
          <w:rFonts w:hint="eastAsia"/>
        </w:rPr>
      </w:pPr>
      <w:r>
        <w:rPr>
          <w:b/>
          <w:bCs/>
        </w:rPr>
        <w:t>2．部门规章的制定权限和制定程序：</w:t>
      </w:r>
      <w:r>
        <w:t>部门规章的制定主体是国务院的组成部门和国务院的直属机构；部门规章的制定程序：立项、起草、审查、决定、公布、施行。</w:t>
      </w:r>
    </w:p>
    <w:p w14:paraId="4515E9FA">
      <w:pPr>
        <w:pStyle w:val="style0"/>
        <w:snapToGrid w:val="false"/>
        <w:spacing w:after="0" w:lineRule="auto" w:line="240"/>
        <w:ind w:firstLine="422" w:firstLineChars="200"/>
        <w:rPr>
          <w:rFonts w:hint="eastAsia"/>
        </w:rPr>
      </w:pPr>
      <w:r>
        <w:rPr>
          <w:b/>
          <w:bCs/>
        </w:rPr>
        <w:t>3．地方政府规章的制定权限和制定程序：</w:t>
      </w:r>
      <w:r>
        <w:t>地方政府规章的制定主体是省级政府和设区的市政府；地方政府规章的制定程序：立项、起草、审查、决定、公布、施行。</w:t>
      </w:r>
    </w:p>
    <w:p w14:paraId="7337D8D5">
      <w:pPr>
        <w:pStyle w:val="style0"/>
        <w:snapToGrid w:val="false"/>
        <w:spacing w:after="0" w:lineRule="auto" w:line="240"/>
        <w:ind w:firstLine="420" w:firstLineChars="200"/>
        <w:rPr>
          <w:rFonts w:hint="eastAsia"/>
        </w:rPr>
      </w:pPr>
    </w:p>
    <w:bookmarkStart w:id="8" w:name="_Toc236828944"/>
    <w:p w14:paraId="408664DB">
      <w:pPr>
        <w:pStyle w:val="style0"/>
        <w:snapToGrid w:val="false"/>
        <w:spacing w:after="0" w:lineRule="auto" w:line="240"/>
        <w:ind w:firstLine="422" w:firstLineChars="200"/>
        <w:jc w:val="center"/>
        <w:rPr>
          <w:b/>
          <w:bCs/>
        </w:rPr>
      </w:pPr>
      <w:r>
        <w:rPr>
          <w:b/>
          <w:bCs/>
        </w:rPr>
        <w:t>预测考点</w:t>
      </w:r>
      <w:r>
        <w:rPr>
          <w:b/>
          <w:bCs/>
        </w:rPr>
        <w:t>6  行政许可</w:t>
      </w:r>
      <w:bookmarkEnd w:id="8"/>
    </w:p>
    <w:p w14:paraId="7ED7FA99">
      <w:pPr>
        <w:pStyle w:val="style0"/>
        <w:snapToGrid w:val="false"/>
        <w:spacing w:after="0" w:lineRule="auto" w:line="240"/>
        <w:ind w:firstLine="420" w:firstLineChars="200"/>
        <w:rPr>
          <w:rFonts w:hint="eastAsia"/>
        </w:rPr>
      </w:pPr>
    </w:p>
    <w:p w14:paraId="4E7D7E0F">
      <w:pPr>
        <w:pStyle w:val="style0"/>
        <w:snapToGrid w:val="false"/>
        <w:spacing w:after="0" w:lineRule="auto" w:line="240"/>
        <w:ind w:firstLine="422" w:firstLineChars="200"/>
        <w:rPr>
          <w:b/>
          <w:bCs/>
        </w:rPr>
      </w:pPr>
      <w:r>
        <w:rPr>
          <w:b/>
          <w:bCs/>
        </w:rPr>
        <w:t>1．行政许可的设定：法律、行政法规、地方性法规、国务院的决定、省级政府规章可以设定行政许可。</w:t>
      </w:r>
    </w:p>
    <w:p w14:paraId="7B6CF9B2">
      <w:pPr>
        <w:pStyle w:val="style0"/>
        <w:snapToGrid w:val="false"/>
        <w:spacing w:after="0" w:lineRule="auto" w:line="240"/>
        <w:ind w:firstLine="420" w:firstLineChars="200"/>
        <w:rPr>
          <w:color w:val="auto"/>
        </w:rPr>
      </w:pPr>
      <w:r>
        <w:rPr>
          <w:rFonts w:hint="eastAsia"/>
          <w:color w:val="auto"/>
        </w:rPr>
        <w:t>（1）</w:t>
      </w:r>
      <w:r>
        <w:rPr>
          <w:color w:val="auto"/>
        </w:rPr>
        <w:t>法律、行政法规、地方性法规：可设定经常性许可。</w:t>
      </w:r>
    </w:p>
    <w:p w14:paraId="1EB41D13">
      <w:pPr>
        <w:pStyle w:val="style0"/>
        <w:snapToGrid w:val="false"/>
        <w:spacing w:after="0" w:lineRule="auto" w:line="240"/>
        <w:ind w:firstLine="420" w:firstLineChars="200"/>
        <w:rPr>
          <w:color w:val="auto"/>
        </w:rPr>
      </w:pPr>
      <w:r>
        <w:rPr>
          <w:rFonts w:hint="eastAsia"/>
          <w:color w:val="auto"/>
        </w:rPr>
        <w:t>（2）</w:t>
      </w:r>
      <w:r>
        <w:rPr>
          <w:color w:val="auto"/>
        </w:rPr>
        <w:t>省级政府规章：可设定1年以内的临时性许可。</w:t>
      </w:r>
    </w:p>
    <w:p w14:paraId="7ECC1BAB">
      <w:pPr>
        <w:pStyle w:val="style0"/>
        <w:snapToGrid w:val="false"/>
        <w:spacing w:after="0" w:lineRule="auto" w:line="240"/>
        <w:ind w:firstLine="420" w:firstLineChars="200"/>
        <w:rPr>
          <w:color w:val="auto"/>
        </w:rPr>
      </w:pPr>
      <w:r>
        <w:rPr>
          <w:rFonts w:hint="eastAsia"/>
          <w:color w:val="auto"/>
        </w:rPr>
        <w:t>（3）</w:t>
      </w:r>
      <w:r>
        <w:rPr>
          <w:color w:val="auto"/>
        </w:rPr>
        <w:t>设区的市政府规章、部门规章：无权设定行政许可。</w:t>
      </w:r>
    </w:p>
    <w:p w14:paraId="3F59E582">
      <w:pPr>
        <w:pStyle w:val="style0"/>
        <w:snapToGrid w:val="false"/>
        <w:spacing w:after="0" w:lineRule="auto" w:line="240"/>
        <w:ind w:firstLine="422" w:firstLineChars="200"/>
        <w:rPr>
          <w:b/>
          <w:bCs/>
        </w:rPr>
      </w:pPr>
      <w:r>
        <w:rPr>
          <w:b/>
          <w:bCs/>
        </w:rPr>
        <w:t>2．行政许可的类型：一般许可、特许、认可、核准、登记。</w:t>
      </w:r>
    </w:p>
    <w:p w14:paraId="1A6D8673">
      <w:pPr>
        <w:pStyle w:val="style0"/>
        <w:snapToGrid w:val="false"/>
        <w:spacing w:after="0" w:lineRule="auto" w:line="240"/>
        <w:ind w:firstLine="420" w:firstLineChars="200"/>
        <w:rPr>
          <w:rFonts w:hint="eastAsia"/>
          <w:color w:val="ff0000"/>
        </w:rPr>
      </w:pPr>
      <w:r>
        <w:rPr>
          <w:color w:val="000000"/>
        </w:rPr>
        <w:t>特许一定有数量上的限制。</w:t>
      </w:r>
      <w:r>
        <w:rPr>
          <w:color w:val="ff0000"/>
        </w:rPr>
        <w:t>一般采用招标、拍卖等公平竞争性方式来实施。</w:t>
      </w:r>
      <w:r>
        <w:rPr>
          <w:rFonts w:hint="eastAsia"/>
        </w:rPr>
        <w:t>认可</w:t>
      </w:r>
      <w:r>
        <w:rPr>
          <w:rFonts w:hint="eastAsia"/>
          <w:color w:val="ff0000"/>
        </w:rPr>
        <w:t>对象是“人”。</w:t>
      </w:r>
      <w:r>
        <w:rPr>
          <w:rFonts w:hint="eastAsia"/>
          <w:color w:val="ff0000"/>
        </w:rPr>
        <w:t xml:space="preserve"> </w:t>
      </w:r>
      <w:r>
        <w:rPr>
          <w:rFonts w:hint="eastAsia"/>
          <w:color w:val="ff0000"/>
        </w:rPr>
        <w:t>公司设立登记的性质是行政许可。公司变更登记原则上属于行政确认；如果需要经过审批的，这种变更登记为行政许可</w:t>
      </w:r>
      <w:r>
        <w:rPr>
          <w:rFonts w:hint="eastAsia"/>
          <w:color w:val="000000"/>
        </w:rPr>
        <w:t>。</w:t>
      </w:r>
    </w:p>
    <w:p w14:paraId="76C680D1">
      <w:pPr>
        <w:pStyle w:val="style0"/>
        <w:snapToGrid w:val="false"/>
        <w:spacing w:after="0" w:lineRule="auto" w:line="240"/>
        <w:ind w:firstLine="422" w:firstLineChars="200"/>
        <w:rPr>
          <w:b/>
          <w:bCs/>
        </w:rPr>
      </w:pPr>
      <w:r>
        <w:rPr>
          <w:b/>
          <w:bCs/>
        </w:rPr>
        <w:t>3．行政许可的实施程序：一般程序（申请、受理、审查、决定）、听证程序。</w:t>
      </w:r>
    </w:p>
    <w:p w14:paraId="05ED1363">
      <w:pPr>
        <w:pStyle w:val="style0"/>
        <w:snapToGrid w:val="false"/>
        <w:spacing w:after="0" w:lineRule="auto" w:line="240"/>
        <w:ind w:firstLine="420" w:firstLineChars="200"/>
        <w:rPr>
          <w:color w:val="auto"/>
        </w:rPr>
      </w:pPr>
      <w:r>
        <w:rPr>
          <w:rFonts w:hint="eastAsia"/>
          <w:color w:val="auto"/>
        </w:rPr>
        <w:t>（1）一般程序</w:t>
      </w:r>
    </w:p>
    <w:p w14:paraId="10754D2C">
      <w:pPr>
        <w:pStyle w:val="style0"/>
        <w:snapToGrid w:val="false"/>
        <w:spacing w:after="0" w:lineRule="auto" w:line="240"/>
        <w:ind w:firstLine="420" w:firstLineChars="200"/>
        <w:rPr>
          <w:color w:val="auto"/>
        </w:rPr>
      </w:pPr>
      <w:r>
        <w:rPr>
          <w:rFonts w:hint="eastAsia"/>
          <w:color w:val="auto"/>
        </w:rPr>
        <w:t>①</w:t>
      </w:r>
      <w:r>
        <w:rPr>
          <w:color w:val="auto"/>
        </w:rPr>
        <w:t>申请：书面形式（含数据电文）；格式文本免费；申请人对材料真实性负责。</w:t>
      </w:r>
    </w:p>
    <w:p w14:paraId="7F1E4A87">
      <w:pPr>
        <w:pStyle w:val="style0"/>
        <w:snapToGrid w:val="false"/>
        <w:spacing w:after="0" w:lineRule="auto" w:line="240"/>
        <w:ind w:firstLine="420" w:firstLineChars="200"/>
        <w:rPr>
          <w:color w:val="auto"/>
        </w:rPr>
      </w:pPr>
      <w:r>
        <w:rPr>
          <w:rFonts w:hint="eastAsia"/>
          <w:color w:val="auto"/>
        </w:rPr>
        <w:t>②</w:t>
      </w:r>
      <w:r>
        <w:rPr>
          <w:color w:val="auto"/>
        </w:rPr>
        <w:t>受理：材料不齐全的，当场或5日内一次性告知补正；逾期不告知的视为受理。</w:t>
      </w:r>
    </w:p>
    <w:p w14:paraId="481E0A10">
      <w:pPr>
        <w:pStyle w:val="style0"/>
        <w:snapToGrid w:val="false"/>
        <w:spacing w:after="0" w:lineRule="auto" w:line="240"/>
        <w:ind w:firstLine="420" w:firstLineChars="200"/>
        <w:rPr>
          <w:color w:val="auto"/>
        </w:rPr>
      </w:pPr>
      <w:r>
        <w:rPr>
          <w:rFonts w:hint="eastAsia"/>
          <w:color w:val="auto"/>
        </w:rPr>
        <w:t>③</w:t>
      </w:r>
      <w:r>
        <w:rPr>
          <w:color w:val="auto"/>
        </w:rPr>
        <w:t>审查：下级初审后直接报送上级，上级不得要求申请人重复提供材料。</w:t>
      </w:r>
    </w:p>
    <w:p w14:paraId="4374ECBE">
      <w:pPr>
        <w:pStyle w:val="style0"/>
        <w:snapToGrid w:val="false"/>
        <w:spacing w:after="0" w:lineRule="auto" w:line="240"/>
        <w:ind w:firstLine="420" w:firstLineChars="200"/>
        <w:rPr>
          <w:color w:val="auto"/>
        </w:rPr>
      </w:pPr>
      <w:r>
        <w:rPr>
          <w:rFonts w:hint="eastAsia"/>
          <w:color w:val="auto"/>
        </w:rPr>
        <w:t>④</w:t>
      </w:r>
      <w:r>
        <w:rPr>
          <w:color w:val="auto"/>
        </w:rPr>
        <w:t>决定：准予许可的书面决定并公开；不予许可的书面说明理由并告知救济。</w:t>
      </w:r>
    </w:p>
    <w:p w14:paraId="76803BCF">
      <w:pPr>
        <w:pStyle w:val="style0"/>
        <w:snapToGrid w:val="false"/>
        <w:spacing w:after="0" w:lineRule="auto" w:line="240"/>
        <w:ind w:firstLine="420" w:firstLineChars="200"/>
        <w:rPr>
          <w:color w:val="auto"/>
        </w:rPr>
      </w:pPr>
      <w:r>
        <w:rPr>
          <w:rFonts w:hint="eastAsia"/>
          <w:color w:val="auto"/>
        </w:rPr>
        <w:t>⑤</w:t>
      </w:r>
      <w:r>
        <w:rPr>
          <w:color w:val="auto"/>
        </w:rPr>
        <w:t>变更延续：有效期届满30日前申请；逾期未作决定的视为准予延续。</w:t>
      </w:r>
    </w:p>
    <w:p w14:paraId="308379F3">
      <w:pPr>
        <w:pStyle w:val="style0"/>
        <w:snapToGrid w:val="false"/>
        <w:spacing w:after="0" w:lineRule="auto" w:line="240"/>
        <w:ind w:firstLine="420" w:firstLineChars="200"/>
        <w:rPr>
          <w:color w:val="auto"/>
        </w:rPr>
      </w:pPr>
      <w:r>
        <w:rPr>
          <w:rFonts w:hint="eastAsia"/>
          <w:color w:val="auto"/>
        </w:rPr>
        <w:t>⑥</w:t>
      </w:r>
      <w:r>
        <w:rPr>
          <w:color w:val="auto"/>
        </w:rPr>
        <w:t>费用：格式文本免费；实施与监督检查原则免费，法律行政法规另有规定除外。</w:t>
      </w:r>
    </w:p>
    <w:p w14:paraId="3A7AB4C2">
      <w:pPr>
        <w:pStyle w:val="style0"/>
        <w:snapToGrid w:val="false"/>
        <w:spacing w:after="0" w:lineRule="auto" w:line="240"/>
        <w:ind w:firstLine="420" w:firstLineChars="200"/>
        <w:rPr>
          <w:color w:val="auto"/>
        </w:rPr>
      </w:pPr>
      <w:r>
        <w:rPr>
          <w:rFonts w:hint="eastAsia"/>
          <w:color w:val="auto"/>
        </w:rPr>
        <w:t>（2）听证程序</w:t>
      </w:r>
    </w:p>
    <w:p w14:paraId="458CA3A6">
      <w:pPr>
        <w:pStyle w:val="style0"/>
        <w:snapToGrid w:val="false"/>
        <w:spacing w:after="0" w:lineRule="auto" w:line="240"/>
        <w:ind w:firstLine="420" w:firstLineChars="200"/>
        <w:rPr/>
      </w:pPr>
      <w:r>
        <w:rPr>
          <w:rFonts w:hint="eastAsia"/>
        </w:rPr>
        <w:t>①听证启动：主动启动+被动启动（</w:t>
      </w:r>
      <w:r>
        <w:t>许可直接涉及申请人与他人之间重大利益关系的，应告知申请人、利害关系人有要求听证的权利</w:t>
      </w:r>
      <w:r>
        <w:rPr>
          <w:rFonts w:hint="eastAsia"/>
        </w:rPr>
        <w:t>）</w:t>
      </w:r>
    </w:p>
    <w:p w14:paraId="3314B0D7">
      <w:pPr>
        <w:pStyle w:val="style0"/>
        <w:snapToGrid w:val="false"/>
        <w:spacing w:after="0" w:lineRule="auto" w:line="240"/>
        <w:ind w:firstLine="420" w:firstLineChars="200"/>
        <w:rPr>
          <w:color w:val="000000"/>
          <w:kern w:val="0"/>
          <w:lang w:val="zh-CN"/>
        </w:rPr>
      </w:pPr>
      <w:r>
        <w:rPr>
          <w:rFonts w:hint="eastAsia"/>
        </w:rPr>
        <w:t>②</w:t>
      </w:r>
      <w:r>
        <w:rPr>
          <w:rFonts w:hint="eastAsia"/>
          <w:color w:val="000000"/>
          <w:kern w:val="0"/>
        </w:rPr>
        <w:t>听证期限</w:t>
      </w:r>
      <w:r>
        <w:rPr>
          <w:rFonts w:hint="eastAsia"/>
          <w:color w:val="000000"/>
          <w:kern w:val="0"/>
        </w:rPr>
        <w:t>：</w:t>
      </w:r>
      <w:r>
        <w:rPr>
          <w:color w:val="000000"/>
          <w:kern w:val="0"/>
          <w:lang w:val="zh-CN"/>
        </w:rPr>
        <w:t>申请期限5日，组织期限20日，告知期限7日</w:t>
      </w:r>
    </w:p>
    <w:p w14:paraId="4B4525EB">
      <w:pPr>
        <w:pStyle w:val="style0"/>
        <w:snapToGrid w:val="false"/>
        <w:spacing w:after="0" w:lineRule="auto" w:line="240"/>
        <w:ind w:firstLine="420" w:firstLineChars="200"/>
        <w:rPr>
          <w:color w:val="000000"/>
          <w:kern w:val="0"/>
        </w:rPr>
      </w:pPr>
      <w:r>
        <w:rPr>
          <w:rFonts w:hint="eastAsia"/>
          <w:color w:val="000000"/>
          <w:kern w:val="0"/>
        </w:rPr>
        <w:t>③</w:t>
      </w:r>
      <w:r>
        <w:rPr>
          <w:rFonts w:hint="eastAsia"/>
          <w:color w:val="000000"/>
          <w:kern w:val="0"/>
        </w:rPr>
        <w:t>听证笔录</w:t>
      </w:r>
      <w:r>
        <w:rPr>
          <w:rFonts w:hint="eastAsia"/>
          <w:color w:val="000000"/>
          <w:kern w:val="0"/>
        </w:rPr>
        <w:t>：</w:t>
      </w:r>
      <w:r>
        <w:rPr>
          <w:color w:val="ff0000"/>
          <w:kern w:val="0"/>
        </w:rPr>
        <w:t>案卷排他效力：</w:t>
      </w:r>
      <w:r>
        <w:rPr>
          <w:color w:val="000000"/>
          <w:kern w:val="0"/>
        </w:rPr>
        <w:t>许可决定须依据听证笔录记载内容作出</w:t>
      </w:r>
    </w:p>
    <w:p w14:paraId="546CB258">
      <w:pPr>
        <w:pStyle w:val="style0"/>
        <w:snapToGrid w:val="false"/>
        <w:spacing w:after="0" w:lineRule="auto" w:line="240"/>
        <w:ind w:firstLine="420" w:firstLineChars="200"/>
        <w:rPr>
          <w:rFonts w:hint="eastAsia"/>
          <w:color w:val="000000"/>
          <w:kern w:val="0"/>
        </w:rPr>
      </w:pPr>
      <w:r>
        <w:rPr>
          <w:rFonts w:hint="eastAsia"/>
          <w:color w:val="000000"/>
          <w:kern w:val="0"/>
        </w:rPr>
        <w:t>④听证费用：</w:t>
      </w:r>
      <w:r>
        <w:rPr>
          <w:rFonts w:hint="eastAsia"/>
          <w:color w:val="000000"/>
          <w:kern w:val="0"/>
        </w:rPr>
        <w:t>听证费用由</w:t>
      </w:r>
      <w:r>
        <w:rPr>
          <w:rFonts w:hint="eastAsia"/>
          <w:color w:val="ff0000"/>
          <w:kern w:val="0"/>
        </w:rPr>
        <w:t>行政机关</w:t>
      </w:r>
      <w:r>
        <w:rPr>
          <w:rFonts w:hint="eastAsia"/>
          <w:color w:val="000000"/>
          <w:kern w:val="0"/>
        </w:rPr>
        <w:t>承担</w:t>
      </w:r>
    </w:p>
    <w:p w14:paraId="3848D4E7">
      <w:pPr>
        <w:pStyle w:val="style0"/>
        <w:snapToGrid w:val="false"/>
        <w:spacing w:after="0" w:lineRule="auto" w:line="240"/>
        <w:ind w:firstLine="422" w:firstLineChars="200"/>
        <w:rPr>
          <w:b/>
          <w:bCs/>
        </w:rPr>
      </w:pPr>
      <w:r>
        <w:rPr>
          <w:b/>
          <w:bCs/>
        </w:rPr>
        <w:t>4．行政许可的监督：撤销许可、撤回许可、注销许可、吊销许可。</w:t>
      </w:r>
    </w:p>
    <w:p w14:paraId="2FD1D173">
      <w:pPr>
        <w:pStyle w:val="style0"/>
        <w:snapToGrid w:val="false"/>
        <w:spacing w:after="0" w:lineRule="auto" w:line="240"/>
        <w:ind w:firstLine="420" w:firstLineChars="200"/>
        <w:rPr>
          <w:color w:val="4472c4"/>
          <w:kern w:val="0"/>
          <w:lang w:val="zh-CN"/>
        </w:rPr>
      </w:pPr>
      <w:r>
        <w:rPr>
          <w:color w:val="4472c4"/>
          <w:kern w:val="0"/>
          <w:lang w:val="zh-CN"/>
        </w:rPr>
        <w:t>（</w:t>
      </w:r>
      <w:r>
        <w:rPr>
          <w:rFonts w:hint="eastAsia"/>
          <w:color w:val="4472c4"/>
          <w:kern w:val="0"/>
          <w:lang w:val="zh-CN"/>
        </w:rPr>
        <w:t>1</w:t>
      </w:r>
      <w:r>
        <w:rPr>
          <w:color w:val="4472c4"/>
          <w:kern w:val="0"/>
          <w:lang w:val="zh-CN"/>
        </w:rPr>
        <w:t>）撤销许可</w:t>
      </w:r>
    </w:p>
    <w:p w14:paraId="4EC712BC">
      <w:pPr>
        <w:pStyle w:val="style0"/>
        <w:snapToGrid w:val="false"/>
        <w:spacing w:after="0" w:lineRule="auto" w:line="240"/>
        <w:ind w:firstLine="420" w:firstLineChars="200"/>
        <w:rPr>
          <w:color w:val="000000"/>
          <w:kern w:val="0"/>
          <w:lang w:val="zh-CN"/>
        </w:rPr>
      </w:pPr>
      <w:r>
        <w:rPr>
          <w:color w:val="ff0000"/>
        </w:rPr>
        <w:t>撤销许可，是行政许可的一种监督措施（不是行政处罚）</w:t>
      </w:r>
    </w:p>
    <w:p w14:paraId="5EDA3CC5">
      <w:pPr>
        <w:pStyle w:val="style0"/>
        <w:snapToGrid w:val="false"/>
        <w:spacing w:after="0" w:lineRule="auto" w:line="240"/>
        <w:ind w:firstLine="420" w:firstLineChars="200"/>
        <w:rPr>
          <w:color w:val="000000"/>
          <w:kern w:val="44"/>
        </w:rPr>
      </w:pPr>
      <w:r>
        <w:rPr>
          <w:color w:val="000000"/>
          <w:kern w:val="44"/>
        </w:rPr>
        <w:t>撤销许可的原因</w:t>
      </w:r>
      <w:r>
        <w:rPr>
          <w:rFonts w:hint="eastAsia"/>
          <w:color w:val="000000"/>
          <w:kern w:val="0"/>
          <w:lang w:val="zh-CN"/>
        </w:rPr>
        <w:t>①</w:t>
      </w:r>
      <w:r>
        <w:rPr>
          <w:color w:val="000000"/>
          <w:kern w:val="0"/>
          <w:lang w:val="zh-CN"/>
        </w:rPr>
        <w:t>因行政机关工作人员的违法行为而撤销许可的情况包括：</w:t>
      </w:r>
      <w:r>
        <w:rPr>
          <w:color w:val="4472c4"/>
          <w:kern w:val="0"/>
          <w:lang w:val="zh-CN"/>
        </w:rPr>
        <w:t>（</w:t>
      </w:r>
      <w:r>
        <w:rPr>
          <w:color w:val="4472c4"/>
          <w:kern w:val="0"/>
        </w:rPr>
        <w:t>造成合法权益损害，国家赔偿）</w:t>
      </w:r>
      <w:r>
        <w:rPr>
          <w:rFonts w:hint="eastAsia"/>
          <w:color w:val="000000"/>
          <w:kern w:val="0"/>
          <w:lang w:val="zh-CN"/>
        </w:rPr>
        <w:t>②</w:t>
      </w:r>
      <w:r>
        <w:rPr>
          <w:color w:val="000000"/>
          <w:kern w:val="0"/>
          <w:lang w:val="zh-CN"/>
        </w:rPr>
        <w:t>因被许可人的违法行为而撤销许可的情况：被许可人以欺骗、贿赂等不正当手段取得行政许可的情形。</w:t>
      </w:r>
      <w:r>
        <w:rPr>
          <w:color w:val="4472c4"/>
          <w:kern w:val="0"/>
          <w:lang w:val="zh-CN"/>
        </w:rPr>
        <w:t>（</w:t>
      </w:r>
      <w:r>
        <w:rPr>
          <w:color w:val="4472c4"/>
          <w:kern w:val="0"/>
        </w:rPr>
        <w:t>一般不予赔偿）</w:t>
      </w:r>
    </w:p>
    <w:p w14:paraId="567A75A0">
      <w:pPr>
        <w:pStyle w:val="style0"/>
        <w:snapToGrid w:val="false"/>
        <w:spacing w:after="0" w:lineRule="auto" w:line="240"/>
        <w:ind w:firstLine="420" w:firstLineChars="200"/>
        <w:rPr>
          <w:color w:val="000000"/>
          <w:kern w:val="44"/>
        </w:rPr>
      </w:pPr>
      <w:r>
        <w:rPr>
          <w:color w:val="000000"/>
          <w:kern w:val="44"/>
        </w:rPr>
        <w:t>例外情形：</w:t>
      </w:r>
      <w:r>
        <w:rPr>
          <w:color w:val="ff0000"/>
        </w:rPr>
        <w:t>行政许可决定的作出虽有违法事由，但撤销该许可可能对公共利益或者他人信赖利益造成重大损害的，不予撤销。</w:t>
      </w:r>
    </w:p>
    <w:p w14:paraId="113487FD">
      <w:pPr>
        <w:pStyle w:val="style0"/>
        <w:snapToGrid w:val="false"/>
        <w:spacing w:after="0" w:lineRule="auto" w:line="240"/>
        <w:ind w:firstLine="420" w:firstLineChars="200"/>
        <w:rPr>
          <w:color w:val="000000"/>
          <w:kern w:val="0"/>
          <w:lang w:val="zh-CN"/>
        </w:rPr>
      </w:pPr>
      <w:r>
        <w:rPr>
          <w:color w:val="000000"/>
          <w:kern w:val="0"/>
          <w:lang w:val="zh-CN"/>
        </w:rPr>
        <w:t>（</w:t>
      </w:r>
      <w:r>
        <w:rPr>
          <w:rFonts w:hint="eastAsia"/>
          <w:color w:val="000000"/>
          <w:kern w:val="0"/>
          <w:lang w:val="zh-CN"/>
        </w:rPr>
        <w:t>2</w:t>
      </w:r>
      <w:r>
        <w:rPr>
          <w:color w:val="000000"/>
          <w:kern w:val="0"/>
          <w:lang w:val="zh-CN"/>
        </w:rPr>
        <w:t>）撤回许可</w:t>
      </w:r>
    </w:p>
    <w:p w14:paraId="27519E46">
      <w:pPr>
        <w:pStyle w:val="style0"/>
        <w:snapToGrid w:val="false"/>
        <w:spacing w:after="0" w:lineRule="auto" w:line="240"/>
        <w:ind w:firstLine="420" w:firstLineChars="200"/>
        <w:rPr>
          <w:color w:val="000000"/>
          <w:kern w:val="0"/>
        </w:rPr>
      </w:pPr>
      <w:r>
        <w:rPr>
          <w:color w:val="000000"/>
          <w:kern w:val="0"/>
        </w:rPr>
        <w:t>仅主张补偿的，应由行政机关先行处理。对不予答复或补偿决定不服的可以先复议后诉讼。（可调解）。补偿标准：法定标准＞实际损失标准＞实际投入标准</w:t>
      </w:r>
    </w:p>
    <w:p w14:paraId="0131A11A">
      <w:pPr>
        <w:pStyle w:val="style0"/>
        <w:snapToGrid w:val="false"/>
        <w:spacing w:after="0" w:lineRule="auto" w:line="240"/>
        <w:ind w:firstLine="420" w:firstLineChars="200"/>
        <w:rPr>
          <w:color w:val="000000"/>
          <w:kern w:val="0"/>
        </w:rPr>
      </w:pPr>
      <w:r>
        <w:rPr>
          <w:color w:val="000000"/>
          <w:kern w:val="0"/>
          <w:lang w:val="zh-CN"/>
        </w:rPr>
        <w:t>（</w:t>
      </w:r>
      <w:r>
        <w:rPr>
          <w:rFonts w:hint="eastAsia"/>
          <w:color w:val="000000"/>
          <w:kern w:val="0"/>
          <w:lang w:val="zh-CN"/>
        </w:rPr>
        <w:t>3</w:t>
      </w:r>
      <w:r>
        <w:rPr>
          <w:color w:val="000000"/>
          <w:kern w:val="0"/>
          <w:lang w:val="zh-CN"/>
        </w:rPr>
        <w:t>）注销许可</w:t>
      </w:r>
      <w:r>
        <w:rPr>
          <w:color w:val="4472c4"/>
          <w:kern w:val="0"/>
          <w:lang w:val="zh-CN"/>
        </w:rPr>
        <w:t>（</w:t>
      </w:r>
      <w:r>
        <w:rPr>
          <w:color w:val="4472c4"/>
          <w:kern w:val="0"/>
        </w:rPr>
        <w:t>行政确认）</w:t>
      </w:r>
    </w:p>
    <w:p w14:paraId="67FE025D">
      <w:pPr>
        <w:pStyle w:val="style0"/>
        <w:snapToGrid w:val="false"/>
        <w:spacing w:after="0" w:lineRule="auto" w:line="240"/>
        <w:ind w:firstLine="420" w:firstLineChars="200"/>
        <w:rPr>
          <w:color w:val="000000"/>
          <w:kern w:val="0"/>
          <w:lang w:val="zh-CN"/>
        </w:rPr>
      </w:pPr>
      <w:r>
        <w:rPr>
          <w:color w:val="000000"/>
          <w:kern w:val="0"/>
        </w:rPr>
        <w:t>①许可期满未延续；②丧失主体或能力；③被撤销、撤回、吊销；④发生不可抗力等</w:t>
      </w:r>
    </w:p>
    <w:p w14:paraId="3FA883C7">
      <w:pPr>
        <w:pStyle w:val="style0"/>
        <w:snapToGrid w:val="false"/>
        <w:spacing w:after="0" w:lineRule="auto" w:line="240"/>
        <w:ind w:firstLine="420" w:firstLineChars="200"/>
        <w:rPr/>
      </w:pPr>
      <w:r>
        <w:rPr>
          <w:rFonts w:hint="eastAsia"/>
        </w:rPr>
        <w:t>（4）吊销许可（行政处罚）</w:t>
      </w:r>
    </w:p>
    <w:p w14:paraId="434D0CF5">
      <w:pPr>
        <w:pStyle w:val="style0"/>
        <w:snapToGrid w:val="false"/>
        <w:spacing w:after="0" w:lineRule="auto" w:line="240"/>
        <w:ind w:firstLine="420" w:firstLineChars="200"/>
        <w:rPr>
          <w:rFonts w:hint="eastAsia"/>
        </w:rPr>
      </w:pPr>
    </w:p>
    <w:bookmarkStart w:id="9" w:name="_Toc236828945"/>
    <w:p w14:paraId="16CF2330">
      <w:pPr>
        <w:pStyle w:val="style0"/>
        <w:snapToGrid w:val="false"/>
        <w:spacing w:after="0" w:lineRule="auto" w:line="240"/>
        <w:ind w:firstLine="422" w:firstLineChars="200"/>
        <w:jc w:val="center"/>
        <w:rPr>
          <w:b/>
          <w:bCs/>
        </w:rPr>
      </w:pPr>
      <w:r>
        <w:rPr>
          <w:b/>
          <w:bCs/>
        </w:rPr>
        <w:t>预测考点</w:t>
      </w:r>
      <w:r>
        <w:rPr>
          <w:b/>
          <w:bCs/>
        </w:rPr>
        <w:t>7  行政处罚</w:t>
      </w:r>
      <w:bookmarkEnd w:id="9"/>
    </w:p>
    <w:p w14:paraId="38D4F070">
      <w:pPr>
        <w:pStyle w:val="style0"/>
        <w:snapToGrid w:val="false"/>
        <w:spacing w:after="0" w:lineRule="auto" w:line="240"/>
        <w:ind w:firstLine="422" w:firstLineChars="200"/>
        <w:rPr>
          <w:rFonts w:hint="eastAsia"/>
          <w:b/>
          <w:bCs/>
        </w:rPr>
      </w:pPr>
      <w:r>
        <w:rPr>
          <w:b/>
          <w:bCs/>
        </w:rPr>
        <w:t>1．行政处罚的判断：制裁惩戒性、终局性。</w:t>
      </w:r>
    </w:p>
    <w:p w14:paraId="5C18D885">
      <w:pPr>
        <w:pStyle w:val="style0"/>
        <w:snapToGrid w:val="false"/>
        <w:spacing w:after="0" w:lineRule="auto" w:line="240"/>
        <w:ind w:firstLine="422" w:firstLineChars="200"/>
        <w:rPr>
          <w:b/>
          <w:bCs/>
        </w:rPr>
      </w:pPr>
      <w:r>
        <w:rPr>
          <w:b/>
          <w:bCs/>
        </w:rPr>
        <w:t>2．行政处罚的设定：法律、行政法规、地方性法规、部门规章、地方政府规章可以设定行政处罚的各自权限范围。</w:t>
      </w:r>
    </w:p>
    <w:p w14:paraId="508ED10D">
      <w:pPr>
        <w:pStyle w:val="style0"/>
        <w:snapToGrid w:val="false"/>
        <w:spacing w:after="0" w:lineRule="auto" w:line="240"/>
        <w:ind w:firstLine="420" w:firstLineChars="200"/>
        <w:rPr>
          <w:color w:val="auto"/>
        </w:rPr>
      </w:pPr>
      <w:r>
        <w:rPr>
          <w:rFonts w:hint="eastAsia"/>
          <w:color w:val="auto"/>
        </w:rPr>
        <w:t>（1）</w:t>
      </w:r>
      <w:r>
        <w:rPr>
          <w:color w:val="auto"/>
        </w:rPr>
        <w:t>法律：所有处罚种类。</w:t>
      </w:r>
    </w:p>
    <w:p w14:paraId="11F6D211">
      <w:pPr>
        <w:pStyle w:val="style0"/>
        <w:snapToGrid w:val="false"/>
        <w:spacing w:after="0" w:lineRule="auto" w:line="240"/>
        <w:ind w:firstLine="420" w:firstLineChars="200"/>
        <w:rPr>
          <w:color w:val="auto"/>
        </w:rPr>
      </w:pPr>
      <w:r>
        <w:rPr>
          <w:rFonts w:hint="eastAsia"/>
          <w:color w:val="auto"/>
        </w:rPr>
        <w:t>（2）</w:t>
      </w:r>
      <w:r>
        <w:rPr>
          <w:color w:val="auto"/>
        </w:rPr>
        <w:t>行政法规：除限制人身自由外的所有处罚。</w:t>
      </w:r>
    </w:p>
    <w:p w14:paraId="44E590B2">
      <w:pPr>
        <w:pStyle w:val="style0"/>
        <w:snapToGrid w:val="false"/>
        <w:spacing w:after="0" w:lineRule="auto" w:line="240"/>
        <w:ind w:firstLine="420" w:firstLineChars="200"/>
        <w:rPr>
          <w:color w:val="auto"/>
        </w:rPr>
      </w:pPr>
      <w:r>
        <w:rPr>
          <w:rFonts w:hint="eastAsia"/>
          <w:color w:val="auto"/>
        </w:rPr>
        <w:t>（3）</w:t>
      </w:r>
      <w:r>
        <w:rPr>
          <w:color w:val="auto"/>
        </w:rPr>
        <w:t>地方性法规：除限制人身自由、吊销营业执照外的处罚。</w:t>
      </w:r>
    </w:p>
    <w:p w14:paraId="4CE1F4A1">
      <w:pPr>
        <w:pStyle w:val="style0"/>
        <w:snapToGrid w:val="false"/>
        <w:spacing w:after="0" w:lineRule="auto" w:line="240"/>
        <w:ind w:firstLine="420" w:firstLineChars="200"/>
        <w:rPr>
          <w:rFonts w:hint="eastAsia"/>
          <w:color w:val="auto"/>
        </w:rPr>
      </w:pPr>
      <w:r>
        <w:rPr>
          <w:rFonts w:hint="eastAsia"/>
          <w:color w:val="auto"/>
        </w:rPr>
        <w:t>（4）</w:t>
      </w:r>
      <w:r>
        <w:rPr>
          <w:color w:val="auto"/>
        </w:rPr>
        <w:t>地方政府规章、部门规章：警告、通报批评、一定数额罚款。</w:t>
      </w:r>
    </w:p>
    <w:p w14:paraId="40374C5E">
      <w:pPr>
        <w:pStyle w:val="style0"/>
        <w:snapToGrid w:val="false"/>
        <w:spacing w:after="0" w:lineRule="auto" w:line="240"/>
        <w:ind w:firstLine="422" w:firstLineChars="200"/>
        <w:rPr>
          <w:b/>
          <w:bCs/>
        </w:rPr>
      </w:pPr>
      <w:r>
        <w:rPr>
          <w:b/>
          <w:bCs/>
        </w:rPr>
        <w:t>3．行政处罚的实施规则：一事不再罚、无主观过错者不处罚、过时未罚者不处罚、首违轻微者不处罚、过罚相当。</w:t>
      </w:r>
    </w:p>
    <w:p w14:paraId="718982A4">
      <w:pPr>
        <w:pStyle w:val="style0"/>
        <w:snapToGrid w:val="false"/>
        <w:spacing w:after="0" w:lineRule="auto" w:line="240"/>
        <w:ind w:firstLine="420" w:firstLineChars="200"/>
        <w:rPr>
          <w:color w:val="auto"/>
        </w:rPr>
      </w:pPr>
      <w:r>
        <w:rPr>
          <w:rFonts w:hint="eastAsia"/>
          <w:color w:val="auto"/>
        </w:rPr>
        <w:t>（1）</w:t>
      </w:r>
      <w:r>
        <w:rPr>
          <w:color w:val="auto"/>
        </w:rPr>
        <w:t>首违轻微者不处罚：初次违法、危害轻微、及时改正的，可以不予处罚。</w:t>
      </w:r>
    </w:p>
    <w:p w14:paraId="4365B042">
      <w:pPr>
        <w:pStyle w:val="style0"/>
        <w:snapToGrid w:val="false"/>
        <w:spacing w:after="0" w:lineRule="auto" w:line="240"/>
        <w:ind w:firstLine="420" w:firstLineChars="200"/>
        <w:rPr>
          <w:color w:val="auto"/>
        </w:rPr>
      </w:pPr>
      <w:r>
        <w:rPr>
          <w:rFonts w:hint="eastAsia"/>
          <w:color w:val="auto"/>
        </w:rPr>
        <w:t>（2）</w:t>
      </w:r>
      <w:r>
        <w:rPr>
          <w:color w:val="auto"/>
        </w:rPr>
        <w:t>无主观过错不罚：</w:t>
      </w:r>
      <w:r>
        <w:rPr>
          <w:color w:val="ee0000"/>
        </w:rPr>
        <w:t>当事人证明无主观过错的，不予处罚。</w:t>
      </w:r>
    </w:p>
    <w:p w14:paraId="2F27B65C">
      <w:pPr>
        <w:pStyle w:val="style0"/>
        <w:snapToGrid w:val="false"/>
        <w:spacing w:after="0" w:lineRule="auto" w:line="240"/>
        <w:ind w:firstLine="420" w:firstLineChars="200"/>
        <w:rPr>
          <w:color w:val="auto"/>
        </w:rPr>
      </w:pPr>
      <w:r>
        <w:rPr>
          <w:rFonts w:hint="eastAsia"/>
          <w:color w:val="auto"/>
        </w:rPr>
        <w:t>（3）</w:t>
      </w:r>
      <w:r>
        <w:rPr>
          <w:color w:val="auto"/>
        </w:rPr>
        <w:t>追责时效：一般2年，生命健康、金融安全且有危害后果的延长至5年。</w:t>
      </w:r>
    </w:p>
    <w:p w14:paraId="218BADDB">
      <w:pPr>
        <w:pStyle w:val="style0"/>
        <w:snapToGrid w:val="false"/>
        <w:spacing w:after="0" w:lineRule="auto" w:line="240"/>
        <w:ind w:firstLine="420" w:firstLineChars="200"/>
        <w:rPr>
          <w:color w:val="auto"/>
        </w:rPr>
      </w:pPr>
      <w:r>
        <w:rPr>
          <w:rFonts w:hint="eastAsia"/>
          <w:color w:val="auto"/>
        </w:rPr>
        <w:t>（4）</w:t>
      </w:r>
      <w:r>
        <w:rPr>
          <w:color w:val="auto"/>
        </w:rPr>
        <w:t>一事不再罚：同一违法行为不得两次以上罚款；违反多规范的按高额罚款处罚。</w:t>
      </w:r>
    </w:p>
    <w:p w14:paraId="64642919">
      <w:pPr>
        <w:pStyle w:val="style0"/>
        <w:snapToGrid w:val="false"/>
        <w:spacing w:after="0" w:lineRule="auto" w:line="240"/>
        <w:ind w:firstLine="420" w:firstLineChars="200"/>
        <w:rPr>
          <w:rFonts w:cs="汉仪书宋二简" w:hint="eastAsia"/>
          <w:color w:val="000000"/>
          <w:kern w:val="0"/>
          <w:lang w:val="zh-CN"/>
        </w:rPr>
      </w:pPr>
      <w:r>
        <w:rPr>
          <w:rFonts w:hint="eastAsia"/>
          <w:color w:val="auto"/>
        </w:rPr>
        <w:t>（5）</w:t>
      </w:r>
      <w:r>
        <w:rPr>
          <w:color w:val="auto"/>
        </w:rPr>
        <w:t>过罚相当：处罚</w:t>
      </w:r>
      <w:r>
        <w:rPr>
          <w:rFonts w:cs="汉仪书宋二简"/>
          <w:color w:val="000000"/>
          <w:kern w:val="0"/>
          <w:lang w:val="zh-CN"/>
        </w:rPr>
        <w:t>与受罚人的违法行为的事实、性质、情节以及社会危害程度相当。</w:t>
      </w:r>
    </w:p>
    <w:p w14:paraId="24799B20">
      <w:pPr>
        <w:pStyle w:val="style0"/>
        <w:snapToGrid w:val="false"/>
        <w:spacing w:after="0" w:lineRule="auto" w:line="240"/>
        <w:ind w:firstLine="410" w:firstLineChars="200"/>
        <w:rPr>
          <w:b/>
          <w:bCs/>
          <w:spacing w:val="-3"/>
        </w:rPr>
      </w:pPr>
      <w:r>
        <w:rPr>
          <w:b/>
          <w:bCs/>
          <w:spacing w:val="-3"/>
        </w:rPr>
        <w:t>4．行政处罚的实施程序：一般程序（立案、调查、审核、决定、送达）、听证程序、简易程序。</w:t>
      </w:r>
    </w:p>
    <w:p w14:paraId="582808B3">
      <w:pPr>
        <w:pStyle w:val="style0"/>
        <w:snapToGrid w:val="false"/>
        <w:spacing w:after="0" w:lineRule="auto" w:line="240"/>
        <w:ind w:firstLine="420" w:firstLineChars="200"/>
        <w:rPr>
          <w:rFonts w:hint="eastAsia"/>
        </w:rPr>
      </w:pPr>
      <w:r>
        <w:rPr>
          <w:rFonts w:hint="eastAsia"/>
          <w:color w:val="4472c4"/>
        </w:rPr>
        <w:t>电子技术的运用。</w:t>
      </w:r>
      <w:r>
        <w:rPr>
          <w:rFonts w:hint="eastAsia"/>
        </w:rPr>
        <w:t>行政机关依照法律、行政法规规定利用电子技术监控设备收集、固定违法事实的，</w:t>
      </w:r>
      <w:r>
        <w:rPr>
          <w:rFonts w:hint="eastAsia"/>
          <w:color w:val="ff0000"/>
        </w:rPr>
        <w:t>应当经过法制和技术审核</w:t>
      </w:r>
      <w:r>
        <w:rPr>
          <w:rFonts w:hint="eastAsia"/>
        </w:rPr>
        <w:t>，确保电子技术监控设备符合标准、设置合理、标志明显，</w:t>
      </w:r>
      <w:r>
        <w:rPr>
          <w:rFonts w:hint="eastAsia"/>
          <w:color w:val="ff0000"/>
        </w:rPr>
        <w:t>设置地点应当向社会公布</w:t>
      </w:r>
      <w:r>
        <w:rPr>
          <w:rFonts w:hint="eastAsia"/>
        </w:rPr>
        <w:t>。电子技术监控设备记录违法事实应当真实、清晰、完整、准确。行政机关</w:t>
      </w:r>
      <w:r>
        <w:rPr>
          <w:rFonts w:hint="eastAsia"/>
          <w:color w:val="ff0000"/>
        </w:rPr>
        <w:t>应当审核记录内容</w:t>
      </w:r>
      <w:r>
        <w:rPr>
          <w:rFonts w:hint="eastAsia"/>
        </w:rPr>
        <w:t>是否符合要求；</w:t>
      </w:r>
      <w:r>
        <w:rPr>
          <w:rFonts w:hint="eastAsia"/>
          <w:color w:val="ff0000"/>
        </w:rPr>
        <w:t>未经审核或者经审核不符合要求的，不得作为行政处罚的证据</w:t>
      </w:r>
      <w:r>
        <w:rPr>
          <w:rFonts w:hint="eastAsia"/>
        </w:rPr>
        <w:t>。采取信息化手段或者其他措施，为当事人查询、陈述和申辩提供便利。</w:t>
      </w:r>
      <w:r>
        <w:rPr>
          <w:rFonts w:hint="eastAsia"/>
          <w:color w:val="ff0000"/>
        </w:rPr>
        <w:t>不得限制或者变相限制当事人享有的陈述权、申辩权</w:t>
      </w:r>
      <w:r>
        <w:rPr>
          <w:rFonts w:hint="eastAsia"/>
        </w:rPr>
        <w:t>。</w:t>
      </w:r>
    </w:p>
    <w:p w14:paraId="605D8737">
      <w:pPr>
        <w:pStyle w:val="style0"/>
        <w:snapToGrid w:val="false"/>
        <w:spacing w:after="0" w:lineRule="auto" w:line="240"/>
        <w:ind w:firstLine="420" w:firstLineChars="200"/>
        <w:rPr>
          <w:rFonts w:hint="eastAsia"/>
        </w:rPr>
      </w:pPr>
      <w:r>
        <w:rPr>
          <w:rFonts w:hint="eastAsia"/>
        </w:rPr>
        <w:t>有下列情形之一，在行政机关负责人作出行政处罚的决定之前，应当</w:t>
      </w:r>
      <w:r>
        <w:rPr>
          <w:rFonts w:hint="eastAsia"/>
          <w:color w:val="ff0000"/>
        </w:rPr>
        <w:t>由从事行政处罚决定法制审核的人员进行法制审核</w:t>
      </w:r>
      <w:r>
        <w:rPr>
          <w:rFonts w:hint="eastAsia"/>
        </w:rPr>
        <w:t>；未经法制审核或者审核未通过的，不得作出决定：涉及</w:t>
      </w:r>
      <w:r>
        <w:rPr>
          <w:rFonts w:hint="eastAsia"/>
          <w:color w:val="ff0000"/>
        </w:rPr>
        <w:t>重大公共利益</w:t>
      </w:r>
      <w:r>
        <w:rPr>
          <w:rFonts w:hint="eastAsia"/>
        </w:rPr>
        <w:t>的。直接关系当事人或者第三人重大权益，</w:t>
      </w:r>
      <w:r>
        <w:rPr>
          <w:rFonts w:hint="eastAsia"/>
          <w:color w:val="ff0000"/>
        </w:rPr>
        <w:t>经过听证程序</w:t>
      </w:r>
      <w:r>
        <w:rPr>
          <w:rFonts w:hint="eastAsia"/>
        </w:rPr>
        <w:t>的。</w:t>
      </w:r>
      <w:r>
        <w:rPr>
          <w:rFonts w:hint="eastAsia"/>
          <w:color w:val="ff0000"/>
        </w:rPr>
        <w:t>案件情况疑难复杂</w:t>
      </w:r>
      <w:r>
        <w:rPr>
          <w:rFonts w:hint="eastAsia"/>
        </w:rPr>
        <w:t>、</w:t>
      </w:r>
      <w:r>
        <w:rPr>
          <w:rFonts w:hint="eastAsia"/>
          <w:color w:val="ff0000"/>
        </w:rPr>
        <w:t>涉及多个法律关系</w:t>
      </w:r>
      <w:r>
        <w:rPr>
          <w:rFonts w:hint="eastAsia"/>
        </w:rPr>
        <w:t>的。</w:t>
      </w:r>
    </w:p>
    <w:p w14:paraId="19AAB00E">
      <w:pPr>
        <w:pStyle w:val="style0"/>
        <w:snapToGrid w:val="false"/>
        <w:spacing w:after="0" w:lineRule="auto" w:line="240"/>
        <w:ind w:firstLine="420" w:firstLineChars="200"/>
        <w:rPr>
          <w:color w:val="000000"/>
        </w:rPr>
      </w:pPr>
      <w:r>
        <w:rPr>
          <w:color w:val="000000"/>
        </w:rPr>
        <w:t>简易程序</w:t>
      </w:r>
      <w:r>
        <w:rPr>
          <w:rFonts w:hint="eastAsia"/>
          <w:color w:val="000000"/>
        </w:rPr>
        <w:t>：</w:t>
      </w:r>
      <w:r>
        <w:rPr>
          <w:color w:val="auto"/>
        </w:rPr>
        <w:t>①违法事实确凿并有法定依据。②</w:t>
      </w:r>
      <w:r>
        <w:rPr>
          <w:color w:val="ff0000"/>
        </w:rPr>
        <w:t>对公民处以200元以下，对法人或者其他组织处以3000元以下的罚款或者警告的。</w:t>
      </w:r>
    </w:p>
    <w:p w14:paraId="154BFC12">
      <w:pPr>
        <w:pStyle w:val="style0"/>
        <w:snapToGrid w:val="false"/>
        <w:spacing w:after="0" w:lineRule="auto" w:line="240"/>
        <w:ind w:firstLine="420" w:firstLineChars="200"/>
        <w:rPr>
          <w:color w:val="ff0000"/>
        </w:rPr>
      </w:pPr>
      <w:r>
        <w:rPr>
          <w:color w:val="000000"/>
        </w:rPr>
        <w:t>听证程序</w:t>
      </w:r>
      <w:r>
        <w:rPr>
          <w:rFonts w:hint="eastAsia"/>
          <w:color w:val="ff0000"/>
        </w:rPr>
        <w:t>：</w:t>
      </w:r>
      <w:r>
        <w:rPr>
          <w:color w:val="ff0000"/>
        </w:rPr>
        <w:t>行政机关应当组织听证</w:t>
      </w:r>
      <w:r>
        <w:rPr>
          <w:color w:val="auto"/>
        </w:rPr>
        <w:t>：①吊销许可证件；②责令停产停业、责令关闭；③较大数额罚款、没收较大数额违法所得、没收较大价值非法财物；④降低资质等级；⑤限制从业；⑥其他较重的行政处罚。</w:t>
      </w:r>
      <w:r>
        <w:rPr>
          <w:color w:val="4472c4"/>
        </w:rPr>
        <w:t>【吊这个大款，降资质限从业】</w:t>
      </w:r>
    </w:p>
    <w:p w14:paraId="58765CC5">
      <w:pPr>
        <w:pStyle w:val="style0"/>
        <w:snapToGrid w:val="false"/>
        <w:spacing w:after="0" w:lineRule="auto" w:line="240"/>
        <w:ind w:firstLine="420" w:firstLineChars="200"/>
        <w:rPr>
          <w:color w:val="auto"/>
        </w:rPr>
      </w:pPr>
      <w:r>
        <w:rPr>
          <w:color w:val="ff0000"/>
        </w:rPr>
        <w:t>听证结束后，行政机关应当根据听证笔录作出决定。行政处罚听证会笔录具有案卷排他效力。</w:t>
      </w:r>
    </w:p>
    <w:p w14:paraId="68CE949C">
      <w:pPr>
        <w:pStyle w:val="style0"/>
        <w:snapToGrid w:val="false"/>
        <w:spacing w:after="0" w:lineRule="auto" w:line="240"/>
        <w:ind w:firstLine="420" w:firstLineChars="200"/>
        <w:rPr>
          <w:rFonts w:cs="汉仪书宋二简" w:hint="eastAsia"/>
          <w:color w:val="000000"/>
          <w:kern w:val="0"/>
        </w:rPr>
      </w:pPr>
      <w:r>
        <w:rPr>
          <w:color w:val="ff0000"/>
        </w:rPr>
        <w:t>当事人不承担行政机关组织听证的费用，该费用由行政机关承担</w:t>
      </w:r>
      <w:r>
        <w:rPr>
          <w:color w:val="auto"/>
        </w:rPr>
        <w:t>。</w:t>
      </w:r>
    </w:p>
    <w:p w14:paraId="6840E075">
      <w:pPr>
        <w:pStyle w:val="style0"/>
        <w:snapToGrid w:val="false"/>
        <w:spacing w:after="0" w:lineRule="auto" w:line="240"/>
        <w:ind w:firstLine="422" w:firstLineChars="200"/>
        <w:rPr>
          <w:b/>
          <w:bCs/>
        </w:rPr>
      </w:pPr>
      <w:r>
        <w:rPr>
          <w:b/>
          <w:bCs/>
        </w:rPr>
        <w:t>5．治安管理处罚的实施程序：一般程序（调查、决定、送达）、听证程序、简易程序。</w:t>
      </w:r>
    </w:p>
    <w:p w14:paraId="3D74FCBF">
      <w:pPr>
        <w:pStyle w:val="style0"/>
        <w:snapToGrid w:val="false"/>
        <w:spacing w:after="0" w:lineRule="auto" w:line="240"/>
        <w:ind w:firstLine="420" w:firstLineChars="200"/>
        <w:rPr>
          <w:color w:val="auto"/>
        </w:rPr>
      </w:pPr>
      <w:r>
        <w:rPr>
          <w:rFonts w:hint="eastAsia"/>
          <w:color w:val="auto"/>
        </w:rPr>
        <w:t>（1）一般程序</w:t>
      </w:r>
    </w:p>
    <w:p w14:paraId="738A1B2F">
      <w:pPr>
        <w:pStyle w:val="style0"/>
        <w:snapToGrid w:val="false"/>
        <w:spacing w:after="0" w:lineRule="auto" w:line="240"/>
        <w:ind w:firstLine="420" w:firstLineChars="200"/>
        <w:rPr>
          <w:color w:val="ee0000"/>
        </w:rPr>
      </w:pPr>
      <w:r>
        <w:rPr>
          <w:rFonts w:hint="eastAsia"/>
          <w:color w:val="auto"/>
        </w:rPr>
        <w:t>①</w:t>
      </w:r>
      <w:r>
        <w:rPr>
          <w:color w:val="auto"/>
        </w:rPr>
        <w:t>询问：一般不超8小时，人数多、人身不明的不超12小时，可能行政拘留的不超24小时；询问未成年人需监护人到场，监护人不能到场，合适成年人到场；需通知被传唤人家属。</w:t>
      </w:r>
      <w:r>
        <w:rPr>
          <w:color w:val="ee0000"/>
        </w:rPr>
        <w:t>违</w:t>
      </w:r>
      <w:r>
        <w:rPr>
          <w:color w:val="ee0000"/>
        </w:rPr>
        <w:t>法行为人、被侵害人在异地的，公安可以委托代为询问，也可以远程视频询问（询问和宣读过程应当全程同步录音录像）。</w:t>
      </w:r>
    </w:p>
    <w:p w14:paraId="3AD04507">
      <w:pPr>
        <w:pStyle w:val="style0"/>
        <w:snapToGrid w:val="false"/>
        <w:spacing w:after="0" w:lineRule="auto" w:line="240"/>
        <w:ind w:firstLine="420" w:firstLineChars="200"/>
        <w:rPr>
          <w:color w:val="auto"/>
        </w:rPr>
      </w:pPr>
      <w:r>
        <w:rPr>
          <w:rFonts w:hint="eastAsia"/>
          <w:color w:val="auto"/>
        </w:rPr>
        <w:t>②</w:t>
      </w:r>
      <w:r>
        <w:rPr>
          <w:color w:val="auto"/>
        </w:rPr>
        <w:t>提取采集信息：提取或采集被侵害人的信息或样本，应当征得被侵害人或者其监护人同意。</w:t>
      </w:r>
    </w:p>
    <w:p w14:paraId="68D1F2A5">
      <w:pPr>
        <w:pStyle w:val="style0"/>
        <w:snapToGrid w:val="false"/>
        <w:spacing w:after="0" w:lineRule="auto" w:line="240"/>
        <w:ind w:firstLine="420" w:firstLineChars="200"/>
        <w:rPr>
          <w:color w:val="auto"/>
        </w:rPr>
      </w:pPr>
      <w:r>
        <w:rPr>
          <w:rFonts w:hint="eastAsia"/>
          <w:color w:val="auto"/>
        </w:rPr>
        <w:t>③</w:t>
      </w:r>
      <w:r>
        <w:rPr>
          <w:color w:val="auto"/>
        </w:rPr>
        <w:t>法制审核的情形：涉及重大公共利益的；直接关系当事人或者第三人重大权益，经过听证程序的；案件情况疑难复杂、涉及多个法律关系的。</w:t>
      </w:r>
    </w:p>
    <w:p w14:paraId="696E6D6F">
      <w:pPr>
        <w:pStyle w:val="style0"/>
        <w:snapToGrid w:val="false"/>
        <w:spacing w:after="0" w:lineRule="auto" w:line="240"/>
        <w:ind w:firstLine="420" w:firstLineChars="200"/>
        <w:rPr>
          <w:color w:val="auto"/>
        </w:rPr>
      </w:pPr>
      <w:r>
        <w:rPr>
          <w:rFonts w:hint="eastAsia"/>
          <w:color w:val="auto"/>
        </w:rPr>
        <w:t>④</w:t>
      </w:r>
      <w:r>
        <w:rPr>
          <w:color w:val="auto"/>
        </w:rPr>
        <w:t>违法记录封存</w:t>
      </w:r>
      <w:r>
        <w:rPr>
          <w:color w:val="ee0000"/>
        </w:rPr>
        <w:t>（封存不等于删除）</w:t>
      </w:r>
      <w:r>
        <w:rPr>
          <w:color w:val="auto"/>
        </w:rPr>
        <w:t>：治安违法记录予以封存，仅办案和法定单位可查询，查询单位需保密。</w:t>
      </w:r>
    </w:p>
    <w:p w14:paraId="1526E589">
      <w:pPr>
        <w:pStyle w:val="style0"/>
        <w:snapToGrid w:val="false"/>
        <w:spacing w:after="0" w:lineRule="auto" w:line="240"/>
        <w:ind w:firstLine="420" w:firstLineChars="200"/>
        <w:rPr>
          <w:color w:val="auto"/>
        </w:rPr>
      </w:pPr>
      <w:r>
        <w:rPr>
          <w:rFonts w:hint="eastAsia"/>
        </w:rPr>
        <w:t>（2）</w:t>
      </w:r>
      <w:r>
        <w:rPr>
          <w:color w:val="auto"/>
        </w:rPr>
        <w:t>听证程序</w:t>
      </w:r>
      <w:r>
        <w:rPr>
          <w:rFonts w:hint="eastAsia"/>
          <w:color w:val="auto"/>
        </w:rPr>
        <w:t>：</w:t>
      </w:r>
      <w:r>
        <w:rPr>
          <w:color w:val="auto"/>
        </w:rPr>
        <w:t>吊销许可证、4000元以上罚款、责令停业整顿；未成年人可能执行拘留的，告知听证权利。</w:t>
      </w:r>
    </w:p>
    <w:p w14:paraId="51E70E75">
      <w:pPr>
        <w:pStyle w:val="style0"/>
        <w:snapToGrid w:val="false"/>
        <w:spacing w:after="0" w:lineRule="auto" w:line="240"/>
        <w:ind w:firstLine="420" w:firstLineChars="200"/>
        <w:rPr>
          <w:rFonts w:hint="eastAsia"/>
          <w:color w:val="auto"/>
        </w:rPr>
      </w:pPr>
      <w:r>
        <w:rPr>
          <w:rFonts w:hint="eastAsia"/>
          <w:color w:val="auto"/>
        </w:rPr>
        <w:t>（3）</w:t>
      </w:r>
      <w:r>
        <w:rPr>
          <w:color w:val="auto"/>
        </w:rPr>
        <w:t>简易程序</w:t>
      </w:r>
      <w:r>
        <w:rPr>
          <w:rFonts w:hint="eastAsia"/>
          <w:color w:val="auto"/>
        </w:rPr>
        <w:t>：</w:t>
      </w:r>
      <w:r>
        <w:rPr>
          <w:color w:val="auto"/>
        </w:rPr>
        <w:t>警告、500元以下罚款，可当场作出、当场送达、24小时内备案。事实无异议可单人执法，全程录音录像。</w:t>
      </w:r>
    </w:p>
    <w:p w14:paraId="1BEFCD6F">
      <w:pPr>
        <w:pStyle w:val="style0"/>
        <w:snapToGrid w:val="false"/>
        <w:spacing w:after="0" w:lineRule="auto" w:line="240"/>
        <w:ind w:firstLine="422" w:firstLineChars="200"/>
        <w:rPr>
          <w:b/>
          <w:bCs/>
        </w:rPr>
      </w:pPr>
      <w:r>
        <w:rPr>
          <w:b/>
          <w:bCs/>
        </w:rPr>
        <w:t>6．行政拘留的暂缓执行：可以申请暂缓执行的对象与条件。</w:t>
      </w:r>
    </w:p>
    <w:p w14:paraId="35D125D6">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hint="eastAsia"/>
          <w:color w:val="ff0000"/>
          <w14:ligatures xmlns:w14="http://schemas.microsoft.com/office/word/2010/wordml" w14:val="standardContextual"/>
        </w:rPr>
        <w:t>(1)</w:t>
      </w:r>
      <w:r>
        <w:rPr>
          <w:rFonts w:cs="Arial Unicode MS"/>
          <w:color w:val="ff0000"/>
          <w14:ligatures xmlns:w14="http://schemas.microsoft.com/office/word/2010/wordml" w14:val="standardContextual"/>
        </w:rPr>
        <w:t>适用</w:t>
      </w:r>
      <w:r>
        <w:rPr>
          <w:rFonts w:cs="Arial Unicode MS"/>
          <w:color w:val="ff0000"/>
          <w14:ligatures xmlns:w14="http://schemas.microsoft.com/office/word/2010/wordml" w14:val="standardContextual"/>
        </w:rPr>
        <w:t>对象</w:t>
      </w:r>
      <w:r>
        <w:rPr>
          <w:rFonts w:cs="Arial Unicode MS" w:hint="eastAsia"/>
          <w:color w:val="ff0000"/>
          <w14:ligatures xmlns:w14="http://schemas.microsoft.com/office/word/2010/wordml" w14:val="standardContextual"/>
        </w:rPr>
        <w:t>:</w:t>
      </w:r>
      <w:r>
        <w:rPr>
          <w:rFonts w:cs="Arial Unicode MS"/>
          <w:color w:val="ff0000"/>
          <w14:ligatures xmlns:w14="http://schemas.microsoft.com/office/word/2010/wordml" w14:val="standardContextual"/>
        </w:rPr>
        <w:t>①被处罚人不服拘留处罚决定，已申请行政复议或提起行政诉讼②遇有参加升学考试、子女出生或近亲属病危、死亡等情形的</w:t>
      </w:r>
    </w:p>
    <w:p w14:paraId="5F7C4381">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hint="eastAsia"/>
          <w:color w:val="ff0000"/>
          <w14:ligatures xmlns:w14="http://schemas.microsoft.com/office/word/2010/wordml" w14:val="standardContextual"/>
        </w:rPr>
        <w:t>(2)</w:t>
      </w:r>
      <w:r>
        <w:rPr>
          <w:rFonts w:cs="Arial Unicode MS"/>
          <w:color w:val="ff0000"/>
          <w14:ligatures xmlns:w14="http://schemas.microsoft.com/office/word/2010/wordml" w14:val="standardContextual"/>
        </w:rPr>
        <w:t>适用</w:t>
      </w:r>
      <w:r>
        <w:rPr>
          <w:rFonts w:cs="Arial Unicode MS"/>
          <w:color w:val="ff0000"/>
          <w14:ligatures xmlns:w14="http://schemas.microsoft.com/office/word/2010/wordml" w14:val="standardContextual"/>
        </w:rPr>
        <w:t>条件</w:t>
      </w:r>
      <w:r>
        <w:rPr>
          <w:rFonts w:cs="Arial Unicode MS" w:hint="eastAsia"/>
          <w:color w:val="000000"/>
          <w14:ligatures xmlns:w14="http://schemas.microsoft.com/office/word/2010/wordml" w14:val="standardContextual"/>
        </w:rPr>
        <w:t>:</w:t>
      </w:r>
      <w:r>
        <w:rPr>
          <w:rFonts w:cs="Arial Unicode MS"/>
          <w:color w:val="000000"/>
          <w14:ligatures xmlns:w14="http://schemas.microsoft.com/office/word/2010/wordml" w14:val="standardContextual"/>
        </w:rPr>
        <w:t>①提出暂缓执行拘留的申请②公安机关认为暂缓执行拘留不致发生社会危险</w:t>
      </w:r>
      <w:r>
        <w:rPr>
          <w:rFonts w:cs="Arial Unicode MS"/>
          <w:color w:val="ff0000"/>
          <w14:ligatures xmlns:w14="http://schemas.microsoft.com/office/word/2010/wordml" w14:val="standardContextual"/>
        </w:rPr>
        <w:t>③按每日拘留200元的标准交纳保证金，或由被处罚人或其近亲属提出担保人</w:t>
      </w:r>
    </w:p>
    <w:p w14:paraId="59A8E880">
      <w:pPr>
        <w:pStyle w:val="style0"/>
        <w:snapToGrid w:val="false"/>
        <w:spacing w:after="0" w:lineRule="auto" w:line="240"/>
        <w:ind w:firstLine="420" w:firstLineChars="200"/>
        <w:rPr/>
      </w:pPr>
      <w:r>
        <w:t>7．行政拘留临时出所：临时出所的适用情形与条件。</w:t>
      </w:r>
    </w:p>
    <w:p w14:paraId="6BE35774">
      <w:pPr>
        <w:pStyle w:val="style0"/>
        <w:snapToGrid w:val="false"/>
        <w:spacing w:after="0" w:lineRule="auto" w:line="240"/>
        <w:ind w:firstLine="420" w:firstLineChars="200"/>
        <w:rPr>
          <w:rFonts w:cs="Arial Unicode MS"/>
          <w:color w:val="ff0000"/>
          <w14:ligatures xmlns:w14="http://schemas.microsoft.com/office/word/2010/wordml" w14:val="standardContextual"/>
        </w:rPr>
      </w:pPr>
      <w:r>
        <w:rPr>
          <w:rFonts w:cs="Arial Unicode MS" w:hint="eastAsia"/>
          <w:color w:val="ff0000"/>
          <w14:ligatures xmlns:w14="http://schemas.microsoft.com/office/word/2010/wordml" w14:val="standardContextual"/>
        </w:rPr>
        <w:t>(1)</w:t>
      </w:r>
      <w:r>
        <w:rPr>
          <w:rFonts w:cs="Arial Unicode MS"/>
          <w:color w:val="ff0000"/>
          <w14:ligatures xmlns:w14="http://schemas.microsoft.com/office/word/2010/wordml" w14:val="standardContextual"/>
        </w:rPr>
        <w:t>适用</w:t>
      </w:r>
      <w:r>
        <w:rPr>
          <w:rFonts w:cs="Arial Unicode MS"/>
          <w:color w:val="ff0000"/>
          <w14:ligatures xmlns:w14="http://schemas.microsoft.com/office/word/2010/wordml" w14:val="standardContextual"/>
        </w:rPr>
        <w:t>对象</w:t>
      </w:r>
      <w:r>
        <w:rPr>
          <w:rFonts w:cs="Arial Unicode MS" w:hint="eastAsia"/>
          <w:color w:val="ff0000"/>
          <w14:ligatures xmlns:w14="http://schemas.microsoft.com/office/word/2010/wordml" w14:val="standardContextual"/>
        </w:rPr>
        <w:t>:</w:t>
      </w:r>
      <w:r>
        <w:rPr>
          <w:rFonts w:cs="Arial Unicode MS"/>
          <w:color w:val="ff0000"/>
          <w14:ligatures xmlns:w14="http://schemas.microsoft.com/office/word/2010/wordml" w14:val="standardContextual"/>
        </w:rPr>
        <w:t>正在被执行拘留处罚的人遇有参加升学考试、子女出生或近亲属病危、死亡等情形</w:t>
      </w:r>
    </w:p>
    <w:p w14:paraId="049F1754">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hint="eastAsia"/>
          <w:color w:val="ff0000"/>
          <w14:ligatures xmlns:w14="http://schemas.microsoft.com/office/word/2010/wordml" w14:val="standardContextual"/>
        </w:rPr>
        <w:t>(2)</w:t>
      </w:r>
      <w:r>
        <w:rPr>
          <w:rFonts w:cs="Arial Unicode MS"/>
          <w:color w:val="ff0000"/>
          <w14:ligatures xmlns:w14="http://schemas.microsoft.com/office/word/2010/wordml" w14:val="standardContextual"/>
        </w:rPr>
        <w:t>适用条件</w:t>
      </w:r>
      <w:r>
        <w:rPr>
          <w:rFonts w:cs="Arial Unicode MS"/>
          <w:color w:val="000000"/>
          <w14:ligatures xmlns:w14="http://schemas.microsoft.com/office/word/2010/wordml" w14:val="standardContextual"/>
        </w:rPr>
        <w:t>①被拘留人或其近亲属申请出所②公安机关认为出所不致发生社会危险③按每日拘留200元的标准交纳保证金，或由被处罚人或其近亲属提出担保人</w:t>
      </w:r>
    </w:p>
    <w:p w14:paraId="773206CB">
      <w:pPr>
        <w:pStyle w:val="style0"/>
        <w:snapToGrid w:val="false"/>
        <w:spacing w:after="0" w:lineRule="auto" w:line="240"/>
        <w:ind w:firstLine="420" w:firstLineChars="200"/>
        <w:rPr>
          <w:rFonts w:hint="eastAsia"/>
        </w:rPr>
      </w:pPr>
    </w:p>
    <w:bookmarkStart w:id="10" w:name="_Toc236828946"/>
    <w:p w14:paraId="4AA9FEFC">
      <w:pPr>
        <w:pStyle w:val="style0"/>
        <w:snapToGrid w:val="false"/>
        <w:spacing w:after="0" w:lineRule="auto" w:line="240"/>
        <w:ind w:firstLine="422" w:firstLineChars="200"/>
        <w:jc w:val="center"/>
        <w:rPr>
          <w:b/>
          <w:bCs/>
        </w:rPr>
      </w:pPr>
      <w:r>
        <w:rPr>
          <w:b/>
          <w:bCs/>
        </w:rPr>
        <w:t>预测考点</w:t>
      </w:r>
      <w:r>
        <w:rPr>
          <w:b/>
          <w:bCs/>
        </w:rPr>
        <w:t>8  行政强制</w:t>
      </w:r>
      <w:bookmarkEnd w:id="10"/>
    </w:p>
    <w:p w14:paraId="17BD6CF4">
      <w:pPr>
        <w:pStyle w:val="style0"/>
        <w:snapToGrid w:val="false"/>
        <w:spacing w:after="0" w:lineRule="auto" w:line="240"/>
        <w:ind w:firstLine="422" w:firstLineChars="200"/>
        <w:rPr>
          <w:rFonts w:hint="eastAsia"/>
          <w:b/>
          <w:bCs/>
        </w:rPr>
      </w:pPr>
      <w:r>
        <w:rPr>
          <w:b/>
          <w:bCs/>
        </w:rPr>
        <w:t>1．行政强制措施的判断：预防性和暂时性。</w:t>
      </w:r>
    </w:p>
    <w:p w14:paraId="59098EBA">
      <w:pPr>
        <w:pStyle w:val="style0"/>
        <w:snapToGrid w:val="false"/>
        <w:spacing w:after="0" w:lineRule="auto" w:line="240"/>
        <w:ind w:firstLine="422" w:firstLineChars="200"/>
        <w:rPr>
          <w:b/>
          <w:bCs/>
        </w:rPr>
      </w:pPr>
      <w:r>
        <w:rPr>
          <w:b/>
          <w:bCs/>
        </w:rPr>
        <w:t>2．行政强制措施和行政强制执行的设定：法律、行政法规、地方性法规等不同立法文件关于强制措施和强制执行的设定权分配。</w:t>
      </w:r>
    </w:p>
    <w:p w14:paraId="333FF3B2">
      <w:pPr>
        <w:pStyle w:val="style0"/>
        <w:snapToGrid w:val="false"/>
        <w:spacing w:after="0" w:lineRule="auto" w:line="240"/>
        <w:ind w:firstLine="420" w:firstLineChars="200"/>
        <w:rPr>
          <w:color w:val="auto"/>
        </w:rPr>
      </w:pPr>
      <w:r>
        <w:rPr>
          <w:rFonts w:hint="eastAsia"/>
          <w:color w:val="auto"/>
        </w:rPr>
        <w:t>(1)</w:t>
      </w:r>
      <w:r>
        <w:rPr>
          <w:color w:val="auto"/>
        </w:rPr>
        <w:t>法律：所有种类。</w:t>
      </w:r>
    </w:p>
    <w:p w14:paraId="3774B9CC">
      <w:pPr>
        <w:pStyle w:val="style0"/>
        <w:snapToGrid w:val="false"/>
        <w:spacing w:after="0" w:lineRule="auto" w:line="240"/>
        <w:ind w:firstLine="420" w:firstLineChars="200"/>
        <w:rPr>
          <w:color w:val="auto"/>
        </w:rPr>
      </w:pPr>
      <w:r>
        <w:rPr>
          <w:rFonts w:hint="eastAsia"/>
          <w:color w:val="auto"/>
        </w:rPr>
        <w:t>(2)</w:t>
      </w:r>
      <w:r>
        <w:rPr>
          <w:color w:val="auto"/>
        </w:rPr>
        <w:t>行政法规：除限制人身自由、冻结存款汇款外的种类。</w:t>
      </w:r>
    </w:p>
    <w:p w14:paraId="1408A18D">
      <w:pPr>
        <w:pStyle w:val="style0"/>
        <w:snapToGrid w:val="false"/>
        <w:spacing w:after="0" w:lineRule="auto" w:line="240"/>
        <w:ind w:firstLine="420" w:firstLineChars="200"/>
        <w:rPr>
          <w:color w:val="auto"/>
        </w:rPr>
      </w:pPr>
      <w:r>
        <w:rPr>
          <w:rFonts w:hint="eastAsia"/>
          <w:color w:val="auto"/>
        </w:rPr>
        <w:t>(3)</w:t>
      </w:r>
      <w:r>
        <w:rPr>
          <w:color w:val="auto"/>
        </w:rPr>
        <w:t>地方性法规：查封、扣押。</w:t>
      </w:r>
    </w:p>
    <w:p w14:paraId="2A2A5AEB">
      <w:pPr>
        <w:pStyle w:val="style0"/>
        <w:snapToGrid w:val="false"/>
        <w:spacing w:after="0" w:lineRule="auto" w:line="240"/>
        <w:ind w:firstLine="420" w:firstLineChars="200"/>
        <w:rPr>
          <w:color w:val="auto"/>
        </w:rPr>
      </w:pPr>
      <w:r>
        <w:rPr>
          <w:rFonts w:hint="eastAsia"/>
          <w:color w:val="auto"/>
        </w:rPr>
        <w:t>(4)</w:t>
      </w:r>
      <w:r>
        <w:rPr>
          <w:color w:val="auto"/>
        </w:rPr>
        <w:t>所有规章：无权设定行政强制措施。</w:t>
      </w:r>
    </w:p>
    <w:p w14:paraId="4054A6A7">
      <w:pPr>
        <w:pStyle w:val="style0"/>
        <w:snapToGrid w:val="false"/>
        <w:spacing w:after="0" w:lineRule="auto" w:line="240"/>
        <w:ind w:firstLine="420" w:firstLineChars="200"/>
        <w:rPr>
          <w:rFonts w:hint="eastAsia"/>
          <w:color w:val="auto"/>
        </w:rPr>
      </w:pPr>
      <w:r>
        <w:rPr>
          <w:color w:val="auto"/>
        </w:rPr>
        <w:t>行政强制执行</w:t>
      </w:r>
      <w:r>
        <w:rPr>
          <w:rFonts w:hint="eastAsia"/>
          <w:color w:val="auto"/>
        </w:rPr>
        <w:t>：</w:t>
      </w:r>
      <w:r>
        <w:rPr>
          <w:color w:val="auto"/>
        </w:rPr>
        <w:t>只能由法律设定，行政法规、规章均无权设定。</w:t>
      </w:r>
    </w:p>
    <w:p w14:paraId="5EB5575A">
      <w:pPr>
        <w:pStyle w:val="style0"/>
        <w:snapToGrid w:val="false"/>
        <w:spacing w:after="0" w:lineRule="auto" w:line="240"/>
        <w:ind w:firstLine="422" w:firstLineChars="200"/>
        <w:rPr>
          <w:b/>
          <w:bCs/>
        </w:rPr>
      </w:pPr>
      <w:r>
        <w:rPr>
          <w:b/>
          <w:bCs/>
        </w:rPr>
        <w:t>3．行政强制措施的实施程序：一般程序、查封和扣押的实施程序、冻结的实施程序。</w:t>
      </w:r>
    </w:p>
    <w:p w14:paraId="275E0F83">
      <w:pPr>
        <w:pStyle w:val="style0"/>
        <w:snapToGrid w:val="false"/>
        <w:spacing w:after="0" w:lineRule="auto" w:line="240"/>
        <w:ind w:firstLine="420" w:firstLineChars="200"/>
        <w:rPr>
          <w:color w:val="ee0000"/>
        </w:rPr>
      </w:pPr>
      <w:r>
        <w:rPr>
          <w:rFonts w:hint="eastAsia"/>
          <w:color w:val="auto"/>
        </w:rPr>
        <w:t>(1)一般程序：</w:t>
      </w:r>
      <w:r>
        <w:rPr>
          <w:color w:val="auto"/>
        </w:rPr>
        <w:t xml:space="preserve"> </w:t>
      </w:r>
      <w:r>
        <w:rPr>
          <w:color w:val="auto"/>
        </w:rPr>
        <w:t>2名以上执法人员、出示证件、通知当事人到场、告知理由权利、听取陈述申辩、制作现场笔录、签章确认；当事人不到场的邀请见证人。财产类24小时内补办报批；人身类立即通知家属，</w:t>
      </w:r>
      <w:r>
        <w:rPr>
          <w:color w:val="ee0000"/>
        </w:rPr>
        <w:t>返回后补办报批。</w:t>
      </w:r>
    </w:p>
    <w:p w14:paraId="2947AB49">
      <w:pPr>
        <w:pStyle w:val="style0"/>
        <w:snapToGrid w:val="false"/>
        <w:spacing w:after="0" w:lineRule="auto" w:line="240"/>
        <w:ind w:firstLine="420" w:firstLineChars="200"/>
        <w:rPr>
          <w:rFonts w:hint="eastAsia"/>
        </w:rPr>
      </w:pPr>
      <w:r>
        <w:rPr>
          <w:rFonts w:hint="eastAsia"/>
          <w:color w:val="ee0000"/>
        </w:rPr>
        <w:t>（2）查封和扣押的实施程序：</w:t>
      </w:r>
      <w:r>
        <w:rPr>
          <w:rFonts w:hint="eastAsia"/>
        </w:rPr>
        <w:t>对象仅限涉案财物，不得查封生活必需品、已查封财物。可委托第三人保管，第三人致损的行政机关先行赔付后追偿。</w:t>
      </w:r>
    </w:p>
    <w:p w14:paraId="7BCB302A">
      <w:pPr>
        <w:pStyle w:val="style0"/>
        <w:snapToGrid w:val="false"/>
        <w:spacing w:after="0" w:lineRule="auto" w:line="240"/>
        <w:ind w:firstLine="420" w:firstLineChars="200"/>
        <w:rPr>
          <w:rFonts w:hint="eastAsia"/>
        </w:rPr>
      </w:pPr>
      <w:r>
        <w:rPr>
          <w:rFonts w:hint="eastAsia"/>
        </w:rPr>
        <w:t>(3)</w:t>
      </w:r>
      <w:r>
        <w:t xml:space="preserve"> </w:t>
      </w:r>
      <w:r>
        <w:t>冻结的实施</w:t>
      </w:r>
      <w:r>
        <w:t>程序</w:t>
      </w:r>
      <w:r>
        <w:rPr>
          <w:rFonts w:hint="eastAsia"/>
        </w:rPr>
        <w:t>:</w:t>
      </w:r>
      <w:r>
        <w:rPr>
          <w:rFonts w:cs="Arial Unicode MS" w:hint="eastAsia"/>
          <w:kern w:val="0"/>
        </w:rPr>
        <w:t xml:space="preserve"> </w:t>
      </w:r>
      <w:r>
        <w:rPr>
          <w:rFonts w:cs="Arial Unicode MS" w:hint="eastAsia"/>
          <w:kern w:val="0"/>
        </w:rPr>
        <w:t>冻结存款、汇款的数额应当</w:t>
      </w:r>
      <w:r>
        <w:rPr>
          <w:rFonts w:cs="Arial Unicode MS" w:hint="eastAsia"/>
          <w:color w:val="ff0000"/>
          <w:kern w:val="0"/>
        </w:rPr>
        <w:t>与违法行为涉及的金额相当（比例原则的要求）</w:t>
      </w:r>
      <w:r>
        <w:rPr>
          <w:rFonts w:cs="Arial Unicode MS" w:hint="eastAsia"/>
          <w:kern w:val="0"/>
        </w:rPr>
        <w:t>已被其他国家机关依法冻结的，</w:t>
      </w:r>
      <w:r>
        <w:rPr>
          <w:rFonts w:cs="Arial Unicode MS" w:hint="eastAsia"/>
          <w:color w:val="ff0000"/>
          <w:kern w:val="0"/>
        </w:rPr>
        <w:t>不得重复冻结</w:t>
      </w:r>
    </w:p>
    <w:p w14:paraId="6DE4F31B">
      <w:pPr>
        <w:pStyle w:val="style0"/>
        <w:snapToGrid w:val="false"/>
        <w:spacing w:after="0" w:lineRule="auto" w:line="240"/>
        <w:ind w:firstLine="422" w:firstLineChars="200"/>
        <w:rPr>
          <w:b/>
          <w:bCs/>
        </w:rPr>
      </w:pPr>
      <w:r>
        <w:rPr>
          <w:b/>
          <w:bCs/>
        </w:rPr>
        <w:t>4．行政强制执行的实施程序：一般程序、金钱给付义务的实施程序、代履行的实施程序。</w:t>
      </w:r>
    </w:p>
    <w:p w14:paraId="0A57D060">
      <w:pPr>
        <w:pStyle w:val="style0"/>
        <w:snapToGrid w:val="false"/>
        <w:spacing w:after="0" w:lineRule="auto" w:line="240"/>
        <w:ind w:firstLine="420" w:firstLineChars="200"/>
        <w:rPr>
          <w:rFonts w:hint="eastAsia"/>
          <w:color w:val="ee0000"/>
        </w:rPr>
      </w:pPr>
      <w:r>
        <w:rPr>
          <w:rFonts w:hint="eastAsia"/>
        </w:rPr>
        <w:t>(1)一般程序：</w:t>
      </w:r>
      <w:r>
        <w:rPr>
          <w:rFonts w:hint="eastAsia"/>
        </w:rPr>
        <w:t>当事人逾期不履行→书面催告→听取陈述申辩→作出强制执行决定→实施执行。不得夜间、法定节假日执行（紧急除外）；不得对居民停水电气热迫使其履行。违建强拆：先公告限期自拆；法定期限内不复议不诉讼不拆除的，方可强制拆除。</w:t>
      </w:r>
      <w:r>
        <w:rPr>
          <w:rFonts w:hint="eastAsia"/>
          <w:color w:val="ee0000"/>
        </w:rPr>
        <w:t>（违反城乡规划法行政机关可自行拆除，其他情形需要申请法院强拆）</w:t>
      </w:r>
    </w:p>
    <w:p w14:paraId="0CDD506F">
      <w:pPr>
        <w:pStyle w:val="style0"/>
        <w:snapToGrid w:val="false"/>
        <w:spacing w:after="0" w:lineRule="auto" w:line="240"/>
        <w:ind w:firstLine="420" w:firstLineChars="200"/>
        <w:rPr>
          <w:rFonts w:hint="eastAsia"/>
        </w:rPr>
      </w:pPr>
      <w:r>
        <w:rPr>
          <w:rFonts w:hint="eastAsia"/>
        </w:rPr>
        <w:t>（2）</w:t>
      </w:r>
      <w:r>
        <w:t>金钱给付义务的实施程序</w:t>
      </w:r>
      <w:r>
        <w:rPr>
          <w:rFonts w:hint="eastAsia"/>
        </w:rPr>
        <w:t>：</w:t>
      </w:r>
      <w:r>
        <w:rPr>
          <w:rFonts w:hint="eastAsia"/>
        </w:rPr>
        <w:t>先加处罚款/滞纳金（数额不超本金）；超30日经催告仍不履行的，有执行权的直接划拨拍卖，无执行权的申请法院执行。</w:t>
      </w:r>
    </w:p>
    <w:p w14:paraId="2907FC61">
      <w:pPr>
        <w:pStyle w:val="style0"/>
        <w:snapToGrid w:val="false"/>
        <w:spacing w:after="0" w:lineRule="auto" w:line="240"/>
        <w:ind w:firstLine="420" w:firstLineChars="200"/>
        <w:rPr>
          <w:rFonts w:hint="eastAsia"/>
        </w:rPr>
      </w:pPr>
      <w:r>
        <w:rPr>
          <w:rFonts w:hint="eastAsia"/>
        </w:rPr>
        <w:t>（3）</w:t>
      </w:r>
      <w:r>
        <w:t>代履行的实施程序</w:t>
      </w:r>
      <w:r>
        <w:rPr>
          <w:rFonts w:hint="eastAsia"/>
        </w:rPr>
        <w:t>：</w:t>
      </w:r>
      <w:r>
        <w:rPr>
          <w:rFonts w:hint="eastAsia"/>
        </w:rPr>
        <w:t>适用于排除妨碍、恢复原状等义务，后果危害交通安全、环境、资源的；可委托无利害关系第三人；代履行3日前催告；费用当事人承担。</w:t>
      </w:r>
    </w:p>
    <w:p w14:paraId="137B430C">
      <w:pPr>
        <w:pStyle w:val="style0"/>
        <w:snapToGrid w:val="false"/>
        <w:spacing w:after="0" w:lineRule="auto" w:line="240"/>
        <w:rPr>
          <w:rFonts w:hint="eastAsia"/>
        </w:rPr>
      </w:pPr>
    </w:p>
    <w:bookmarkStart w:id="11" w:name="_Toc236828947"/>
    <w:p w14:paraId="716085AB">
      <w:pPr>
        <w:pStyle w:val="style0"/>
        <w:snapToGrid w:val="false"/>
        <w:spacing w:after="0" w:lineRule="auto" w:line="240"/>
        <w:ind w:firstLine="422" w:firstLineChars="200"/>
        <w:jc w:val="center"/>
        <w:rPr>
          <w:b/>
          <w:bCs/>
        </w:rPr>
      </w:pPr>
      <w:r>
        <w:rPr>
          <w:b/>
          <w:bCs/>
        </w:rPr>
        <w:t>预测考点</w:t>
      </w:r>
      <w:r>
        <w:rPr>
          <w:b/>
          <w:bCs/>
        </w:rPr>
        <w:t>9  政府信息公开</w:t>
      </w:r>
      <w:bookmarkEnd w:id="11"/>
    </w:p>
    <w:p w14:paraId="1EF4E530">
      <w:pPr>
        <w:pStyle w:val="style0"/>
        <w:snapToGrid w:val="false"/>
        <w:spacing w:after="0" w:lineRule="auto" w:line="240"/>
        <w:ind w:firstLine="420" w:firstLineChars="200"/>
        <w:rPr>
          <w:rFonts w:hint="eastAsia"/>
        </w:rPr>
      </w:pPr>
    </w:p>
    <w:p w14:paraId="1F3B72FB">
      <w:pPr>
        <w:pStyle w:val="style0"/>
        <w:snapToGrid w:val="false"/>
        <w:spacing w:after="0" w:lineRule="auto" w:line="240"/>
        <w:ind w:firstLine="422" w:firstLineChars="200"/>
        <w:rPr>
          <w:b/>
          <w:bCs/>
        </w:rPr>
      </w:pPr>
      <w:r>
        <w:rPr>
          <w:b/>
          <w:bCs/>
        </w:rPr>
        <w:t>1．政府信息不予公开的范围：绝对不予公开、相对不予公开、可以不予公开。</w:t>
      </w:r>
    </w:p>
    <w:p w14:paraId="07476E28">
      <w:pPr>
        <w:pStyle w:val="style0"/>
        <w:snapToGrid w:val="false"/>
        <w:spacing w:after="0" w:lineRule="auto" w:line="240"/>
        <w:ind w:firstLine="420" w:firstLineChars="200"/>
        <w:rPr>
          <w:rFonts w:cs="汉仪粗宋简"/>
          <w:color w:val="000000"/>
          <w:kern w:val="0"/>
          <w:position w:val="4"/>
        </w:rPr>
      </w:pPr>
      <w:r>
        <w:rPr>
          <w:rFonts w:cs="汉仪粗宋简" w:hint="eastAsia"/>
          <w:color w:val="000000"/>
          <w:kern w:val="0"/>
          <w:position w:val="4"/>
        </w:rPr>
        <w:t>(1)</w:t>
      </w:r>
      <w:r>
        <w:rPr>
          <w:rFonts w:cs="汉仪粗宋简"/>
          <w:color w:val="000000"/>
          <w:kern w:val="0"/>
          <w:position w:val="4"/>
        </w:rPr>
        <w:t>绝对不公开：①依法确定为国家秘密的政府信息②法律、行政法规禁止公开的政府信息③公开后可能危及国家安全、公共安全、经济安全、社会稳定的政府信息</w:t>
      </w:r>
    </w:p>
    <w:p w14:paraId="5A59AD2D">
      <w:pPr>
        <w:pStyle w:val="style0"/>
        <w:snapToGrid w:val="false"/>
        <w:spacing w:after="0" w:lineRule="auto" w:line="240"/>
        <w:ind w:firstLine="420" w:firstLineChars="200"/>
        <w:rPr>
          <w:rFonts w:cs="汉仪粗宋简"/>
          <w:color w:val="000000"/>
          <w:kern w:val="0"/>
          <w:position w:val="4"/>
        </w:rPr>
      </w:pPr>
      <w:r>
        <w:rPr>
          <w:rFonts w:cs="汉仪粗宋简" w:hint="eastAsia"/>
          <w:color w:val="000000"/>
          <w:kern w:val="0"/>
          <w:position w:val="4"/>
        </w:rPr>
        <w:t>(2)</w:t>
      </w:r>
      <w:r>
        <w:rPr>
          <w:rFonts w:cs="汉仪粗宋简"/>
          <w:color w:val="000000"/>
          <w:kern w:val="0"/>
          <w:position w:val="4"/>
        </w:rPr>
        <w:t>相对不公开：①涉及商业秘密、个人隐私的政府信息一般不予公开②但是，经权利人同意的可以公开③不公开可能对公共利益造成重大影响的，即使权利人不同意的仍然可以予以公开</w:t>
      </w:r>
    </w:p>
    <w:p w14:paraId="26C53266">
      <w:pPr>
        <w:pStyle w:val="style0"/>
        <w:snapToGrid w:val="false"/>
        <w:spacing w:after="0" w:lineRule="auto" w:line="240"/>
        <w:ind w:firstLine="420" w:firstLineChars="200"/>
        <w:rPr>
          <w:rFonts w:cs="汉仪粗宋简" w:hint="eastAsia"/>
          <w:color w:val="000000"/>
          <w:kern w:val="0"/>
          <w:position w:val="4"/>
        </w:rPr>
      </w:pPr>
      <w:r>
        <w:rPr>
          <w:rFonts w:cs="汉仪粗宋简" w:hint="eastAsia"/>
          <w:color w:val="000000"/>
          <w:kern w:val="0"/>
          <w:position w:val="4"/>
        </w:rPr>
        <w:t>(3)</w:t>
      </w:r>
      <w:r>
        <w:rPr>
          <w:rFonts w:cs="汉仪粗宋简"/>
          <w:color w:val="000000"/>
          <w:kern w:val="0"/>
          <w:position w:val="4"/>
        </w:rPr>
        <w:t>可以不公开：①行政机关的内部事务信息：人事管理、后勤管理、内部工作流程等②行政机关在履职过程中形成的过程性信息：讨论记录、过程稿、磋商信函、请示报告等③行政执法案卷信息</w:t>
      </w:r>
    </w:p>
    <w:p w14:paraId="46B6BC9B">
      <w:pPr>
        <w:pStyle w:val="style0"/>
        <w:snapToGrid w:val="false"/>
        <w:spacing w:after="0" w:lineRule="auto" w:line="240"/>
        <w:ind w:firstLine="422" w:firstLineChars="200"/>
        <w:rPr>
          <w:rFonts w:hint="eastAsia"/>
          <w:b/>
          <w:bCs/>
        </w:rPr>
      </w:pPr>
      <w:r>
        <w:rPr>
          <w:b/>
          <w:bCs/>
        </w:rPr>
        <w:t>2．政府信息公开的主体：谁制作谁公开、谁保存谁公开、牵头机关公开。</w:t>
      </w:r>
    </w:p>
    <w:p w14:paraId="6B6E73B4">
      <w:pPr>
        <w:pStyle w:val="style0"/>
        <w:snapToGrid w:val="false"/>
        <w:spacing w:after="0" w:lineRule="auto" w:line="240"/>
        <w:ind w:firstLine="422" w:firstLineChars="200"/>
        <w:rPr>
          <w:b/>
          <w:bCs/>
        </w:rPr>
      </w:pPr>
      <w:r>
        <w:rPr>
          <w:b/>
          <w:bCs/>
        </w:rPr>
        <w:t>3．依申请公开的程序：申请、受理、审核、答复。</w:t>
      </w:r>
    </w:p>
    <w:p w14:paraId="3E0D345D">
      <w:pPr>
        <w:pStyle w:val="style0"/>
        <w:snapToGrid w:val="false"/>
        <w:spacing w:after="0" w:lineRule="auto" w:line="240"/>
        <w:ind w:firstLine="420" w:firstLineChars="200"/>
        <w:rPr>
          <w:rFonts w:cs="Arial Unicode MS"/>
          <w:color w:val="000000"/>
        </w:rPr>
      </w:pPr>
      <w:r>
        <w:rPr>
          <w:rFonts w:cs="Arial Unicode MS" w:hint="eastAsia"/>
          <w:color w:val="000000"/>
        </w:rPr>
        <w:t>(1)</w:t>
      </w:r>
      <w:r>
        <w:rPr>
          <w:rFonts w:cs="Arial Unicode MS" w:hint="eastAsia"/>
          <w:color w:val="000000"/>
        </w:rPr>
        <w:t>申请人的姓名或者名称、</w:t>
      </w:r>
      <w:r>
        <w:rPr>
          <w:rFonts w:cs="Arial Unicode MS" w:hint="eastAsia"/>
          <w:color w:val="ff0000"/>
        </w:rPr>
        <w:t>身份证明、</w:t>
      </w:r>
      <w:r>
        <w:rPr>
          <w:rFonts w:cs="Arial Unicode MS" w:hint="eastAsia"/>
          <w:color w:val="000000"/>
        </w:rPr>
        <w:t>联系方式</w:t>
      </w:r>
    </w:p>
    <w:p w14:paraId="6275D1DF">
      <w:pPr>
        <w:pStyle w:val="style0"/>
        <w:snapToGrid w:val="false"/>
        <w:spacing w:after="0" w:lineRule="auto" w:line="240"/>
        <w:ind w:firstLine="420" w:firstLineChars="200"/>
        <w:rPr>
          <w:rFonts w:cs="Arial Unicode MS"/>
          <w:color w:val="000000"/>
        </w:rPr>
      </w:pPr>
      <w:r>
        <w:rPr>
          <w:rFonts w:cs="Arial Unicode MS" w:hint="eastAsia"/>
          <w:color w:val="000000"/>
        </w:rPr>
        <w:t>（2）</w:t>
      </w:r>
      <w:r>
        <w:rPr>
          <w:rFonts w:cs="Arial Unicode MS" w:hint="eastAsia"/>
          <w:color w:val="000000"/>
        </w:rPr>
        <w:t>申请内容不明确的</w:t>
      </w:r>
      <w:bookmarkStart w:id="12" w:name="_Hlk151369634"/>
      <w:r>
        <w:rPr>
          <w:rFonts w:cs="Arial Unicode MS" w:hint="eastAsia"/>
          <w:color w:val="000000"/>
        </w:rPr>
        <w:t>行政机关应当给予指导和释明，并自收到申请之日起</w:t>
      </w:r>
      <w:r>
        <w:rPr>
          <w:rFonts w:cs="Arial Unicode MS" w:hint="eastAsia"/>
          <w:color w:val="ff0000"/>
        </w:rPr>
        <w:t>7个工作日内一次性</w:t>
      </w:r>
      <w:r>
        <w:rPr>
          <w:rFonts w:cs="Arial Unicode MS" w:hint="eastAsia"/>
          <w:color w:val="000000"/>
        </w:rPr>
        <w:t>告知申请人作出补正，说明需要补正的事项和合理的补正</w:t>
      </w:r>
      <w:r>
        <w:rPr>
          <w:rFonts w:cs="Arial Unicode MS" w:hint="eastAsia"/>
          <w:color w:val="000000"/>
        </w:rPr>
        <w:t>期限</w:t>
      </w:r>
      <w:bookmarkEnd w:id="12"/>
      <w:r>
        <w:rPr>
          <w:rFonts w:cs="Arial Unicode MS" w:hint="eastAsia"/>
          <w:color w:val="000000"/>
        </w:rPr>
        <w:t>,</w:t>
      </w:r>
      <w:r>
        <w:rPr>
          <w:rFonts w:cs="Arial Unicode MS" w:hint="eastAsia"/>
          <w:color w:val="000000"/>
        </w:rPr>
        <w:t>申请人无正当理由逾期不补正的，视为放弃申请，行政机关不再处理该申请</w:t>
      </w:r>
    </w:p>
    <w:p w14:paraId="2112A565">
      <w:pPr>
        <w:pStyle w:val="style0"/>
        <w:snapToGrid w:val="false"/>
        <w:spacing w:after="0" w:lineRule="auto" w:line="240"/>
        <w:ind w:firstLine="420" w:firstLineChars="200"/>
        <w:rPr>
          <w:rFonts w:cs="Arial Unicode MS"/>
          <w:color w:val="ff0000"/>
          <w14:ligatures xmlns:w14="http://schemas.microsoft.com/office/word/2010/wordml" w14:val="standardContextual"/>
        </w:rPr>
      </w:pPr>
      <w:r>
        <w:rPr>
          <w:rFonts w:cs="Arial Unicode MS" w:hint="eastAsia"/>
          <w:color w:val="ff0000"/>
          <w14:ligatures xmlns:w14="http://schemas.microsoft.com/office/word/2010/wordml" w14:val="standardContextual"/>
        </w:rPr>
        <w:t>（3）答复</w:t>
      </w:r>
    </w:p>
    <w:p w14:paraId="794FD614">
      <w:pPr>
        <w:pStyle w:val="style0"/>
        <w:snapToGrid w:val="false"/>
        <w:spacing w:after="0" w:lineRule="auto" w:line="240"/>
        <w:ind w:firstLine="420" w:firstLineChars="200"/>
        <w:rPr>
          <w:color w:val="ff0000"/>
          <w14:ligatures xmlns:w14="http://schemas.microsoft.com/office/word/2010/wordml" w14:val="standardContextual"/>
        </w:rPr>
      </w:pPr>
      <w:r>
        <w:rPr>
          <w:rFonts w:cs="Arial Unicode MS"/>
          <w:color w:val="ff0000"/>
          <w14:ligatures xmlns:w14="http://schemas.microsoft.com/office/word/2010/wordml" w14:val="standardContextual"/>
        </w:rPr>
        <w:t>①已经主动公开的，告知申请人获取该政府信息的方式、途径</w:t>
      </w:r>
    </w:p>
    <w:p w14:paraId="06D4BB99">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000000"/>
          <w14:ligatures xmlns:w14="http://schemas.microsoft.com/office/word/2010/wordml" w14:val="standardContextual"/>
        </w:rPr>
        <w:t>②属于公开范围的，提供该政府信息，或告知申请人获取该政府信息的方式、途径和时间</w:t>
      </w:r>
    </w:p>
    <w:p w14:paraId="2A2D99A6">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000000"/>
          <w14:ligatures xmlns:w14="http://schemas.microsoft.com/office/word/2010/wordml" w14:val="standardContextual"/>
        </w:rPr>
        <w:t>③属于不予公开范围的，告知申请人不予公开并说明理由</w:t>
      </w:r>
    </w:p>
    <w:p w14:paraId="326C5092">
      <w:pPr>
        <w:pStyle w:val="style0"/>
        <w:snapToGrid w:val="false"/>
        <w:spacing w:after="0" w:lineRule="auto" w:line="240"/>
        <w:ind w:firstLine="420" w:firstLineChars="200"/>
        <w:rPr>
          <w:rFonts w:cs="Arial Unicode MS"/>
          <w:color w:val="000000"/>
          <w14:ligatures xmlns:w14="http://schemas.microsoft.com/office/word/2010/wordml" w14:val="standardContextual"/>
        </w:rPr>
      </w:pPr>
      <w:r>
        <w:rPr>
          <w:rFonts w:cs="Arial Unicode MS"/>
          <w:color w:val="000000"/>
          <w14:ligatures xmlns:w14="http://schemas.microsoft.com/office/word/2010/wordml" w14:val="standardContextual"/>
        </w:rPr>
        <w:t>④经检索没有所申请公开信息的，告知申请人该政府信息不存在</w:t>
      </w:r>
    </w:p>
    <w:p w14:paraId="005BADA9">
      <w:pPr>
        <w:pStyle w:val="style0"/>
        <w:snapToGrid w:val="false"/>
        <w:spacing w:after="0" w:lineRule="auto" w:line="240"/>
        <w:ind w:firstLine="420" w:firstLineChars="200"/>
        <w:rPr>
          <w:color w:val="ff0000"/>
          <w14:ligatures xmlns:w14="http://schemas.microsoft.com/office/word/2010/wordml" w14:val="standardContextual"/>
        </w:rPr>
      </w:pPr>
      <w:r>
        <w:rPr>
          <w:rFonts w:cs="Arial Unicode MS"/>
          <w:color w:val="ff0000"/>
          <w14:ligatures xmlns:w14="http://schemas.microsoft.com/office/word/2010/wordml" w14:val="standardContextual"/>
        </w:rPr>
        <w:t>（被告应当举证证明自己尽到了合理的检索、查找义务）</w:t>
      </w:r>
    </w:p>
    <w:p w14:paraId="5821DDD9">
      <w:pPr>
        <w:pStyle w:val="style0"/>
        <w:snapToGrid w:val="false"/>
        <w:spacing w:after="0" w:lineRule="auto" w:line="240"/>
        <w:ind w:firstLine="420" w:firstLineChars="200"/>
        <w:rPr>
          <w:color w:val="ff0000"/>
          <w14:ligatures xmlns:w14="http://schemas.microsoft.com/office/word/2010/wordml" w14:val="standardContextual"/>
        </w:rPr>
      </w:pPr>
      <w:r>
        <w:rPr>
          <w:rFonts w:cs="Arial Unicode MS"/>
          <w:color w:val="000000"/>
          <w14:ligatures xmlns:w14="http://schemas.microsoft.com/office/word/2010/wordml" w14:val="standardContextual"/>
        </w:rPr>
        <w:t>⑤不属于本机关负责公开的，告知申请人并说明理由；</w:t>
      </w:r>
      <w:r>
        <w:rPr>
          <w:rFonts w:cs="Arial Unicode MS"/>
          <w:color w:val="ff0000"/>
          <w14:ligatures xmlns:w14="http://schemas.microsoft.com/office/word/2010/wordml" w14:val="standardContextual"/>
        </w:rPr>
        <w:t>能够确定负责公开该政府信息的行政机关的，告知申请人该行政机关的名称、联系方式</w:t>
      </w:r>
    </w:p>
    <w:p w14:paraId="195FE202">
      <w:pPr>
        <w:pStyle w:val="style0"/>
        <w:snapToGrid w:val="false"/>
        <w:spacing w:after="0" w:lineRule="auto" w:line="240"/>
        <w:ind w:firstLine="420" w:firstLineChars="200"/>
        <w:rPr>
          <w:rFonts w:cs="Arial Unicode MS" w:hint="eastAsia"/>
          <w:color w:val="000000"/>
        </w:rPr>
      </w:pPr>
      <w:r>
        <w:rPr>
          <w:rFonts w:cs="Arial Unicode MS"/>
          <w:color w:val="000000"/>
          <w14:ligatures xmlns:w14="http://schemas.microsoft.com/office/word/2010/wordml" w14:val="standardContextual"/>
        </w:rPr>
        <w:t>⑥已就申请人提出的政府信息公开申请作出答复、申请人重复申请公开相同政府信息的，告知申请人不予重复处理</w:t>
      </w:r>
    </w:p>
    <w:bookmarkStart w:id="13" w:name="_Toc236828948"/>
    <w:p w14:paraId="16400BA4">
      <w:pPr>
        <w:pStyle w:val="style0"/>
        <w:snapToGrid w:val="false"/>
        <w:spacing w:after="0" w:lineRule="auto" w:line="240"/>
        <w:ind w:firstLine="422" w:firstLineChars="200"/>
        <w:jc w:val="center"/>
        <w:rPr>
          <w:b/>
          <w:bCs/>
        </w:rPr>
      </w:pPr>
      <w:r>
        <w:rPr>
          <w:b/>
          <w:bCs/>
        </w:rPr>
        <w:t>预测考点</w:t>
      </w:r>
      <w:r>
        <w:rPr>
          <w:b/>
          <w:bCs/>
        </w:rPr>
        <w:t>10  其他行政行为</w:t>
      </w:r>
      <w:bookmarkEnd w:id="13"/>
    </w:p>
    <w:p w14:paraId="320B5A5C">
      <w:pPr>
        <w:pStyle w:val="style0"/>
        <w:snapToGrid w:val="false"/>
        <w:spacing w:after="0" w:lineRule="auto" w:line="240"/>
        <w:ind w:firstLine="420" w:firstLineChars="200"/>
        <w:rPr>
          <w:rFonts w:hint="eastAsia"/>
        </w:rPr>
      </w:pPr>
    </w:p>
    <w:p w14:paraId="1015C07A">
      <w:pPr>
        <w:pStyle w:val="style0"/>
        <w:snapToGrid w:val="false"/>
        <w:spacing w:after="0" w:lineRule="auto" w:line="240"/>
        <w:ind w:firstLine="420" w:firstLineChars="200"/>
        <w:rPr>
          <w:rFonts w:hint="eastAsia"/>
        </w:rPr>
      </w:pPr>
      <w:r>
        <w:t>1．行政征收：征税个人所得税、人防工程建设费；征收私人合法的房屋、土地等。</w:t>
      </w:r>
    </w:p>
    <w:p w14:paraId="2D85C504">
      <w:pPr>
        <w:pStyle w:val="style0"/>
        <w:snapToGrid w:val="false"/>
        <w:spacing w:after="0" w:lineRule="auto" w:line="240"/>
        <w:ind w:firstLine="408" w:firstLineChars="200"/>
        <w:rPr>
          <w:rFonts w:hint="eastAsia"/>
          <w:spacing w:val="-3"/>
        </w:rPr>
      </w:pPr>
      <w:r>
        <w:rPr>
          <w:spacing w:val="-3"/>
        </w:rPr>
        <w:t>2．</w:t>
      </w:r>
      <w:r>
        <w:rPr>
          <w:spacing w:val="-5"/>
        </w:rPr>
        <w:t>行政确认：工伤认定、出生医学证明、婚姻登记、不动产物权变动登记、学历学位证明等。</w:t>
      </w:r>
    </w:p>
    <w:p w14:paraId="7FE3E2DF">
      <w:pPr>
        <w:pStyle w:val="style0"/>
        <w:snapToGrid w:val="false"/>
        <w:spacing w:after="0" w:lineRule="auto" w:line="240"/>
        <w:ind w:firstLine="420" w:firstLineChars="200"/>
        <w:rPr>
          <w:rFonts w:hint="eastAsia"/>
        </w:rPr>
      </w:pPr>
      <w:r>
        <w:t>3．行政给付：抚恤金、低保金、工伤医疗保险金等。</w:t>
      </w:r>
    </w:p>
    <w:p w14:paraId="64837C98">
      <w:pPr>
        <w:pStyle w:val="style0"/>
        <w:snapToGrid w:val="false"/>
        <w:spacing w:after="0" w:lineRule="auto" w:line="240"/>
        <w:ind w:firstLine="420" w:firstLineChars="200"/>
        <w:rPr>
          <w:rFonts w:hint="eastAsia"/>
        </w:rPr>
      </w:pPr>
      <w:r>
        <w:t>4．行政裁决：土地权属争议裁决、企业名称争议裁决等。</w:t>
      </w:r>
    </w:p>
    <w:p w14:paraId="234FCF87">
      <w:pPr>
        <w:pStyle w:val="style0"/>
        <w:snapToGrid w:val="false"/>
        <w:spacing w:after="0" w:lineRule="auto" w:line="240"/>
        <w:ind w:firstLine="420" w:firstLineChars="200"/>
        <w:rPr>
          <w:rFonts w:hint="eastAsia"/>
        </w:rPr>
      </w:pPr>
      <w:r>
        <w:t>5．行政命令：责令改正违法行为、责令支付拖欠农民工工资等。</w:t>
      </w:r>
    </w:p>
    <w:bookmarkStart w:id="14" w:name="_Toc236828949"/>
    <w:p w14:paraId="33632EAF">
      <w:pPr>
        <w:pStyle w:val="style0"/>
        <w:snapToGrid w:val="false"/>
        <w:spacing w:after="0" w:lineRule="auto" w:line="240"/>
        <w:ind w:firstLine="420" w:firstLineChars="200"/>
        <w:rPr/>
      </w:pPr>
    </w:p>
    <w:p w14:paraId="7BDC01A3">
      <w:pPr>
        <w:pStyle w:val="style0"/>
        <w:snapToGrid w:val="false"/>
        <w:spacing w:after="0" w:lineRule="auto" w:line="240"/>
        <w:ind w:firstLine="422" w:firstLineChars="200"/>
        <w:jc w:val="center"/>
        <w:rPr>
          <w:rFonts w:hint="eastAsia"/>
          <w:b/>
          <w:bCs/>
        </w:rPr>
      </w:pPr>
      <w:r>
        <w:rPr>
          <w:b/>
          <w:bCs/>
        </w:rPr>
        <w:t>预测考点</w:t>
      </w:r>
      <w:r>
        <w:rPr>
          <w:b/>
          <w:bCs/>
        </w:rPr>
        <w:t>11  行政诉讼的受案范围</w:t>
      </w:r>
      <w:bookmarkEnd w:id="14"/>
    </w:p>
    <w:p w14:paraId="7B8DA7BE">
      <w:pPr>
        <w:pStyle w:val="style0"/>
        <w:snapToGrid w:val="false"/>
        <w:spacing w:after="0" w:lineRule="auto" w:line="240"/>
        <w:ind w:firstLine="422" w:firstLineChars="200"/>
        <w:rPr>
          <w:rFonts w:hint="eastAsia"/>
        </w:rPr>
      </w:pPr>
      <w:r>
        <w:rPr>
          <w:b/>
          <w:bCs/>
        </w:rPr>
        <w:t>1．不可诉的行为：</w:t>
      </w:r>
      <w:r>
        <w:t>过程性行为、协助法院执行行为、公务员履行公务过程中殴打相对人的行为、行政指导等。</w:t>
      </w:r>
    </w:p>
    <w:p w14:paraId="04691851">
      <w:pPr>
        <w:pStyle w:val="style0"/>
        <w:snapToGrid w:val="false"/>
        <w:spacing w:after="0" w:lineRule="auto" w:line="240"/>
        <w:ind w:firstLine="422" w:firstLineChars="200"/>
        <w:rPr/>
      </w:pPr>
      <w:r>
        <w:rPr>
          <w:b/>
          <w:bCs/>
        </w:rPr>
        <w:t>2．行政协议：</w:t>
      </w:r>
      <w:r>
        <w:t>概念判断、肯定列举、当事人、管辖法院、起诉期限、法律适用、举证责任和判决方式。</w:t>
      </w:r>
    </w:p>
    <w:p w14:paraId="5D1ADFA3">
      <w:pPr>
        <w:pStyle w:val="style0"/>
        <w:snapToGrid w:val="false"/>
        <w:spacing w:after="0" w:lineRule="auto" w:line="240"/>
        <w:ind w:firstLine="420" w:firstLineChars="200"/>
        <w:rPr>
          <w:color w:val="auto"/>
        </w:rPr>
      </w:pPr>
      <w:r>
        <w:rPr>
          <w:rFonts w:hint="eastAsia"/>
          <w:color w:val="auto"/>
        </w:rPr>
        <w:t>（1）</w:t>
      </w:r>
      <w:r>
        <w:rPr>
          <w:color w:val="auto"/>
        </w:rPr>
        <w:t>识别标准：一方为行政机关、目的为公共利益、内容含行政法权利义务、双方协商一致。</w:t>
      </w:r>
    </w:p>
    <w:p w14:paraId="6B024688">
      <w:pPr>
        <w:pStyle w:val="style0"/>
        <w:snapToGrid w:val="false"/>
        <w:spacing w:after="0" w:lineRule="auto" w:line="240"/>
        <w:ind w:firstLine="420" w:firstLineChars="200"/>
        <w:rPr>
          <w:color w:val="auto"/>
        </w:rPr>
      </w:pPr>
      <w:r>
        <w:rPr>
          <w:rFonts w:hint="eastAsia"/>
          <w:color w:val="auto"/>
        </w:rPr>
        <w:t>（2）</w:t>
      </w:r>
      <w:r>
        <w:rPr>
          <w:color w:val="auto"/>
        </w:rPr>
        <w:t>类型：特许经营、征收补偿、自然资源出让、保障性住房；排除内部公务协议、劳动人事协议。</w:t>
      </w:r>
    </w:p>
    <w:p w14:paraId="5158B2D6">
      <w:pPr>
        <w:pStyle w:val="style0"/>
        <w:snapToGrid w:val="false"/>
        <w:spacing w:after="0" w:lineRule="auto" w:line="240"/>
        <w:ind w:firstLine="420" w:firstLineChars="200"/>
        <w:rPr>
          <w:color w:val="ee0000"/>
        </w:rPr>
      </w:pPr>
      <w:r>
        <w:rPr>
          <w:rFonts w:hint="eastAsia"/>
          <w:color w:val="auto"/>
        </w:rPr>
        <w:t>（3）</w:t>
      </w:r>
      <w:r>
        <w:rPr>
          <w:color w:val="auto"/>
        </w:rPr>
        <w:t>特殊规则：</w:t>
      </w:r>
      <w:r>
        <w:rPr>
          <w:color w:val="ee0000"/>
        </w:rPr>
        <w:t>行政机关不得反诉；不可仲裁；可调解；行政机关享有单方变更解除权造成损失承担补偿责任。</w:t>
      </w:r>
    </w:p>
    <w:p w14:paraId="52D19714">
      <w:pPr>
        <w:pStyle w:val="style0"/>
        <w:snapToGrid w:val="false"/>
        <w:spacing w:after="0" w:lineRule="auto" w:line="240"/>
        <w:ind w:firstLine="420" w:firstLineChars="200"/>
        <w:rPr>
          <w:color w:val="auto"/>
        </w:rPr>
      </w:pPr>
      <w:r>
        <w:rPr>
          <w:rFonts w:hint="eastAsia"/>
          <w:color w:val="auto"/>
        </w:rPr>
        <w:t>（4）</w:t>
      </w:r>
      <w:r>
        <w:rPr>
          <w:color w:val="auto"/>
        </w:rPr>
        <w:t>起诉期限：诉单方变更解除的适用行政起诉期限；诉违约、撤销的参照民事诉讼时效；诉无效不受期限限制。</w:t>
      </w:r>
    </w:p>
    <w:p w14:paraId="4D9DC437">
      <w:pPr>
        <w:pStyle w:val="style0"/>
        <w:snapToGrid w:val="false"/>
        <w:spacing w:after="0" w:lineRule="auto" w:line="240"/>
        <w:ind w:firstLine="420" w:firstLineChars="200"/>
        <w:rPr>
          <w:color w:val="auto"/>
        </w:rPr>
      </w:pPr>
      <w:r>
        <w:rPr>
          <w:rFonts w:hint="eastAsia"/>
          <w:color w:val="auto"/>
        </w:rPr>
        <w:t>（5）</w:t>
      </w:r>
      <w:r>
        <w:rPr>
          <w:color w:val="auto"/>
        </w:rPr>
        <w:t>审查：合法性审查+合约性审查双重标准。</w:t>
      </w:r>
    </w:p>
    <w:p w14:paraId="12E1021D">
      <w:pPr>
        <w:pStyle w:val="style0"/>
        <w:snapToGrid w:val="false"/>
        <w:spacing w:after="0" w:lineRule="auto" w:line="240"/>
        <w:ind w:firstLine="420" w:firstLineChars="200"/>
        <w:rPr>
          <w:rFonts w:hint="eastAsia"/>
          <w:color w:val="auto"/>
        </w:rPr>
      </w:pPr>
      <w:r>
        <w:rPr>
          <w:rFonts w:hint="eastAsia"/>
          <w:color w:val="auto"/>
        </w:rPr>
        <w:t>（6）</w:t>
      </w:r>
      <w:r>
        <w:rPr>
          <w:color w:val="auto"/>
        </w:rPr>
        <w:t>判决：违约的判决继续履行、补救、赔偿；单方变更解除合法的补偿、违法的赔偿；协议无效/撤销的返还财产、折价补偿、赔偿损失。</w:t>
      </w:r>
    </w:p>
    <w:p w14:paraId="4ED68B4E">
      <w:pPr>
        <w:pStyle w:val="style0"/>
        <w:snapToGrid w:val="false"/>
        <w:spacing w:after="0" w:lineRule="auto" w:line="240"/>
        <w:ind w:firstLine="422" w:firstLineChars="200"/>
        <w:rPr>
          <w:spacing w:val="-2"/>
        </w:rPr>
      </w:pPr>
      <w:r>
        <w:rPr>
          <w:b/>
          <w:bCs/>
        </w:rPr>
        <w:t>3．规章以下的行政规范性文件的附带审查：</w:t>
      </w:r>
      <w:r>
        <w:rPr>
          <w:spacing w:val="-2"/>
        </w:rPr>
        <w:t>规章和红头文件的识别、附带审查的构成要件、审查程序、违法红头文件的处理。</w:t>
      </w:r>
    </w:p>
    <w:p w14:paraId="1C33BFAE">
      <w:pPr>
        <w:pStyle w:val="style0"/>
        <w:snapToGrid w:val="false"/>
        <w:spacing w:after="0" w:lineRule="auto" w:line="240"/>
        <w:ind w:firstLine="412" w:firstLineChars="200"/>
        <w:rPr>
          <w:rFonts w:hint="eastAsia"/>
          <w:color w:val="4472c4"/>
        </w:rPr>
      </w:pPr>
      <w:r>
        <w:rPr>
          <w:rFonts w:hint="eastAsia"/>
          <w:spacing w:val="-2"/>
        </w:rPr>
        <w:t>(1)</w:t>
      </w:r>
      <w:r>
        <w:rPr>
          <w:rFonts w:hint="eastAsia"/>
          <w:color w:val="4472c4"/>
        </w:rPr>
        <w:t xml:space="preserve"> </w:t>
      </w:r>
      <w:r>
        <w:rPr>
          <w:spacing w:val="-2"/>
        </w:rPr>
        <w:t>规章和红头文件的识别</w:t>
      </w:r>
      <w:r>
        <w:rPr>
          <w:rFonts w:hint="eastAsia"/>
          <w:color w:val="4472c4"/>
        </w:rPr>
        <w:t>：</w:t>
      </w:r>
      <w:r>
        <w:rPr>
          <w:rFonts w:hint="eastAsia"/>
          <w:color w:val="000000"/>
        </w:rPr>
        <w:t>规章的名称一般为“规定”或“办法”，而红头文件的名字则较为</w:t>
      </w:r>
      <w:r>
        <w:rPr>
          <w:rFonts w:hint="eastAsia"/>
          <w:color w:val="000000"/>
        </w:rPr>
        <w:t>多元</w:t>
      </w:r>
      <w:r>
        <w:rPr>
          <w:rFonts w:hint="eastAsia"/>
          <w:color w:val="000000"/>
        </w:rPr>
        <w:t>;</w:t>
      </w:r>
      <w:r>
        <w:rPr>
          <w:rFonts w:hint="eastAsia"/>
          <w:color w:val="000000"/>
        </w:rPr>
        <w:t xml:space="preserve"> </w:t>
      </w:r>
      <w:r>
        <w:rPr>
          <w:rFonts w:hint="eastAsia"/>
          <w:color w:val="000000"/>
        </w:rPr>
        <w:t>地方政府规章的制定主体要么是省级政府，要么是设区的市政府；而地方政府的工作部门不能制定规章，其只能制定</w:t>
      </w:r>
      <w:r>
        <w:rPr>
          <w:rFonts w:hint="eastAsia"/>
          <w:color w:val="000000"/>
        </w:rPr>
        <w:t>红头文件</w:t>
      </w:r>
      <w:r>
        <w:rPr>
          <w:rFonts w:hint="eastAsia"/>
          <w:color w:val="000000"/>
        </w:rPr>
        <w:t>.</w:t>
      </w:r>
    </w:p>
    <w:p w14:paraId="620BF39D">
      <w:pPr>
        <w:pStyle w:val="style0"/>
        <w:snapToGrid w:val="false"/>
        <w:spacing w:after="0" w:lineRule="auto" w:line="240"/>
        <w:ind w:firstLine="412" w:firstLineChars="200"/>
        <w:rPr>
          <w:rFonts w:hint="eastAsia"/>
          <w:color w:val="000000"/>
        </w:rPr>
      </w:pPr>
      <w:r>
        <w:rPr>
          <w:rFonts w:hint="eastAsia"/>
          <w:spacing w:val="-2"/>
        </w:rPr>
        <w:t>(2)</w:t>
      </w:r>
      <w:r>
        <w:rPr>
          <w:spacing w:val="-2"/>
        </w:rPr>
        <w:t xml:space="preserve"> </w:t>
      </w:r>
      <w:r>
        <w:rPr>
          <w:spacing w:val="-2"/>
        </w:rPr>
        <w:t>附带审查的构成</w:t>
      </w:r>
      <w:r>
        <w:rPr>
          <w:spacing w:val="-2"/>
        </w:rPr>
        <w:t>要件</w:t>
      </w:r>
      <w:r>
        <w:rPr>
          <w:rFonts w:hint="eastAsia"/>
          <w:spacing w:val="-2"/>
        </w:rPr>
        <w:t>:</w:t>
      </w:r>
      <w:r>
        <w:rPr>
          <w:rFonts w:cs="Arial Unicode MS" w:hint="eastAsia"/>
          <w:color w:val="ff0000"/>
        </w:rPr>
        <w:t xml:space="preserve"> </w:t>
      </w:r>
      <w:r>
        <w:rPr>
          <w:rFonts w:cs="Arial Unicode MS" w:hint="eastAsia"/>
          <w:color w:val="ff0000"/>
        </w:rPr>
        <w:t>作为行政行为依据</w:t>
      </w:r>
      <w:r>
        <w:rPr>
          <w:rFonts w:cs="Arial Unicode MS" w:hint="eastAsia"/>
          <w:color w:val="000000"/>
        </w:rPr>
        <w:t>的规章（不含）以下的行政规范性文件（</w:t>
      </w:r>
      <w:r>
        <w:rPr>
          <w:rFonts w:cs="Arial Unicode MS" w:hint="eastAsia"/>
          <w:color w:val="000000"/>
        </w:rPr>
        <w:t>红头文件）</w:t>
      </w:r>
      <w:r>
        <w:rPr>
          <w:rFonts w:cs="Arial Unicode MS" w:hint="eastAsia"/>
          <w:color w:val="000000"/>
        </w:rPr>
        <w:t>,</w:t>
      </w:r>
      <w:r>
        <w:rPr>
          <w:rFonts w:cs="Arial Unicode MS" w:hint="eastAsia"/>
          <w:color w:val="ff0000"/>
        </w:rPr>
        <w:t xml:space="preserve"> </w:t>
      </w:r>
      <w:r>
        <w:rPr>
          <w:rFonts w:cs="Arial Unicode MS" w:hint="eastAsia"/>
          <w:color w:val="ff0000"/>
        </w:rPr>
        <w:t>附带</w:t>
      </w:r>
      <w:r>
        <w:rPr>
          <w:rFonts w:cs="Arial Unicode MS" w:hint="eastAsia"/>
          <w:color w:val="000000"/>
        </w:rPr>
        <w:t>提起审查，不得单独</w:t>
      </w:r>
      <w:r>
        <w:rPr>
          <w:rFonts w:cs="Arial Unicode MS" w:hint="eastAsia"/>
          <w:color w:val="000000"/>
        </w:rPr>
        <w:t>起诉</w:t>
      </w:r>
      <w:r>
        <w:rPr>
          <w:rFonts w:cs="Arial Unicode MS" w:hint="eastAsia"/>
          <w:color w:val="000000"/>
        </w:rPr>
        <w:t>,</w:t>
      </w:r>
      <w:r>
        <w:rPr>
          <w:rFonts w:cs="Arial Unicode MS" w:hint="eastAsia"/>
          <w:color w:val="000000"/>
        </w:rPr>
        <w:t xml:space="preserve"> </w:t>
      </w:r>
      <w:r>
        <w:rPr>
          <w:rFonts w:cs="Arial Unicode MS" w:hint="eastAsia"/>
          <w:color w:val="000000"/>
        </w:rPr>
        <w:t>应当是一审开庭审理前提出；有正当理由的，在法庭调查中提出</w:t>
      </w:r>
    </w:p>
    <w:p w14:paraId="546E71DC">
      <w:pPr>
        <w:pStyle w:val="style0"/>
        <w:snapToGrid w:val="false"/>
        <w:spacing w:after="0" w:lineRule="auto" w:line="240"/>
        <w:ind w:firstLine="412" w:firstLineChars="200"/>
        <w:rPr>
          <w:rFonts w:cs="Arial Unicode MS"/>
          <w:color w:val="000000"/>
        </w:rPr>
      </w:pPr>
      <w:r>
        <w:rPr>
          <w:rFonts w:hint="eastAsia"/>
          <w:spacing w:val="-2"/>
        </w:rPr>
        <w:t>(3)</w:t>
      </w:r>
      <w:r>
        <w:rPr>
          <w:spacing w:val="-2"/>
        </w:rPr>
        <w:t xml:space="preserve"> </w:t>
      </w:r>
      <w:r>
        <w:rPr>
          <w:spacing w:val="-2"/>
        </w:rPr>
        <w:t>审查</w:t>
      </w:r>
      <w:r>
        <w:rPr>
          <w:spacing w:val="-2"/>
        </w:rPr>
        <w:t>程序</w:t>
      </w:r>
      <w:r>
        <w:rPr>
          <w:rFonts w:hint="eastAsia"/>
          <w:spacing w:val="-2"/>
        </w:rPr>
        <w:t>:</w:t>
      </w:r>
      <w:r>
        <w:rPr>
          <w:rFonts w:cs="Arial Unicode MS" w:hint="eastAsia"/>
          <w:color w:val="000000"/>
        </w:rPr>
        <w:t xml:space="preserve"> </w:t>
      </w:r>
      <w:r>
        <w:rPr>
          <w:rFonts w:cs="Arial Unicode MS" w:hint="eastAsia"/>
          <w:color w:val="000000"/>
        </w:rPr>
        <w:t>审查中发现规范性文件可能不合法的，法院</w:t>
      </w:r>
      <w:r>
        <w:rPr>
          <w:rFonts w:cs="Arial Unicode MS" w:hint="eastAsia"/>
          <w:color w:val="ff0000"/>
        </w:rPr>
        <w:t>应当听取</w:t>
      </w:r>
      <w:r>
        <w:rPr>
          <w:rFonts w:cs="Arial Unicode MS" w:hint="eastAsia"/>
          <w:color w:val="000000"/>
        </w:rPr>
        <w:t>规范性文件制定机关的意见</w:t>
      </w:r>
    </w:p>
    <w:p w14:paraId="5A237BA8">
      <w:pPr>
        <w:pStyle w:val="style0"/>
        <w:snapToGrid w:val="false"/>
        <w:spacing w:after="0" w:lineRule="auto" w:line="240"/>
        <w:ind w:firstLine="420" w:firstLineChars="200"/>
        <w:rPr>
          <w:rFonts w:hint="eastAsia"/>
          <w:color w:val="ff0000"/>
        </w:rPr>
      </w:pPr>
      <w:r>
        <w:rPr>
          <w:rFonts w:cs="Arial Unicode MS" w:hint="eastAsia"/>
          <w:color w:val="000000"/>
        </w:rPr>
        <w:t>(4)</w:t>
      </w:r>
      <w:r>
        <w:rPr>
          <w:spacing w:val="-2"/>
        </w:rPr>
        <w:t xml:space="preserve"> </w:t>
      </w:r>
      <w:r>
        <w:rPr>
          <w:spacing w:val="-2"/>
        </w:rPr>
        <w:t>违法红头文件的</w:t>
      </w:r>
      <w:r>
        <w:rPr>
          <w:spacing w:val="-2"/>
        </w:rPr>
        <w:t>处理</w:t>
      </w:r>
      <w:r>
        <w:rPr>
          <w:rFonts w:hint="eastAsia"/>
          <w:spacing w:val="-2"/>
        </w:rPr>
        <w:t>:</w:t>
      </w:r>
      <w:r>
        <w:rPr>
          <w:rFonts w:cs="Arial Unicode MS" w:hint="eastAsia"/>
          <w:color w:val="ff0000"/>
        </w:rPr>
        <w:t xml:space="preserve"> </w:t>
      </w:r>
      <w:r>
        <w:rPr>
          <w:rFonts w:cs="Arial Unicode MS" w:hint="eastAsia"/>
          <w:color w:val="ff0000"/>
        </w:rPr>
        <w:t>作出生效裁判的法院在裁判生效之日起3个月内应当向规范性文件的制定机关提出处理建议</w:t>
      </w:r>
      <w:r>
        <w:rPr>
          <w:rFonts w:cs="Arial Unicode MS" w:hint="eastAsia"/>
          <w:color w:val="000000"/>
        </w:rPr>
        <w:t>，并可以抄送制定机关的</w:t>
      </w:r>
      <w:r>
        <w:rPr>
          <w:rFonts w:cs="Arial Unicode MS" w:hint="eastAsia"/>
          <w:color w:val="ff0000"/>
        </w:rPr>
        <w:t>同级人民政府、上一级行政机关</w:t>
      </w:r>
      <w:r>
        <w:rPr>
          <w:rFonts w:cs="Arial Unicode MS" w:hint="eastAsia"/>
          <w:color w:val="4472c4"/>
        </w:rPr>
        <w:t>（不是上级从政机关）</w:t>
      </w:r>
      <w:r>
        <w:rPr>
          <w:rFonts w:cs="Arial Unicode MS" w:hint="eastAsia"/>
          <w:color w:val="ff0000"/>
        </w:rPr>
        <w:t>、监察机关、规范性文件的备案机关</w:t>
      </w:r>
    </w:p>
    <w:p w14:paraId="06C66561">
      <w:pPr>
        <w:pStyle w:val="style0"/>
        <w:snapToGrid w:val="false"/>
        <w:spacing w:after="0" w:lineRule="auto" w:line="240"/>
        <w:rPr>
          <w:rFonts w:hint="eastAsia"/>
          <w:spacing w:val="-2"/>
        </w:rPr>
      </w:pPr>
    </w:p>
    <w:bookmarkStart w:id="15" w:name="_Toc236828950"/>
    <w:p w14:paraId="55792CF0">
      <w:pPr>
        <w:pStyle w:val="style0"/>
        <w:snapToGrid w:val="false"/>
        <w:spacing w:after="0" w:lineRule="auto" w:line="240"/>
        <w:ind w:firstLine="422" w:firstLineChars="200"/>
        <w:jc w:val="center"/>
        <w:rPr>
          <w:rFonts w:hint="eastAsia"/>
          <w:b/>
          <w:bCs/>
        </w:rPr>
      </w:pPr>
      <w:r>
        <w:rPr>
          <w:b/>
          <w:bCs/>
          <w:color w:val="auto"/>
        </w:rPr>
        <w:t>预测考点</w:t>
      </w:r>
      <w:r>
        <w:rPr>
          <w:b/>
          <w:bCs/>
          <w:color w:val="auto"/>
        </w:rPr>
        <w:t>12  行政诉讼的当事人</w:t>
      </w:r>
      <w:bookmarkEnd w:id="15"/>
    </w:p>
    <w:p w14:paraId="2E404BA8">
      <w:pPr>
        <w:pStyle w:val="style0"/>
        <w:snapToGrid w:val="false"/>
        <w:spacing w:after="0" w:lineRule="auto" w:line="240"/>
        <w:ind w:firstLine="420" w:firstLineChars="200"/>
        <w:rPr>
          <w:rFonts w:hint="eastAsia"/>
        </w:rPr>
      </w:pPr>
      <w:r>
        <w:t>1．申请复议后起诉案件被告的确定：复议维持共同告、复议改变单独告、复议不作为选择告。</w:t>
      </w:r>
    </w:p>
    <w:p w14:paraId="73A32ECA">
      <w:pPr>
        <w:pStyle w:val="style0"/>
        <w:snapToGrid w:val="false"/>
        <w:spacing w:after="0" w:lineRule="auto" w:line="240"/>
        <w:ind w:firstLine="420" w:firstLineChars="200"/>
        <w:rPr>
          <w:rFonts w:hint="eastAsia"/>
        </w:rPr>
      </w:pPr>
      <w:r>
        <w:t>2．临时机构、新组建机构案件被告的确定：一般以设立临时机构/新组建机构的行政机关为被告。</w:t>
      </w:r>
    </w:p>
    <w:p w14:paraId="5646F584">
      <w:pPr>
        <w:pStyle w:val="style0"/>
        <w:snapToGrid w:val="false"/>
        <w:spacing w:after="0" w:lineRule="auto" w:line="240"/>
        <w:ind w:firstLine="420" w:firstLineChars="200"/>
        <w:rPr>
          <w:rFonts w:hint="eastAsia"/>
        </w:rPr>
      </w:pPr>
      <w:r>
        <w:t>3．委托实施行政行为案件被告的确定：谁委托，谁被告。</w:t>
      </w:r>
    </w:p>
    <w:p w14:paraId="7B45A5C9">
      <w:pPr>
        <w:pStyle w:val="style0"/>
        <w:snapToGrid w:val="false"/>
        <w:spacing w:after="0" w:lineRule="auto" w:line="240"/>
        <w:ind w:firstLine="420" w:firstLineChars="200"/>
        <w:rPr>
          <w:rFonts w:hint="eastAsia"/>
        </w:rPr>
      </w:pPr>
      <w:r>
        <w:t>4．行政强制拆除案件被告的确定：有文书，告文书；没文书，告行为；既无文书，又无人认领的，告房屋征收部门。</w:t>
      </w:r>
    </w:p>
    <w:p w14:paraId="39F6123F">
      <w:pPr>
        <w:pStyle w:val="style0"/>
        <w:snapToGrid w:val="false"/>
        <w:spacing w:after="0" w:lineRule="auto" w:line="240"/>
        <w:ind w:firstLine="420" w:firstLineChars="200"/>
        <w:rPr/>
      </w:pPr>
      <w:r>
        <w:t>5．政府信息公开案件被告的确定：县政府指定县政府办公室作为政府信息公开机构的，县政府办公室以自己名义作出答复的，县政府办公室是被告。</w:t>
      </w:r>
    </w:p>
    <w:p w14:paraId="77912C84">
      <w:pPr>
        <w:pStyle w:val="style0"/>
        <w:snapToGrid w:val="false"/>
        <w:spacing w:after="0" w:lineRule="auto" w:line="240"/>
        <w:ind w:firstLine="420" w:firstLineChars="200"/>
        <w:rPr>
          <w:rFonts w:hint="eastAsia"/>
        </w:rPr>
      </w:pPr>
    </w:p>
    <w:bookmarkStart w:id="16" w:name="_Toc236828951"/>
    <w:p w14:paraId="27A2B7CC">
      <w:pPr>
        <w:pStyle w:val="style0"/>
        <w:snapToGrid w:val="false"/>
        <w:spacing w:after="0" w:lineRule="auto" w:line="240"/>
        <w:ind w:firstLine="422" w:firstLineChars="200"/>
        <w:jc w:val="center"/>
        <w:rPr>
          <w:b/>
          <w:bCs/>
        </w:rPr>
      </w:pPr>
      <w:r>
        <w:rPr>
          <w:b/>
          <w:bCs/>
        </w:rPr>
        <w:t>预测考点</w:t>
      </w:r>
      <w:r>
        <w:rPr>
          <w:b/>
          <w:bCs/>
        </w:rPr>
        <w:t>13  行政诉讼的管辖法院</w:t>
      </w:r>
      <w:bookmarkEnd w:id="16"/>
    </w:p>
    <w:p w14:paraId="3614A500">
      <w:pPr>
        <w:pStyle w:val="style0"/>
        <w:snapToGrid w:val="false"/>
        <w:spacing w:after="0" w:lineRule="auto" w:line="240"/>
        <w:ind w:firstLine="420" w:firstLineChars="200"/>
        <w:rPr>
          <w:rFonts w:hint="eastAsia"/>
        </w:rPr>
      </w:pPr>
      <w:r>
        <w:t>1．中级人民法院管辖第一审案件的范围：被告身份高级</w:t>
      </w:r>
      <w:r>
        <w:rPr>
          <w:rFonts w:hint="eastAsia"/>
        </w:rPr>
        <w:t>(</w:t>
      </w:r>
      <w:r>
        <w:rPr>
          <w:rFonts w:hint="eastAsia"/>
        </w:rPr>
        <w:t>国务院部门或者县级以上地方人民政府</w:t>
      </w:r>
      <w:r>
        <w:rPr>
          <w:rFonts w:hint="eastAsia"/>
        </w:rPr>
        <w:t>)</w:t>
      </w:r>
      <w:r>
        <w:t>、案件专业</w:t>
      </w:r>
      <w:r>
        <w:rPr>
          <w:rFonts w:hint="eastAsia"/>
        </w:rPr>
        <w:t>（</w:t>
      </w:r>
      <w:r>
        <w:rPr>
          <w:rFonts w:hint="eastAsia"/>
        </w:rPr>
        <w:t>海关处理的案件</w:t>
      </w:r>
      <w:r>
        <w:rPr>
          <w:rFonts w:hint="eastAsia"/>
        </w:rPr>
        <w:t>）</w:t>
      </w:r>
      <w:r>
        <w:t>、人数众多、涉外案件。</w:t>
      </w:r>
    </w:p>
    <w:p w14:paraId="0CBB914E">
      <w:pPr>
        <w:pStyle w:val="style0"/>
        <w:snapToGrid w:val="false"/>
        <w:spacing w:after="0" w:lineRule="auto" w:line="240"/>
        <w:ind w:firstLine="420" w:firstLineChars="200"/>
        <w:rPr/>
      </w:pPr>
      <w:r>
        <w:t>2．经过复议案件的地域管辖：原机关和复议机关所在地法院均可以管辖。</w:t>
      </w:r>
    </w:p>
    <w:p w14:paraId="2CEA292A">
      <w:pPr>
        <w:pStyle w:val="style0"/>
        <w:snapToGrid w:val="false"/>
        <w:spacing w:after="0" w:lineRule="auto" w:line="240"/>
        <w:ind w:firstLine="420" w:firstLineChars="200"/>
        <w:rPr>
          <w:rFonts w:hint="eastAsia"/>
        </w:rPr>
      </w:pPr>
    </w:p>
    <w:bookmarkStart w:id="17" w:name="_Toc236828952"/>
    <w:p w14:paraId="47848E2B">
      <w:pPr>
        <w:pStyle w:val="style0"/>
        <w:snapToGrid w:val="false"/>
        <w:spacing w:after="0" w:lineRule="auto" w:line="240"/>
        <w:ind w:firstLine="422" w:firstLineChars="200"/>
        <w:jc w:val="center"/>
        <w:rPr>
          <w:b/>
          <w:bCs/>
        </w:rPr>
      </w:pPr>
      <w:r>
        <w:rPr>
          <w:b/>
          <w:bCs/>
        </w:rPr>
        <w:t>预测考点</w:t>
      </w:r>
      <w:r>
        <w:rPr>
          <w:b/>
          <w:bCs/>
        </w:rPr>
        <w:t>14  行政诉讼的程序</w:t>
      </w:r>
      <w:bookmarkEnd w:id="17"/>
    </w:p>
    <w:p w14:paraId="434EF3D1">
      <w:pPr>
        <w:pStyle w:val="style0"/>
        <w:snapToGrid w:val="false"/>
        <w:spacing w:after="0" w:lineRule="auto" w:line="240"/>
        <w:ind w:firstLine="420" w:firstLineChars="200"/>
        <w:rPr>
          <w:rFonts w:hint="eastAsia"/>
        </w:rPr>
      </w:pPr>
    </w:p>
    <w:p w14:paraId="3148E473">
      <w:pPr>
        <w:pStyle w:val="style0"/>
        <w:snapToGrid w:val="false"/>
        <w:spacing w:after="0" w:lineRule="auto" w:line="240"/>
        <w:ind w:firstLine="422" w:firstLineChars="200"/>
        <w:rPr>
          <w:b/>
          <w:bCs/>
        </w:rPr>
      </w:pPr>
      <w:r>
        <w:rPr>
          <w:b/>
          <w:bCs/>
        </w:rPr>
        <w:t>1．行政诉讼的起诉期限：一般案件的起诉期限、行政协议案件的起诉期限、经过复议案件的起诉期限、无效行政行为的起诉期限</w:t>
      </w:r>
      <w:r>
        <w:rPr>
          <w:rFonts w:hint="eastAsia"/>
          <w:b/>
          <w:bCs/>
        </w:rPr>
        <w:t>（随时）</w:t>
      </w:r>
      <w:r>
        <w:rPr>
          <w:b/>
          <w:bCs/>
        </w:rPr>
        <w:t>。</w:t>
      </w:r>
    </w:p>
    <w:p w14:paraId="60E12883">
      <w:pPr>
        <w:pStyle w:val="style0"/>
        <w:snapToGrid w:val="false"/>
        <w:spacing w:after="0" w:lineRule="auto" w:line="240"/>
        <w:ind w:firstLine="420" w:firstLineChars="200"/>
        <w:rPr>
          <w:color w:val="auto"/>
        </w:rPr>
      </w:pPr>
      <w:r>
        <w:rPr>
          <w:rFonts w:hint="eastAsia"/>
          <w:color w:val="auto"/>
        </w:rPr>
        <w:t>（1）</w:t>
      </w:r>
      <w:r>
        <w:rPr>
          <w:color w:val="auto"/>
        </w:rPr>
        <w:t>一般案件</w:t>
      </w:r>
    </w:p>
    <w:p w14:paraId="38DC0394">
      <w:pPr>
        <w:pStyle w:val="style0"/>
        <w:snapToGrid w:val="false"/>
        <w:spacing w:after="0" w:lineRule="auto" w:line="240"/>
        <w:ind w:firstLine="420" w:firstLineChars="200"/>
        <w:rPr>
          <w:color w:val="auto"/>
        </w:rPr>
      </w:pPr>
      <w:r>
        <w:rPr>
          <w:color w:val="auto"/>
        </w:rPr>
        <w:t>全知道（知道内容+主体）：知道之日起6个月。</w:t>
      </w:r>
    </w:p>
    <w:p w14:paraId="6B82245F">
      <w:pPr>
        <w:pStyle w:val="style0"/>
        <w:snapToGrid w:val="false"/>
        <w:spacing w:after="0" w:lineRule="auto" w:line="240"/>
        <w:ind w:firstLine="420" w:firstLineChars="200"/>
        <w:rPr>
          <w:color w:val="auto"/>
        </w:rPr>
      </w:pPr>
      <w:r>
        <w:rPr>
          <w:color w:val="auto"/>
        </w:rPr>
        <w:t>全不知：实际知道之日起6个月；行为作出起最长5年，不动产20年。</w:t>
      </w:r>
    </w:p>
    <w:p w14:paraId="7ABA4805">
      <w:pPr>
        <w:pStyle w:val="style0"/>
        <w:snapToGrid w:val="false"/>
        <w:spacing w:after="0" w:lineRule="auto" w:line="240"/>
        <w:ind w:firstLine="420" w:firstLineChars="200"/>
        <w:rPr>
          <w:color w:val="auto"/>
        </w:rPr>
      </w:pPr>
      <w:r>
        <w:rPr>
          <w:color w:val="auto"/>
        </w:rPr>
        <w:t>知一半（知内容不知诉期）：知道诉期之日起6个月；且知内容起最长1年。</w:t>
      </w:r>
    </w:p>
    <w:p w14:paraId="5769DD3A">
      <w:pPr>
        <w:pStyle w:val="style0"/>
        <w:snapToGrid w:val="false"/>
        <w:spacing w:after="0" w:lineRule="auto" w:line="240"/>
        <w:ind w:firstLine="420" w:firstLineChars="200"/>
        <w:rPr>
          <w:color w:val="auto"/>
        </w:rPr>
      </w:pPr>
      <w:r>
        <w:rPr>
          <w:rFonts w:hint="eastAsia"/>
          <w:color w:val="auto"/>
        </w:rPr>
        <w:t>（2）</w:t>
      </w:r>
      <w:r>
        <w:rPr>
          <w:color w:val="auto"/>
        </w:rPr>
        <w:t>复议后起诉：收到决定或复议期满之日起15日内；未告知诉期的，知诉期起15日，且知内容起最长1年。</w:t>
      </w:r>
    </w:p>
    <w:p w14:paraId="1358EC30">
      <w:pPr>
        <w:pStyle w:val="style0"/>
        <w:snapToGrid w:val="false"/>
        <w:spacing w:after="0" w:lineRule="auto" w:line="240"/>
        <w:ind w:firstLine="420" w:firstLineChars="200"/>
        <w:rPr>
          <w:color w:val="auto"/>
        </w:rPr>
      </w:pPr>
      <w:r>
        <w:rPr>
          <w:rFonts w:hint="eastAsia"/>
          <w:color w:val="auto"/>
        </w:rPr>
        <w:t>（3）</w:t>
      </w:r>
      <w:r>
        <w:rPr>
          <w:color w:val="auto"/>
        </w:rPr>
        <w:t>行政协议：诉单方变更解除的6个月；诉违约等参照民事时效；诉无效不受限制。</w:t>
      </w:r>
    </w:p>
    <w:p w14:paraId="5569B96A">
      <w:pPr>
        <w:pStyle w:val="style0"/>
        <w:snapToGrid w:val="false"/>
        <w:spacing w:after="0" w:lineRule="auto" w:line="240"/>
        <w:ind w:firstLine="420" w:firstLineChars="200"/>
        <w:rPr>
          <w:color w:val="auto"/>
        </w:rPr>
      </w:pPr>
      <w:r>
        <w:rPr>
          <w:rFonts w:hint="eastAsia"/>
          <w:color w:val="auto"/>
        </w:rPr>
        <w:t>（4）</w:t>
      </w:r>
      <w:r>
        <w:rPr>
          <w:color w:val="auto"/>
        </w:rPr>
        <w:t>冒名结婚登记：自知道婚姻登记之日起提起诉讼。</w:t>
      </w:r>
    </w:p>
    <w:p w14:paraId="44753E3B">
      <w:pPr>
        <w:pStyle w:val="style0"/>
        <w:snapToGrid w:val="false"/>
        <w:spacing w:after="0" w:lineRule="auto" w:line="240"/>
        <w:ind w:firstLine="420" w:firstLineChars="200"/>
        <w:rPr>
          <w:rFonts w:hint="eastAsia"/>
          <w:color w:val="auto"/>
        </w:rPr>
      </w:pPr>
      <w:r>
        <w:rPr>
          <w:rFonts w:hint="eastAsia"/>
          <w:color w:val="auto"/>
        </w:rPr>
        <w:t>（5）</w:t>
      </w:r>
      <w:r>
        <w:rPr>
          <w:color w:val="auto"/>
        </w:rPr>
        <w:t>扣除期限：不可抗力、行政机关承诺、矛盾化解、无诉讼行为能力等非自身原因耽误的时间不计入。</w:t>
      </w:r>
    </w:p>
    <w:p w14:paraId="5470E379">
      <w:pPr>
        <w:pStyle w:val="style0"/>
        <w:snapToGrid w:val="false"/>
        <w:spacing w:after="0" w:lineRule="auto" w:line="240"/>
        <w:ind w:firstLine="422" w:firstLineChars="200"/>
        <w:rPr>
          <w:b/>
          <w:bCs/>
        </w:rPr>
      </w:pPr>
      <w:r>
        <w:rPr>
          <w:b/>
          <w:bCs/>
        </w:rPr>
        <w:t>2．立案：立案登记制和立案阶段的救济。</w:t>
      </w:r>
    </w:p>
    <w:p w14:paraId="69C6DD6D">
      <w:pPr>
        <w:pStyle w:val="style0"/>
        <w:snapToGrid w:val="false"/>
        <w:spacing w:after="0" w:lineRule="auto" w:line="240"/>
        <w:ind w:firstLine="420" w:firstLineChars="200"/>
        <w:rPr>
          <w:rFonts w:cs="汉仪粗宋简" w:hint="eastAsia"/>
          <w:color w:val="000000"/>
          <w:position w:val="4"/>
          <w:lang w:val="zh-CN"/>
        </w:rPr>
      </w:pPr>
      <w:r>
        <w:rPr>
          <w:rFonts w:hint="eastAsia"/>
        </w:rPr>
        <w:t>对裁定不予立案的救济：可以向上一级法院提起</w:t>
      </w:r>
      <w:r>
        <w:rPr>
          <w:rFonts w:hint="eastAsia"/>
          <w:color w:val="ff0000"/>
        </w:rPr>
        <w:t>上诉</w:t>
      </w:r>
      <w:r>
        <w:rPr>
          <w:rFonts w:cs="汉仪粗宋简" w:hint="eastAsia"/>
          <w:color w:val="000000"/>
          <w:position w:val="4"/>
          <w:lang w:val="zh-CN"/>
        </w:rPr>
        <w:t>；</w:t>
      </w:r>
      <w:r>
        <w:rPr>
          <w:rFonts w:hint="eastAsia"/>
        </w:rPr>
        <w:t>对立案不当行为的救济：当事人可以向上级法院</w:t>
      </w:r>
      <w:r>
        <w:rPr>
          <w:rFonts w:hint="eastAsia"/>
          <w:color w:val="ff0000"/>
        </w:rPr>
        <w:t>投诉</w:t>
      </w:r>
      <w:r>
        <w:rPr>
          <w:rFonts w:cs="汉仪粗宋简" w:hint="eastAsia"/>
          <w:color w:val="000000"/>
          <w:position w:val="4"/>
          <w:lang w:val="zh-CN"/>
        </w:rPr>
        <w:t>；</w:t>
      </w:r>
      <w:r>
        <w:rPr>
          <w:rFonts w:hint="eastAsia"/>
        </w:rPr>
        <w:t>对不立不裁的救济：向上一级法院</w:t>
      </w:r>
      <w:r>
        <w:rPr>
          <w:rFonts w:hint="eastAsia"/>
          <w:color w:val="ff0000"/>
        </w:rPr>
        <w:t>起诉</w:t>
      </w:r>
    </w:p>
    <w:p w14:paraId="09D36EAE">
      <w:pPr>
        <w:pStyle w:val="style0"/>
        <w:snapToGrid w:val="false"/>
        <w:spacing w:after="0" w:lineRule="auto" w:line="240"/>
        <w:ind w:firstLine="422" w:firstLineChars="200"/>
        <w:rPr>
          <w:b/>
          <w:bCs/>
        </w:rPr>
      </w:pPr>
      <w:r>
        <w:rPr>
          <w:b/>
          <w:bCs/>
        </w:rPr>
        <w:t>3．行政诉讼的简易程序：三种法定案件和合意案件。</w:t>
      </w:r>
    </w:p>
    <w:p w14:paraId="50504224">
      <w:pPr>
        <w:pStyle w:val="style0"/>
        <w:snapToGrid w:val="false"/>
        <w:spacing w:after="0" w:lineRule="auto" w:line="240"/>
        <w:ind w:firstLine="420" w:firstLineChars="200"/>
        <w:rPr>
          <w:rFonts w:hint="eastAsia"/>
        </w:rPr>
      </w:pPr>
      <w:r>
        <w:rPr>
          <w:rFonts w:cs="Arial Unicode MS" w:hint="eastAsia"/>
        </w:rPr>
        <w:t>被诉行政行为是依法当场作出的</w:t>
      </w:r>
      <w:r>
        <w:rPr>
          <w:rFonts w:cs="Arial Unicode MS" w:hint="eastAsia"/>
        </w:rPr>
        <w:t>；</w:t>
      </w:r>
      <w:r>
        <w:rPr>
          <w:rFonts w:cs="Arial Unicode MS" w:hint="eastAsia"/>
        </w:rPr>
        <w:t>案件涉及款额2000元以下的</w:t>
      </w:r>
      <w:r>
        <w:rPr>
          <w:rFonts w:cs="Arial Unicode MS" w:hint="eastAsia"/>
        </w:rPr>
        <w:t>；</w:t>
      </w:r>
      <w:r>
        <w:rPr>
          <w:rFonts w:cs="Arial Unicode MS" w:hint="eastAsia"/>
        </w:rPr>
        <w:t>属于政府信息公开案件的</w:t>
      </w:r>
    </w:p>
    <w:p w14:paraId="0F49B4E6">
      <w:pPr>
        <w:pStyle w:val="style0"/>
        <w:snapToGrid w:val="false"/>
        <w:spacing w:after="0" w:lineRule="auto" w:line="240"/>
        <w:ind w:firstLine="422" w:firstLineChars="200"/>
        <w:rPr>
          <w:rFonts w:hint="eastAsia"/>
        </w:rPr>
      </w:pPr>
      <w:r>
        <w:rPr>
          <w:b/>
          <w:bCs/>
        </w:rPr>
        <w:t>4．行政诉讼的一审对象：</w:t>
      </w:r>
      <w:r>
        <w:t>被诉的行政行为；起诉承继性行政行为的，也要审查前置性行政行为的合法性；复议维持案件的审理对象：①被诉的原行政行为合法性；②行政复议决定合法性。</w:t>
      </w:r>
    </w:p>
    <w:p w14:paraId="19AD8B10">
      <w:pPr>
        <w:pStyle w:val="style0"/>
        <w:snapToGrid w:val="false"/>
        <w:spacing w:after="0" w:lineRule="auto" w:line="240"/>
        <w:ind w:firstLine="422" w:firstLineChars="200"/>
        <w:rPr/>
      </w:pPr>
      <w:r>
        <w:rPr>
          <w:b/>
          <w:bCs/>
        </w:rPr>
        <w:t>5．行政诉讼的再审程序：</w:t>
      </w:r>
      <w:r>
        <w:t>再审法院的确定、再审程序的启动、再审组织、再审对象。</w:t>
      </w:r>
    </w:p>
    <w:p w14:paraId="70F86702">
      <w:pPr>
        <w:pStyle w:val="style0"/>
        <w:snapToGrid w:val="false"/>
        <w:spacing w:after="0" w:lineRule="auto" w:line="240"/>
        <w:ind w:firstLine="420" w:firstLineChars="200"/>
        <w:rPr>
          <w:rFonts w:cs="Arial Unicode MS"/>
          <w:color w:val="ff0000"/>
        </w:rPr>
      </w:pPr>
      <w:r>
        <w:rPr>
          <w:rFonts w:hint="eastAsia"/>
        </w:rPr>
        <w:t>（1）启动：</w:t>
      </w:r>
      <w:bookmarkStart w:id="18" w:name="_Hlk175160690"/>
      <w:r>
        <w:t>当事人向上一级法院申请再审</w:t>
      </w:r>
      <w:r>
        <w:rPr>
          <w:rFonts w:hint="eastAsia"/>
        </w:rPr>
        <w:t>。</w:t>
      </w:r>
      <w:r>
        <w:rPr>
          <w:rFonts w:cs="Arial Unicode MS" w:hint="eastAsia"/>
        </w:rPr>
        <w:t>各级人民法院院长认为需要再审的，应当提交审判委员会讨论决定</w:t>
      </w:r>
      <w:r>
        <w:rPr>
          <w:rFonts w:cs="Arial Unicode MS" w:hint="eastAsia"/>
        </w:rPr>
        <w:t>，</w:t>
      </w:r>
      <w:r>
        <w:rPr>
          <w:rFonts w:cs="Arial Unicode MS" w:hint="eastAsia"/>
        </w:rPr>
        <w:t>最高人民法院、上级人民法院认为需要再审的，有权提审或者指令下级人民法院再审</w:t>
      </w:r>
      <w:r>
        <w:rPr>
          <w:rFonts w:cs="Arial Unicode MS" w:hint="eastAsia"/>
        </w:rPr>
        <w:t>。</w:t>
      </w:r>
      <w:bookmarkStart w:id="19" w:name="_Hlk175160778"/>
      <w:r>
        <w:rPr>
          <w:rFonts w:cs="Arial Unicode MS"/>
          <w:color w:val="000000"/>
        </w:rPr>
        <w:t>地方各级人民检察院对同级人民法院已经发生法律效力的判决、裁定，发现需要再审的，</w:t>
      </w:r>
      <w:r>
        <w:rPr>
          <w:rFonts w:cs="Arial Unicode MS"/>
          <w:color w:val="ff0000"/>
        </w:rPr>
        <w:t>可以向同级人民法院提出检察建议，并报上级人民检察院备案；也可以提请上级人民检察院向同级人民法院提出抗诉（上抗下，比如省检察院向市中院提出抗诉）</w:t>
      </w:r>
    </w:p>
    <w:bookmarkEnd w:id="19"/>
    <w:p w14:paraId="6ABD08E2">
      <w:pPr>
        <w:pStyle w:val="style0"/>
        <w:snapToGrid w:val="false"/>
        <w:spacing w:after="0" w:lineRule="auto" w:line="240"/>
        <w:ind w:firstLine="420" w:firstLineChars="200"/>
        <w:rPr/>
      </w:pPr>
      <w:r>
        <w:rPr>
          <w:rFonts w:hint="eastAsia"/>
        </w:rPr>
        <w:t>（2）再审组织：</w:t>
      </w:r>
      <w:r>
        <w:rPr>
          <w:rFonts w:cs="Arial Unicode MS" w:hint="eastAsia"/>
        </w:rPr>
        <w:t>另行组成合议庭</w:t>
      </w:r>
    </w:p>
    <w:bookmarkEnd w:id="18"/>
    <w:p w14:paraId="71405306">
      <w:pPr>
        <w:pStyle w:val="style0"/>
        <w:snapToGrid w:val="false"/>
        <w:spacing w:after="0" w:lineRule="auto" w:line="240"/>
        <w:ind w:firstLine="420" w:firstLineChars="200"/>
        <w:rPr>
          <w:rFonts w:hint="eastAsia"/>
          <w:color w:val="ff0000"/>
        </w:rPr>
      </w:pPr>
      <w:r>
        <w:rPr>
          <w:rFonts w:hint="eastAsia"/>
        </w:rPr>
        <w:t>（3）</w:t>
      </w:r>
      <w:r>
        <w:t>再审对象</w:t>
      </w:r>
      <w:r>
        <w:rPr>
          <w:rFonts w:cs="Arial Unicode MS" w:hint="eastAsia"/>
          <w:color w:val="ff0000"/>
        </w:rPr>
        <w:t>：</w:t>
      </w:r>
      <w:r>
        <w:rPr>
          <w:rFonts w:cs="Arial Unicode MS"/>
          <w:color w:val="ff0000"/>
        </w:rPr>
        <w:t>再审请求</w:t>
      </w:r>
      <w:r>
        <w:rPr>
          <w:rFonts w:cs="Arial Unicode MS" w:hint="eastAsia"/>
          <w:color w:val="ff0000"/>
        </w:rPr>
        <w:t>，</w:t>
      </w:r>
      <w:r>
        <w:rPr>
          <w:rFonts w:cs="Arial Unicode MS"/>
          <w:color w:val="ff0000"/>
        </w:rPr>
        <w:t>被诉行政行为合法性</w:t>
      </w:r>
    </w:p>
    <w:p w14:paraId="31BC9E6F">
      <w:pPr>
        <w:pStyle w:val="style0"/>
        <w:snapToGrid w:val="false"/>
        <w:spacing w:after="0" w:lineRule="auto" w:line="240"/>
        <w:ind w:firstLine="422" w:firstLineChars="200"/>
        <w:rPr/>
      </w:pPr>
      <w:r>
        <w:rPr>
          <w:b/>
          <w:bCs/>
        </w:rPr>
        <w:t>6．行政诉讼行政机关负责人出庭应诉制度：</w:t>
      </w:r>
      <w:r>
        <w:t>行政机关负责人的范围、一次出庭制度、合意出庭、行政机关负责人出庭应诉的内容以及违反出庭应诉义务的后果。</w:t>
      </w:r>
    </w:p>
    <w:p w14:paraId="70557D39">
      <w:pPr>
        <w:pStyle w:val="style0"/>
        <w:snapToGrid w:val="false"/>
        <w:spacing w:after="0" w:lineRule="auto" w:line="240"/>
        <w:ind w:firstLine="420" w:firstLineChars="200"/>
        <w:rPr>
          <w:rFonts w:hint="eastAsia"/>
        </w:rPr>
      </w:pPr>
      <w:r>
        <w:rPr>
          <w:rFonts w:hint="eastAsia"/>
        </w:rPr>
        <w:t>（1）</w:t>
      </w:r>
      <w:r>
        <w:t>行政机关负责人的范围</w:t>
      </w:r>
      <w:r>
        <w:rPr>
          <w:rFonts w:hint="eastAsia"/>
        </w:rPr>
        <w:t>：</w:t>
      </w:r>
      <w:r>
        <w:rPr>
          <w:rFonts w:hint="eastAsia"/>
        </w:rPr>
        <w:t>包括行政机关的正职、副职负责人、参与分管被诉行政行为实施工作的副职级别的负责人以及其他参与分管的负责人。</w:t>
      </w:r>
    </w:p>
    <w:p w14:paraId="4BFC28FB">
      <w:pPr>
        <w:pStyle w:val="style0"/>
        <w:snapToGrid w:val="false"/>
        <w:spacing w:after="0" w:lineRule="auto" w:line="240"/>
        <w:ind w:firstLine="420" w:firstLineChars="200"/>
        <w:rPr/>
      </w:pPr>
      <w:r>
        <w:rPr>
          <w:rFonts w:hint="eastAsia"/>
        </w:rPr>
        <w:t xml:space="preserve">    被诉行政机关委托的组织或者下级行政机关的负责人，不能作为被诉行政机关负责人出庭。</w:t>
      </w:r>
    </w:p>
    <w:p w14:paraId="0B86E5F9">
      <w:pPr>
        <w:pStyle w:val="style0"/>
        <w:snapToGrid w:val="false"/>
        <w:spacing w:after="0" w:lineRule="auto" w:line="240"/>
        <w:ind w:firstLine="420" w:firstLineChars="200"/>
        <w:rPr>
          <w:rFonts w:cs="Arial Unicode MS"/>
          <w:color w:val="000000"/>
          <w:kern w:val="0"/>
        </w:rPr>
      </w:pPr>
      <w:r>
        <w:rPr>
          <w:rFonts w:hint="eastAsia"/>
        </w:rPr>
        <w:t>（2）</w:t>
      </w:r>
      <w:r>
        <w:rPr>
          <w:rFonts w:cs="Arial Unicode MS"/>
          <w:color w:val="ff0000"/>
          <w:kern w:val="0"/>
        </w:rPr>
        <w:t>一次出庭制度：</w:t>
      </w:r>
      <w:r>
        <w:rPr>
          <w:rFonts w:cs="Arial Unicode MS"/>
          <w:color w:val="000000"/>
          <w:kern w:val="0"/>
        </w:rPr>
        <w:t>对于同一审级（不同审级不适用）需要多次开庭的同一案件，行政机关负责人到庭参加一次庭审的，一般可以认定其已经履行出庭应诉义务，但法院通知行政机关负责人再次出庭的除外</w:t>
      </w:r>
    </w:p>
    <w:p w14:paraId="22CD0F28">
      <w:pPr>
        <w:pStyle w:val="style0"/>
        <w:snapToGrid w:val="false"/>
        <w:spacing w:after="0" w:lineRule="auto" w:line="240"/>
        <w:ind w:firstLine="420" w:firstLineChars="200"/>
        <w:rPr>
          <w:rFonts w:cs="Arial Unicode MS"/>
          <w:color w:val="000000"/>
          <w:kern w:val="0"/>
        </w:rPr>
      </w:pPr>
      <w:r>
        <w:rPr>
          <w:rFonts w:hint="eastAsia"/>
        </w:rPr>
        <w:t>（3）合意出庭：</w:t>
      </w:r>
      <w:r>
        <w:rPr>
          <w:rFonts w:cs="Arial Unicode MS"/>
          <w:color w:val="000000"/>
          <w:kern w:val="0"/>
        </w:rPr>
        <w:t>有共同被告的行政案件，可以由共同被告协商确定行政机关负责人出庭应诉；也可以由法院确定（例如：复议维持的案件，原机关和复议机关是共同被告，可以由共同被告协商确定负责人出庭应诉，无须共同被告负责人全部出庭）</w:t>
      </w:r>
    </w:p>
    <w:p w14:paraId="243FB6E3">
      <w:pPr>
        <w:pStyle w:val="style0"/>
        <w:snapToGrid w:val="false"/>
        <w:spacing w:after="0" w:lineRule="auto" w:line="240"/>
        <w:ind w:firstLine="420" w:firstLineChars="200"/>
        <w:rPr>
          <w:rFonts w:hint="eastAsia"/>
          <w:color w:val="ff0000"/>
          <w:kern w:val="0"/>
        </w:rPr>
      </w:pPr>
      <w:r>
        <w:rPr>
          <w:rFonts w:cs="Arial Unicode MS" w:hint="eastAsia"/>
          <w:color w:val="000000"/>
          <w:kern w:val="0"/>
        </w:rPr>
        <w:t>（4）</w:t>
      </w:r>
      <w:r>
        <w:rPr>
          <w:rFonts w:cs="Arial Unicode MS"/>
          <w:color w:val="000000"/>
          <w:kern w:val="0"/>
        </w:rPr>
        <w:t>违反出庭制度的处理：</w:t>
      </w:r>
      <w:r>
        <w:rPr>
          <w:rFonts w:cs="Arial Unicode MS"/>
          <w:color w:val="ff0000"/>
          <w:kern w:val="0"/>
        </w:rPr>
        <w:t>①法院应当记录在案并在裁判文书中载明，并应当向监察机关、被诉行政机关的上一级行政机关提出司法建议</w:t>
      </w:r>
      <w:r>
        <w:rPr>
          <w:rFonts w:cs="Arial Unicode MS"/>
          <w:color w:val="000000"/>
          <w:kern w:val="0"/>
        </w:rPr>
        <w:t>②法院可以通过适当形式将行政机关负责人出庭应诉情况</w:t>
      </w:r>
      <w:r>
        <w:rPr>
          <w:rFonts w:cs="Arial Unicode MS"/>
          <w:color w:val="ff0000"/>
          <w:kern w:val="0"/>
        </w:rPr>
        <w:t>向社会公开</w:t>
      </w:r>
      <w:r>
        <w:rPr>
          <w:rFonts w:cs="Arial Unicode MS"/>
          <w:color w:val="000000"/>
          <w:kern w:val="0"/>
        </w:rPr>
        <w:t>③法院可以定期将辖区内行政机关负责人出庭应诉情况进行统计、分析、评价，</w:t>
      </w:r>
      <w:r>
        <w:rPr>
          <w:rFonts w:cs="Arial Unicode MS"/>
          <w:color w:val="ff0000"/>
          <w:kern w:val="0"/>
        </w:rPr>
        <w:t>向同级人民代表大会常务委员会报告，向同级人民政府进行通报</w:t>
      </w:r>
    </w:p>
    <w:p w14:paraId="2C16D5F4">
      <w:pPr>
        <w:pStyle w:val="style0"/>
        <w:snapToGrid w:val="false"/>
        <w:spacing w:after="0" w:lineRule="auto" w:line="240"/>
        <w:ind w:firstLine="422" w:firstLineChars="200"/>
        <w:rPr/>
      </w:pPr>
      <w:r>
        <w:rPr>
          <w:b/>
          <w:bCs/>
        </w:rPr>
        <w:t>7．行政诉讼中一并审理民事争议：</w:t>
      </w:r>
      <w:r>
        <w:t>可以一并审理民事争议的案件类型、是否单独立案、是否单独裁判、诉讼费用的收取。</w:t>
      </w:r>
    </w:p>
    <w:p w14:paraId="16EA60B7">
      <w:pPr>
        <w:pStyle w:val="style0"/>
        <w:snapToGrid w:val="false"/>
        <w:spacing w:after="0" w:lineRule="auto" w:line="240"/>
        <w:ind w:firstLine="420" w:firstLineChars="200"/>
        <w:rPr>
          <w:rFonts w:hint="eastAsia"/>
        </w:rPr>
      </w:pPr>
      <w:r>
        <w:rPr>
          <w:rFonts w:hint="eastAsia"/>
        </w:rPr>
        <w:t>（1）</w:t>
      </w:r>
      <w:r>
        <w:t>可以一并审理民事争议的案件类型</w:t>
      </w:r>
      <w:r>
        <w:rPr>
          <w:rFonts w:hint="eastAsia"/>
        </w:rPr>
        <w:t>：</w:t>
      </w:r>
      <w:r>
        <w:rPr>
          <w:rFonts w:cs="Arial Unicode MS" w:hint="eastAsia"/>
          <w:color w:val="ff0000"/>
        </w:rPr>
        <w:t>行政许可、登记、征收、征用、裁决</w:t>
      </w:r>
    </w:p>
    <w:p w14:paraId="1F068567">
      <w:pPr>
        <w:pStyle w:val="style0"/>
        <w:snapToGrid w:val="false"/>
        <w:spacing w:after="0" w:lineRule="auto" w:line="240"/>
        <w:ind w:firstLine="420" w:firstLineChars="200"/>
        <w:rPr/>
      </w:pPr>
      <w:r>
        <w:rPr>
          <w:rFonts w:hint="eastAsia"/>
        </w:rPr>
        <w:t>（2）</w:t>
      </w:r>
      <w:r>
        <w:rPr>
          <w:rFonts w:cs="Arial Unicode MS" w:hint="eastAsia"/>
        </w:rPr>
        <w:t>立案：</w:t>
      </w:r>
      <w:r>
        <w:rPr>
          <w:rFonts w:cs="Arial Unicode MS" w:hint="eastAsia"/>
        </w:rPr>
        <w:t>民事争议应当单独立案，由同一审判组织审理</w:t>
      </w:r>
      <w:r>
        <w:rPr>
          <w:rFonts w:hint="eastAsia"/>
        </w:rPr>
        <w:t>。</w:t>
      </w:r>
      <w:r>
        <w:rPr>
          <w:rFonts w:cs="Arial Unicode MS" w:hint="eastAsia"/>
          <w:color w:val="ff0000"/>
        </w:rPr>
        <w:t>行政裁决案件中一并审理民事争议的，不另行立案</w:t>
      </w:r>
    </w:p>
    <w:p w14:paraId="0B88E9EC">
      <w:pPr>
        <w:pStyle w:val="style0"/>
        <w:snapToGrid w:val="false"/>
        <w:spacing w:after="0" w:lineRule="auto" w:line="240"/>
        <w:ind w:firstLine="420" w:firstLineChars="200"/>
        <w:rPr>
          <w:rFonts w:cs="Arial Unicode MS"/>
          <w:color w:val="ff0000"/>
        </w:rPr>
      </w:pPr>
      <w:r>
        <w:rPr>
          <w:rFonts w:hint="eastAsia"/>
        </w:rPr>
        <w:t>（3）裁判：</w:t>
      </w:r>
      <w:r>
        <w:rPr>
          <w:rFonts w:cs="Arial Unicode MS" w:hint="eastAsia"/>
          <w:color w:val="ff0000"/>
        </w:rPr>
        <w:t>行政争议和民事争议应当分别裁判（行政裁决合并立、合并审、合并判）</w:t>
      </w:r>
    </w:p>
    <w:p w14:paraId="64DEA102">
      <w:pPr>
        <w:pStyle w:val="style0"/>
        <w:snapToGrid w:val="false"/>
        <w:spacing w:after="0" w:lineRule="auto" w:line="240"/>
        <w:ind w:firstLine="420" w:firstLineChars="200"/>
        <w:rPr>
          <w:rFonts w:cs="Arial Unicode MS"/>
        </w:rPr>
      </w:pPr>
      <w:r>
        <w:rPr>
          <w:rFonts w:cs="Arial Unicode MS" w:hint="eastAsia"/>
          <w:color w:val="ff0000"/>
        </w:rPr>
        <w:t>（4）诉讼费用：</w:t>
      </w:r>
      <w:r>
        <w:rPr>
          <w:rFonts w:cs="Arial Unicode MS" w:hint="eastAsia"/>
        </w:rPr>
        <w:t>一并审理相关民事争议，按行政案件、民事案件的标准</w:t>
      </w:r>
      <w:r>
        <w:rPr>
          <w:rFonts w:cs="Arial Unicode MS" w:hint="eastAsia"/>
          <w:color w:val="ff0000"/>
        </w:rPr>
        <w:t>分别收取</w:t>
      </w:r>
      <w:r>
        <w:rPr>
          <w:rFonts w:cs="Arial Unicode MS" w:hint="eastAsia"/>
        </w:rPr>
        <w:t>诉讼费用</w:t>
      </w:r>
    </w:p>
    <w:p w14:paraId="23566F3B">
      <w:pPr>
        <w:pStyle w:val="style0"/>
        <w:snapToGrid w:val="false"/>
        <w:spacing w:after="0" w:lineRule="auto" w:line="240"/>
        <w:ind w:firstLine="420" w:firstLineChars="200"/>
        <w:rPr>
          <w:rFonts w:hint="eastAsia"/>
        </w:rPr>
      </w:pPr>
    </w:p>
    <w:bookmarkStart w:id="20" w:name="_Toc236828953"/>
    <w:p w14:paraId="69DDE19A">
      <w:pPr>
        <w:pStyle w:val="style0"/>
        <w:snapToGrid w:val="false"/>
        <w:spacing w:after="0" w:lineRule="auto" w:line="240"/>
        <w:ind w:firstLine="422" w:firstLineChars="200"/>
        <w:jc w:val="center"/>
        <w:rPr>
          <w:b/>
          <w:bCs/>
        </w:rPr>
      </w:pPr>
      <w:r>
        <w:rPr>
          <w:b/>
          <w:bCs/>
        </w:rPr>
        <w:t>预测考点</w:t>
      </w:r>
      <w:r>
        <w:rPr>
          <w:b/>
          <w:bCs/>
        </w:rPr>
        <w:t>15  行政诉讼的证据与法律适用</w:t>
      </w:r>
      <w:bookmarkEnd w:id="20"/>
    </w:p>
    <w:p w14:paraId="27118BFC">
      <w:pPr>
        <w:pStyle w:val="style0"/>
        <w:snapToGrid w:val="false"/>
        <w:spacing w:after="0" w:lineRule="auto" w:line="240"/>
        <w:ind w:firstLine="422" w:firstLineChars="200"/>
        <w:rPr/>
      </w:pPr>
      <w:r>
        <w:rPr>
          <w:b/>
          <w:bCs/>
        </w:rPr>
        <w:t>1．行政诉讼的证据类型：</w:t>
      </w:r>
      <w:r>
        <w:t>电子数据证据的识别；书证、勘验笔录和现场笔录是独立的证据类型。</w:t>
      </w:r>
    </w:p>
    <w:p w14:paraId="5D9DAEA1">
      <w:pPr>
        <w:pStyle w:val="style0"/>
        <w:snapToGrid w:val="false"/>
        <w:spacing w:after="0" w:lineRule="auto" w:line="240"/>
        <w:ind w:firstLine="420" w:firstLineChars="200"/>
        <w:rPr>
          <w:rFonts w:hint="eastAsia"/>
          <w:color w:val="ff0000"/>
        </w:rPr>
      </w:pPr>
      <w:r>
        <w:rPr>
          <w:rFonts w:hint="eastAsia"/>
          <w:color w:val="ff0000"/>
        </w:rPr>
        <w:t>电子数据是指经电子计算机或类电脑等信息化设备以电子形式生成，并且可存在于硬盘、磁盘、光盘、闪存等存储载体或介质，能够证明案件事实的电子数据资料。</w:t>
      </w:r>
    </w:p>
    <w:p w14:paraId="6734186A">
      <w:pPr>
        <w:pStyle w:val="style0"/>
        <w:snapToGrid w:val="false"/>
        <w:spacing w:after="0" w:lineRule="auto" w:line="240"/>
        <w:ind w:firstLine="422" w:firstLineChars="200"/>
        <w:rPr/>
      </w:pPr>
      <w:r>
        <w:rPr>
          <w:b/>
          <w:bCs/>
        </w:rPr>
        <w:t>2．行政诉讼的举证责任：</w:t>
      </w:r>
      <w:r>
        <w:t>被告的举证责任和原告的举证责任。</w:t>
      </w:r>
    </w:p>
    <w:p w14:paraId="1CC88878">
      <w:pPr>
        <w:pStyle w:val="style0"/>
        <w:snapToGrid w:val="false"/>
        <w:spacing w:after="0" w:lineRule="auto" w:line="240"/>
        <w:ind w:firstLine="420" w:firstLineChars="200"/>
        <w:rPr>
          <w:rFonts w:hint="eastAsia"/>
        </w:rPr>
      </w:pPr>
      <w:r>
        <w:rPr>
          <w:rFonts w:hint="eastAsia"/>
        </w:rPr>
        <w:t>被告证明责任：</w:t>
      </w:r>
      <w:r>
        <w:rPr>
          <w:rFonts w:cs="Arial Unicode MS" w:hint="eastAsia"/>
          <w:color w:val="ff0000"/>
        </w:rPr>
        <w:t>①初步证明责任：</w:t>
      </w:r>
      <w:r>
        <w:rPr>
          <w:rFonts w:cs="Arial Unicode MS" w:hint="eastAsia"/>
        </w:rPr>
        <w:t>应当提供其符合起诉条件的相应的证据材料</w:t>
      </w:r>
      <w:r>
        <w:rPr>
          <w:rFonts w:cs="Arial Unicode MS" w:hint="eastAsia"/>
          <w:color w:val="ff0000"/>
        </w:rPr>
        <w:t>②申请证明责任：</w:t>
      </w:r>
      <w:r>
        <w:rPr>
          <w:rFonts w:cs="Arial Unicode MS" w:hint="eastAsia"/>
        </w:rPr>
        <w:t>诉不履行法定职责的案件，应当提供其曾经提出申请的证据材料</w:t>
      </w:r>
      <w:r>
        <w:rPr>
          <w:rFonts w:hint="eastAsia"/>
        </w:rPr>
        <w:t>。</w:t>
      </w:r>
      <w:r>
        <w:rPr>
          <w:rFonts w:cs="Arial Unicode MS" w:hint="eastAsia"/>
        </w:rPr>
        <w:t>例外：被告应主动履行或原告因正当理由不能提供的</w:t>
      </w:r>
      <w:r>
        <w:rPr>
          <w:rFonts w:cs="Arial Unicode MS" w:hint="eastAsia"/>
          <w:color w:val="ff0000"/>
        </w:rPr>
        <w:t>③损害证明责任：</w:t>
      </w:r>
      <w:r>
        <w:rPr>
          <w:rFonts w:cs="Arial Unicode MS" w:hint="eastAsia"/>
        </w:rPr>
        <w:t>原则上原告对造成的损害提供证据</w:t>
      </w:r>
      <w:r>
        <w:rPr>
          <w:rFonts w:hint="eastAsia"/>
        </w:rPr>
        <w:t>。</w:t>
      </w:r>
      <w:r>
        <w:rPr>
          <w:rFonts w:cs="Arial Unicode MS" w:hint="eastAsia"/>
          <w:color w:val="ff0000"/>
        </w:rPr>
        <w:t>例外：</w:t>
      </w:r>
      <w:r>
        <w:rPr>
          <w:rFonts w:cs="Arial Unicode MS" w:hint="eastAsia"/>
        </w:rPr>
        <w:t>因被告的原因导致原告无法举证的，由被告承担举证责任</w:t>
      </w:r>
    </w:p>
    <w:p w14:paraId="54997A7D">
      <w:pPr>
        <w:pStyle w:val="style0"/>
        <w:snapToGrid w:val="false"/>
        <w:spacing w:after="0" w:lineRule="auto" w:line="240"/>
        <w:ind w:firstLine="422" w:firstLineChars="200"/>
        <w:rPr>
          <w:rFonts w:hint="eastAsia"/>
        </w:rPr>
      </w:pPr>
      <w:r>
        <w:rPr>
          <w:b/>
          <w:bCs/>
        </w:rPr>
        <w:t>3．行政执法人员到庭制度：</w:t>
      </w:r>
      <w:r>
        <w:t>原告和第三人可以申请行政执法人员到庭接受询问的情形。</w:t>
      </w:r>
    </w:p>
    <w:p w14:paraId="1EFD0167">
      <w:pPr>
        <w:pStyle w:val="style0"/>
        <w:snapToGrid w:val="false"/>
        <w:spacing w:after="0" w:lineRule="auto" w:line="240"/>
        <w:ind w:firstLine="422" w:firstLineChars="200"/>
        <w:rPr/>
      </w:pPr>
      <w:r>
        <w:rPr>
          <w:b/>
          <w:bCs/>
        </w:rPr>
        <w:t>4．不同立法文件的适用：</w:t>
      </w:r>
      <w:r>
        <w:t>法</w:t>
      </w:r>
      <w:r>
        <w:t>律法规是依据，规章是参照，司法解释是援引。</w:t>
      </w:r>
    </w:p>
    <w:p w14:paraId="0AFA9C42">
      <w:pPr>
        <w:pStyle w:val="style0"/>
        <w:snapToGrid w:val="false"/>
        <w:spacing w:after="0" w:lineRule="auto" w:line="240"/>
        <w:ind w:firstLine="420" w:firstLineChars="200"/>
        <w:rPr>
          <w:rFonts w:hint="eastAsia"/>
        </w:rPr>
      </w:pPr>
    </w:p>
    <w:bookmarkStart w:id="21" w:name="_Toc236828954"/>
    <w:p w14:paraId="39DEC40F">
      <w:pPr>
        <w:pStyle w:val="style0"/>
        <w:snapToGrid w:val="false"/>
        <w:spacing w:after="0" w:lineRule="auto" w:line="240"/>
        <w:ind w:firstLine="422" w:firstLineChars="200"/>
        <w:jc w:val="center"/>
        <w:rPr>
          <w:rFonts w:hint="eastAsia"/>
          <w:b/>
          <w:bCs/>
        </w:rPr>
      </w:pPr>
      <w:r>
        <w:rPr>
          <w:b/>
          <w:bCs/>
        </w:rPr>
        <w:t>预测考点</w:t>
      </w:r>
      <w:r>
        <w:rPr>
          <w:b/>
          <w:bCs/>
        </w:rPr>
        <w:t>16  行政诉讼的判决</w:t>
      </w:r>
      <w:bookmarkEnd w:id="21"/>
    </w:p>
    <w:p w14:paraId="6F8D8E98">
      <w:pPr>
        <w:pStyle w:val="style0"/>
        <w:snapToGrid w:val="false"/>
        <w:spacing w:after="0" w:lineRule="auto" w:line="240"/>
        <w:ind w:firstLine="422" w:firstLineChars="200"/>
        <w:rPr>
          <w:rFonts w:hint="eastAsia"/>
        </w:rPr>
      </w:pPr>
      <w:r>
        <w:rPr>
          <w:b/>
          <w:bCs/>
        </w:rPr>
        <w:t>1．变更判决：</w:t>
      </w:r>
      <w:r>
        <w:t>行政处罚明显不当或者其他行政行为款额认定确有错误的，可以适用变更判决。</w:t>
      </w:r>
    </w:p>
    <w:p w14:paraId="24A444D9">
      <w:pPr>
        <w:pStyle w:val="style0"/>
        <w:snapToGrid w:val="false"/>
        <w:spacing w:after="0" w:lineRule="auto" w:line="240"/>
        <w:ind w:firstLine="414" w:firstLineChars="200"/>
        <w:rPr>
          <w:spacing w:val="-2"/>
        </w:rPr>
      </w:pPr>
      <w:r>
        <w:rPr>
          <w:b/>
          <w:bCs/>
          <w:spacing w:val="-2"/>
        </w:rPr>
        <w:t>2．确认违法判决</w:t>
      </w:r>
      <w:r>
        <w:rPr>
          <w:spacing w:val="-2"/>
        </w:rPr>
        <w:t>：被诉行为违法，但是不宜撤销或者无法撤销的，一般适用确认违法判决。</w:t>
      </w:r>
    </w:p>
    <w:p w14:paraId="187A6F54">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（1）被诉行政行为违法，但撤销该行为将给国家利益或公共利益、他人善意信赖利益造成重大损失的。</w:t>
      </w:r>
    </w:p>
    <w:p w14:paraId="2C0DB964">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（2）行政行为程序轻微违法，但对原告权利不产生实际影响的。</w:t>
      </w:r>
    </w:p>
    <w:p w14:paraId="258DFCEF">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（3）被诉行政行为违法，但不具有可撤销内容的。</w:t>
      </w:r>
    </w:p>
    <w:p w14:paraId="532D1ADD">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（4）被告改变原违法行政行为，原告仍要求确认原行政行为违法的。</w:t>
      </w:r>
    </w:p>
    <w:p w14:paraId="41DB633A">
      <w:pPr>
        <w:pStyle w:val="style0"/>
        <w:snapToGrid w:val="false"/>
        <w:spacing w:after="0" w:lineRule="auto" w:line="240"/>
        <w:ind w:firstLine="420" w:firstLineChars="200"/>
        <w:rPr>
          <w:rFonts w:cs="汉仪书宋二简" w:hint="eastAsia"/>
          <w:color w:val="000000"/>
          <w:kern w:val="0"/>
          <w:lang w:val="zh-CN"/>
        </w:rPr>
      </w:pPr>
      <w:r>
        <w:rPr>
          <w:rFonts w:cs="汉仪书宋二简"/>
          <w:color w:val="000000"/>
          <w:kern w:val="0"/>
          <w:lang w:val="zh-CN"/>
        </w:rPr>
        <w:t>（5）被告不履行法定职责，但判决责令其履行法定职责已无实际意义的。</w:t>
      </w:r>
    </w:p>
    <w:p w14:paraId="4CF1F466">
      <w:pPr>
        <w:pStyle w:val="style0"/>
        <w:snapToGrid w:val="false"/>
        <w:spacing w:after="0" w:lineRule="auto" w:line="240"/>
        <w:ind w:firstLine="422" w:firstLineChars="200"/>
        <w:rPr/>
      </w:pPr>
      <w:r>
        <w:rPr>
          <w:b/>
          <w:bCs/>
        </w:rPr>
        <w:t>3．确认无效判决：</w:t>
      </w:r>
      <w:r>
        <w:t>被诉行为重大且明显违法的，适用确认无效判决。</w:t>
      </w:r>
    </w:p>
    <w:p w14:paraId="24D4C02C">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（1）行政行为实施主体没有行政主体资格的。（主体无资格）</w:t>
      </w:r>
    </w:p>
    <w:p w14:paraId="10DD18A7">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（2）行政行为明显没有依据的。（行为无依据）</w:t>
      </w:r>
    </w:p>
    <w:p w14:paraId="0D0768C8">
      <w:pPr>
        <w:pStyle w:val="style0"/>
        <w:snapToGrid w:val="false"/>
        <w:spacing w:after="0" w:lineRule="auto" w:line="240"/>
        <w:ind w:firstLine="420" w:firstLineChars="200"/>
        <w:rPr>
          <w:rFonts w:cs="汉仪书宋二简"/>
          <w:color w:val="000000"/>
          <w:kern w:val="0"/>
          <w:lang w:val="zh-CN"/>
        </w:rPr>
      </w:pPr>
      <w:r>
        <w:rPr>
          <w:rFonts w:cs="汉仪书宋二简"/>
          <w:color w:val="000000"/>
          <w:kern w:val="0"/>
          <w:lang w:val="zh-CN"/>
        </w:rPr>
        <w:t>（3）行政行为的内容客观上没法实现的。（内容不可能）</w:t>
      </w:r>
    </w:p>
    <w:p w14:paraId="32169C60">
      <w:pPr>
        <w:pStyle w:val="style0"/>
        <w:snapToGrid w:val="false"/>
        <w:spacing w:after="0" w:lineRule="auto" w:line="240"/>
        <w:ind w:firstLine="420" w:firstLineChars="200"/>
        <w:rPr>
          <w:rFonts w:cs="汉仪书宋二简" w:hint="eastAsia"/>
          <w:color w:val="000000"/>
          <w:kern w:val="0"/>
          <w:lang w:val="zh-CN"/>
        </w:rPr>
      </w:pPr>
      <w:r>
        <w:rPr>
          <w:rFonts w:cs="汉仪书宋二简"/>
          <w:color w:val="000000"/>
          <w:kern w:val="0"/>
          <w:lang w:val="zh-CN"/>
        </w:rPr>
        <w:t>（4）行政处罚程序明显且重大违法的（处罚程序明显且重大违法的）</w:t>
      </w:r>
    </w:p>
    <w:p w14:paraId="7939D667">
      <w:pPr>
        <w:pStyle w:val="style0"/>
        <w:snapToGrid w:val="false"/>
        <w:spacing w:after="0" w:lineRule="auto" w:line="240"/>
        <w:ind w:firstLine="422" w:firstLineChars="200"/>
        <w:rPr/>
      </w:pPr>
      <w:r>
        <w:rPr>
          <w:b/>
          <w:bCs/>
        </w:rPr>
        <w:t>4．履行判决：</w:t>
      </w:r>
      <w:r>
        <w:t>不履行法定职责违法，判决履行还有意义的，适用履行判决。</w:t>
      </w:r>
    </w:p>
    <w:p w14:paraId="538E17BF">
      <w:pPr>
        <w:pStyle w:val="style0"/>
        <w:snapToGrid w:val="false"/>
        <w:spacing w:after="0" w:lineRule="auto" w:line="240"/>
        <w:ind w:firstLine="420" w:firstLineChars="200"/>
        <w:rPr>
          <w:rFonts w:hint="eastAsia"/>
        </w:rPr>
      </w:pPr>
    </w:p>
    <w:bookmarkStart w:id="22" w:name="_Toc236828955"/>
    <w:p w14:paraId="5172BBF3">
      <w:pPr>
        <w:pStyle w:val="style0"/>
        <w:snapToGrid w:val="false"/>
        <w:spacing w:after="0" w:lineRule="auto" w:line="240"/>
        <w:ind w:firstLine="422" w:firstLineChars="200"/>
        <w:jc w:val="center"/>
        <w:rPr>
          <w:b/>
          <w:bCs/>
        </w:rPr>
      </w:pPr>
      <w:r>
        <w:rPr>
          <w:b/>
          <w:bCs/>
        </w:rPr>
        <w:t>预测考点</w:t>
      </w:r>
      <w:r>
        <w:rPr>
          <w:b/>
          <w:bCs/>
        </w:rPr>
        <w:t>17  行政复议</w:t>
      </w:r>
      <w:bookmarkEnd w:id="22"/>
    </w:p>
    <w:p w14:paraId="2B54F674">
      <w:pPr>
        <w:pStyle w:val="style0"/>
        <w:snapToGrid w:val="false"/>
        <w:spacing w:after="0" w:lineRule="auto" w:line="240"/>
        <w:ind w:firstLine="422" w:firstLineChars="200"/>
        <w:rPr>
          <w:rFonts w:hint="eastAsia"/>
        </w:rPr>
      </w:pPr>
      <w:r>
        <w:rPr>
          <w:b/>
          <w:bCs/>
        </w:rPr>
        <w:t>1．复议前置但不终局：</w:t>
      </w:r>
      <w:r>
        <w:t>资源纳税反垄断，政府当场不作为。</w:t>
      </w:r>
      <w:r>
        <w:rPr>
          <w:rFonts w:hint="eastAsia"/>
          <w:lang w:eastAsia="zh-CN"/>
        </w:rPr>
        <w:t>（不予公开才需要复议前置）</w:t>
      </w:r>
    </w:p>
    <w:p w14:paraId="757F8885">
      <w:pPr>
        <w:pStyle w:val="style0"/>
        <w:snapToGrid w:val="false"/>
        <w:spacing w:after="0" w:lineRule="auto" w:line="240"/>
        <w:ind w:firstLine="422" w:firstLineChars="200"/>
        <w:rPr>
          <w:rFonts w:hint="eastAsia"/>
        </w:rPr>
      </w:pPr>
      <w:r>
        <w:rPr>
          <w:b/>
          <w:bCs/>
        </w:rPr>
        <w:t>2．规范以下规范性文件的附带审查：</w:t>
      </w:r>
      <w:r>
        <w:t>自己有权审的，自己审；自己无权审的，转送有权机关审。</w:t>
      </w:r>
    </w:p>
    <w:p w14:paraId="38A541FD">
      <w:pPr>
        <w:pStyle w:val="style0"/>
        <w:snapToGrid w:val="false"/>
        <w:spacing w:after="0" w:lineRule="auto" w:line="240"/>
        <w:ind w:firstLine="422" w:firstLineChars="200"/>
        <w:rPr>
          <w:rFonts w:hint="eastAsia"/>
        </w:rPr>
      </w:pPr>
      <w:r>
        <w:rPr>
          <w:b/>
          <w:bCs/>
        </w:rPr>
        <w:t>3．行政复议机关的确定</w:t>
      </w:r>
      <w:r>
        <w:t>：原则上地方案件由地方本级人民政府作为行政复议机关。但是，地方人民政府司法行政部门作为被申请人的，可以由地方本级人民政府或者上一级司法行政部门作为行政复议机关。</w:t>
      </w:r>
    </w:p>
    <w:p w14:paraId="36E16180">
      <w:pPr>
        <w:pStyle w:val="style0"/>
        <w:snapToGrid w:val="false"/>
        <w:spacing w:after="0" w:lineRule="auto" w:line="240"/>
        <w:ind w:firstLine="422" w:firstLineChars="200"/>
        <w:rPr>
          <w:b/>
          <w:bCs/>
        </w:rPr>
      </w:pPr>
      <w:r>
        <w:rPr>
          <w:b/>
          <w:bCs/>
        </w:rPr>
        <w:t>4．行政复议的程序：申请、受理、审查、决定。</w:t>
      </w:r>
    </w:p>
    <w:p w14:paraId="0A33A656">
      <w:pPr>
        <w:pStyle w:val="style0"/>
        <w:snapToGrid w:val="false"/>
        <w:spacing w:after="0" w:lineRule="auto" w:line="240"/>
        <w:ind w:firstLine="420" w:firstLineChars="200"/>
        <w:rPr>
          <w:rFonts w:hint="eastAsia"/>
          <w:color w:val="ee0000"/>
        </w:rPr>
      </w:pPr>
      <w:r>
        <w:rPr>
          <w:color w:val="auto"/>
        </w:rPr>
        <w:t>（</w:t>
      </w:r>
      <w:r>
        <w:rPr>
          <w:rFonts w:hint="eastAsia"/>
          <w:color w:val="auto"/>
        </w:rPr>
        <w:t>1</w:t>
      </w:r>
      <w:r>
        <w:rPr>
          <w:color w:val="auto"/>
        </w:rPr>
        <w:t>）申请</w:t>
      </w:r>
      <w:r>
        <w:rPr>
          <w:rFonts w:hint="eastAsia"/>
          <w:color w:val="auto"/>
        </w:rPr>
        <w:t>：</w:t>
      </w:r>
      <w:r>
        <w:rPr>
          <w:color w:val="ee0000"/>
        </w:rPr>
        <w:t>书面申请有困难的，也可以口头申请</w:t>
      </w:r>
    </w:p>
    <w:p w14:paraId="7EA1C4C8">
      <w:pPr>
        <w:pStyle w:val="style0"/>
        <w:snapToGrid w:val="false"/>
        <w:spacing w:after="0" w:lineRule="auto" w:line="240"/>
        <w:ind w:firstLine="420" w:firstLineChars="200"/>
        <w:rPr>
          <w:color w:val="auto"/>
        </w:rPr>
      </w:pPr>
      <w:r>
        <w:rPr>
          <w:color w:val="auto"/>
        </w:rPr>
        <w:t>作为的行政行为①全知道：60日②全不知：知道之日起60日，不动产超过20年，其他行为超过5年不再受理。③知一半：知道期限之日起计算，最长不得超过1年。</w:t>
      </w:r>
    </w:p>
    <w:p w14:paraId="735FCDDE">
      <w:pPr>
        <w:pStyle w:val="style0"/>
        <w:snapToGrid w:val="false"/>
        <w:spacing w:after="0" w:lineRule="auto" w:line="240"/>
        <w:ind w:firstLine="420" w:firstLineChars="200"/>
        <w:rPr>
          <w:color w:val="auto"/>
        </w:rPr>
      </w:pPr>
      <w:r>
        <w:rPr>
          <w:color w:val="auto"/>
        </w:rPr>
        <w:t>不作为的行政行为①有规定履行期限的，自履行期限届满之日起计算；②没有规定履行期限的，自行政机关收到申请满60日起计算；③当事人在紧急情况下请求行政机关履行法定职责，行政机关不履行的，可以立即申请复议。</w:t>
      </w:r>
    </w:p>
    <w:p w14:paraId="1D9F3AC5">
      <w:pPr>
        <w:pStyle w:val="style0"/>
        <w:snapToGrid w:val="false"/>
        <w:spacing w:after="0" w:lineRule="auto" w:line="240"/>
        <w:ind w:firstLine="420" w:firstLineChars="200"/>
        <w:rPr>
          <w:color w:val="auto"/>
        </w:rPr>
      </w:pPr>
      <w:r>
        <w:rPr>
          <w:color w:val="auto"/>
        </w:rPr>
        <w:t>期限的扣除</w:t>
      </w:r>
      <w:r>
        <w:rPr>
          <w:rFonts w:hint="eastAsia"/>
          <w:color w:val="auto"/>
        </w:rPr>
        <w:t>；</w:t>
      </w:r>
      <w:r>
        <w:rPr>
          <w:color w:val="auto"/>
        </w:rPr>
        <w:t>行政机关未依法告知应当复议前置，申请人未经行政复议直接向法院提起行政诉讼的，自提起行政诉讼之日至法院驳回起诉裁定送达之日的期间不计入行政复议申请期限。</w:t>
      </w:r>
    </w:p>
    <w:p w14:paraId="2E8CD52F">
      <w:pPr>
        <w:pStyle w:val="style0"/>
        <w:snapToGrid w:val="false"/>
        <w:spacing w:after="0" w:lineRule="auto" w:line="240"/>
        <w:ind w:firstLine="420" w:firstLineChars="200"/>
        <w:rPr>
          <w:color w:val="auto"/>
        </w:rPr>
      </w:pPr>
      <w:r>
        <w:rPr>
          <w:color w:val="auto"/>
        </w:rPr>
        <w:t>（</w:t>
      </w:r>
      <w:r>
        <w:rPr>
          <w:rFonts w:hint="eastAsia"/>
          <w:color w:val="auto"/>
        </w:rPr>
        <w:t>2</w:t>
      </w:r>
      <w:r>
        <w:rPr>
          <w:color w:val="auto"/>
        </w:rPr>
        <w:t>）行政复议的受理</w:t>
      </w:r>
    </w:p>
    <w:p w14:paraId="3CC59441">
      <w:pPr>
        <w:pStyle w:val="style0"/>
        <w:snapToGrid w:val="false"/>
        <w:spacing w:after="0" w:lineRule="auto" w:line="240"/>
        <w:ind w:firstLine="420" w:firstLineChars="200"/>
        <w:rPr>
          <w:color w:val="ee0000"/>
        </w:rPr>
      </w:pPr>
      <w:r>
        <w:rPr>
          <w:color w:val="ee0000"/>
        </w:rPr>
        <w:t>驳回行政复议申请（已经受理）</w:t>
      </w:r>
    </w:p>
    <w:p w14:paraId="02D55BAE">
      <w:pPr>
        <w:pStyle w:val="style0"/>
        <w:snapToGrid w:val="false"/>
        <w:spacing w:after="0" w:lineRule="auto" w:line="240"/>
        <w:ind w:firstLine="420" w:firstLineChars="200"/>
        <w:rPr>
          <w:color w:val="ee0000"/>
        </w:rPr>
      </w:pPr>
      <w:r>
        <w:rPr>
          <w:color w:val="ee0000"/>
        </w:rPr>
        <w:t>①行政复议请求明显缺乏事实和法律依据，经释明后申请人仍然坚持申请行政复议</w:t>
      </w:r>
    </w:p>
    <w:p w14:paraId="4E2AE26D">
      <w:pPr>
        <w:pStyle w:val="style0"/>
        <w:snapToGrid w:val="false"/>
        <w:spacing w:after="0" w:lineRule="auto" w:line="240"/>
        <w:ind w:firstLine="420" w:firstLineChars="200"/>
        <w:rPr>
          <w:color w:val="ee0000"/>
        </w:rPr>
      </w:pPr>
      <w:r>
        <w:rPr>
          <w:color w:val="ee0000"/>
        </w:rPr>
        <w:t>②申请人所请求履行的法定职责或者给付义务明显不属于行政机关权限范围</w:t>
      </w:r>
    </w:p>
    <w:p w14:paraId="5E3D3CA0">
      <w:pPr>
        <w:pStyle w:val="style0"/>
        <w:snapToGrid w:val="false"/>
        <w:spacing w:after="0" w:lineRule="auto" w:line="240"/>
        <w:ind w:firstLine="420" w:firstLineChars="200"/>
        <w:rPr>
          <w:color w:val="ee0000"/>
        </w:rPr>
      </w:pPr>
      <w:r>
        <w:rPr>
          <w:color w:val="ee0000"/>
        </w:rPr>
        <w:t>③申请人提出的行政复议申请所涉及行政行为的法律效力已经被人民法院作出生效裁判、调解书确认</w:t>
      </w:r>
    </w:p>
    <w:p w14:paraId="6E4BAC79">
      <w:pPr>
        <w:pStyle w:val="style0"/>
        <w:snapToGrid w:val="false"/>
        <w:spacing w:after="0" w:lineRule="auto" w:line="240"/>
        <w:ind w:firstLine="420" w:firstLineChars="200"/>
        <w:rPr>
          <w:color w:val="auto"/>
        </w:rPr>
      </w:pPr>
      <w:r>
        <w:rPr>
          <w:color w:val="auto"/>
        </w:rPr>
        <w:t>（</w:t>
      </w:r>
      <w:r>
        <w:rPr>
          <w:rFonts w:hint="eastAsia"/>
          <w:color w:val="auto"/>
        </w:rPr>
        <w:t>3</w:t>
      </w:r>
      <w:r>
        <w:rPr>
          <w:color w:val="auto"/>
        </w:rPr>
        <w:t>）行政复议的审查（普通程序）</w:t>
      </w:r>
    </w:p>
    <w:p w14:paraId="6824A2CE">
      <w:pPr>
        <w:pStyle w:val="style0"/>
        <w:snapToGrid w:val="false"/>
        <w:spacing w:after="0" w:lineRule="auto" w:line="240"/>
        <w:ind w:firstLine="420" w:firstLineChars="200"/>
        <w:rPr>
          <w:color w:val="auto"/>
        </w:rPr>
      </w:pPr>
      <w:r>
        <w:rPr>
          <w:rFonts w:hint="eastAsia"/>
          <w:color w:val="auto"/>
        </w:rPr>
        <w:t>①</w:t>
      </w:r>
      <w:r>
        <w:rPr>
          <w:color w:val="auto"/>
        </w:rPr>
        <w:t>审理形式：当面或通过互联网、电话等方式听取当事人的意见；因当事人原因不能听取意见的，可以书面审理</w:t>
      </w:r>
    </w:p>
    <w:p w14:paraId="6086949F">
      <w:pPr>
        <w:pStyle w:val="style0"/>
        <w:snapToGrid w:val="false"/>
        <w:spacing w:after="0" w:lineRule="auto" w:line="240"/>
        <w:ind w:firstLine="420" w:firstLineChars="200"/>
        <w:rPr>
          <w:color w:val="auto"/>
        </w:rPr>
      </w:pPr>
      <w:r>
        <w:rPr>
          <w:rFonts w:hint="eastAsia"/>
          <w:color w:val="auto"/>
        </w:rPr>
        <w:t>②</w:t>
      </w:r>
      <w:r>
        <w:rPr>
          <w:color w:val="auto"/>
        </w:rPr>
        <w:t>审理人员：普通程序2人审理，初次从事行政复议的人员，应当通过法考取得证书。</w:t>
      </w:r>
    </w:p>
    <w:p w14:paraId="06A7567A">
      <w:pPr>
        <w:pStyle w:val="style0"/>
        <w:snapToGrid w:val="false"/>
        <w:spacing w:after="0" w:lineRule="auto" w:line="240"/>
        <w:ind w:firstLine="420" w:firstLineChars="200"/>
        <w:rPr>
          <w:color w:val="auto"/>
        </w:rPr>
      </w:pPr>
      <w:r>
        <w:rPr>
          <w:rFonts w:hint="eastAsia"/>
          <w:color w:val="auto"/>
        </w:rPr>
        <w:t>③</w:t>
      </w:r>
      <w:r>
        <w:rPr>
          <w:color w:val="auto"/>
        </w:rPr>
        <w:t>组织听证</w:t>
      </w:r>
      <w:r>
        <w:rPr>
          <w:rFonts w:hint="eastAsia"/>
          <w:color w:val="auto"/>
        </w:rPr>
        <w:t>：</w:t>
      </w:r>
      <w:r>
        <w:rPr>
          <w:color w:val="auto"/>
        </w:rPr>
        <w:t>审理重大、疑难、复杂的行政复议案件，行政复议机构应当组织听证。行政复议机构认为有必要听证，或者申请人请求听证的，行政复议机构可以组织听证。经过听证的复议案件，应当根据听证笔录、审查认定的事实和证据，作出复议决定。</w:t>
      </w:r>
    </w:p>
    <w:p w14:paraId="5CAD42F0">
      <w:pPr>
        <w:pStyle w:val="style0"/>
        <w:snapToGrid w:val="false"/>
        <w:spacing w:after="0" w:lineRule="auto" w:line="240"/>
        <w:ind w:firstLine="420" w:firstLineChars="200"/>
        <w:rPr>
          <w:color w:val="auto"/>
        </w:rPr>
      </w:pPr>
      <w:r>
        <w:rPr>
          <w:rFonts w:hint="eastAsia"/>
          <w:color w:val="auto"/>
        </w:rPr>
        <w:t>（4）</w:t>
      </w:r>
      <w:r>
        <w:rPr>
          <w:color w:val="auto"/>
        </w:rPr>
        <w:t>提请咨询</w:t>
      </w:r>
    </w:p>
    <w:p w14:paraId="7DEDC900">
      <w:pPr>
        <w:pStyle w:val="style0"/>
        <w:snapToGrid w:val="false"/>
        <w:spacing w:after="0" w:lineRule="auto" w:line="240"/>
        <w:ind w:firstLine="420" w:firstLineChars="200"/>
        <w:rPr>
          <w:color w:val="auto"/>
        </w:rPr>
      </w:pPr>
      <w:r>
        <w:rPr>
          <w:rFonts w:hint="eastAsia"/>
          <w:color w:val="auto"/>
        </w:rPr>
        <w:t>①</w:t>
      </w:r>
      <w:r>
        <w:rPr>
          <w:color w:val="auto"/>
        </w:rPr>
        <w:t>咨询组织：行政复议委员会（国务院部门和县以上政府都可设立）。</w:t>
      </w:r>
    </w:p>
    <w:p w14:paraId="264500B5">
      <w:pPr>
        <w:pStyle w:val="style0"/>
        <w:snapToGrid w:val="false"/>
        <w:spacing w:after="0" w:lineRule="auto" w:line="240"/>
        <w:ind w:firstLine="420" w:firstLineChars="200"/>
        <w:rPr>
          <w:color w:val="auto"/>
        </w:rPr>
      </w:pPr>
      <w:r>
        <w:rPr>
          <w:rFonts w:hint="eastAsia"/>
          <w:color w:val="auto"/>
        </w:rPr>
        <w:t>②</w:t>
      </w:r>
      <w:r>
        <w:rPr>
          <w:color w:val="auto"/>
        </w:rPr>
        <w:t>咨询情形（应当提请情形）：①重大、疑难、复杂的案件。②专业性、技术性较强的案件。③省级政府作为被申请人的案件。④行政复议机构认为有必要的案件。</w:t>
      </w:r>
    </w:p>
    <w:p w14:paraId="63D69357">
      <w:pPr>
        <w:pStyle w:val="style0"/>
        <w:snapToGrid w:val="false"/>
        <w:spacing w:after="0" w:lineRule="auto" w:line="240"/>
        <w:ind w:firstLine="420" w:firstLineChars="200"/>
        <w:rPr>
          <w:color w:val="auto"/>
        </w:rPr>
      </w:pPr>
      <w:r>
        <w:rPr>
          <w:rFonts w:hint="eastAsia"/>
          <w:color w:val="auto"/>
        </w:rPr>
        <w:t>③</w:t>
      </w:r>
      <w:r>
        <w:rPr>
          <w:color w:val="auto"/>
        </w:rPr>
        <w:t>咨询效力：签发行政复议决定时，应当附具行政复议委员会咨询意见，并对行政复议委员会咨询意见的采纳情况作出说明；不采纳行政复议委员会咨询意见的，应当说明理由。行政复议机关应当将咨询意见作为作出行政复议决定的重要参考依据。</w:t>
      </w:r>
    </w:p>
    <w:p w14:paraId="39DF5037">
      <w:pPr>
        <w:pStyle w:val="style0"/>
        <w:snapToGrid w:val="false"/>
        <w:spacing w:after="0" w:lineRule="auto" w:line="240"/>
        <w:ind w:firstLine="420" w:firstLineChars="200"/>
        <w:rPr>
          <w:color w:val="auto"/>
        </w:rPr>
      </w:pPr>
      <w:r>
        <w:rPr>
          <w:rFonts w:hint="eastAsia"/>
          <w:color w:val="auto"/>
        </w:rPr>
        <w:t>（5）</w:t>
      </w:r>
      <w:r>
        <w:rPr>
          <w:color w:val="auto"/>
        </w:rPr>
        <w:t>调解</w:t>
      </w:r>
    </w:p>
    <w:p w14:paraId="47151F21">
      <w:pPr>
        <w:pStyle w:val="style0"/>
        <w:snapToGrid w:val="false"/>
        <w:spacing w:after="0" w:lineRule="auto" w:line="240"/>
        <w:ind w:firstLine="420" w:firstLineChars="200"/>
        <w:rPr>
          <w:color w:val="auto"/>
        </w:rPr>
      </w:pPr>
      <w:r>
        <w:rPr>
          <w:color w:val="auto"/>
        </w:rPr>
        <w:t>所有案件都可调解</w:t>
      </w:r>
      <w:r>
        <w:rPr>
          <w:rFonts w:hint="eastAsia"/>
          <w:color w:val="auto"/>
        </w:rPr>
        <w:t>。</w:t>
      </w:r>
      <w:r>
        <w:rPr>
          <w:color w:val="auto"/>
        </w:rPr>
        <w:t>当事人经调解达成协议的，行政复议机关应当制作行政复议调解书</w:t>
      </w:r>
      <w:r>
        <w:rPr>
          <w:rFonts w:hint="eastAsia"/>
          <w:color w:val="auto"/>
        </w:rPr>
        <w:t>。</w:t>
      </w:r>
      <w:r>
        <w:rPr>
          <w:color w:val="auto"/>
        </w:rPr>
        <w:t>行政复议调解书经各方当事人签字或签章，并加盖行政复议机关印章，即具有法律效力</w:t>
      </w:r>
      <w:r>
        <w:rPr>
          <w:rFonts w:hint="eastAsia"/>
          <w:color w:val="auto"/>
        </w:rPr>
        <w:t>。</w:t>
      </w:r>
      <w:r>
        <w:rPr>
          <w:color w:val="auto"/>
        </w:rPr>
        <w:t>调解未达成协议或者调解书生效前一方反悔的，行政复议机关应当依法审查或及时作出行政复议决定</w:t>
      </w:r>
      <w:r>
        <w:rPr>
          <w:rFonts w:hint="eastAsia"/>
          <w:color w:val="auto"/>
        </w:rPr>
        <w:t>。</w:t>
      </w:r>
    </w:p>
    <w:p w14:paraId="105803F7">
      <w:pPr>
        <w:pStyle w:val="style0"/>
        <w:snapToGrid w:val="false"/>
        <w:spacing w:after="0" w:lineRule="auto" w:line="240"/>
        <w:ind w:firstLine="420" w:firstLineChars="200"/>
        <w:rPr>
          <w:color w:val="auto"/>
        </w:rPr>
      </w:pPr>
      <w:r>
        <w:rPr>
          <w:rFonts w:hint="eastAsia"/>
          <w:color w:val="auto"/>
        </w:rPr>
        <w:t>（6）</w:t>
      </w:r>
      <w:r>
        <w:rPr>
          <w:color w:val="auto"/>
        </w:rPr>
        <w:t>和解</w:t>
      </w:r>
    </w:p>
    <w:p w14:paraId="1B9CDF71">
      <w:pPr>
        <w:pStyle w:val="style0"/>
        <w:snapToGrid w:val="false"/>
        <w:spacing w:after="0" w:lineRule="auto" w:line="240"/>
        <w:ind w:firstLine="420" w:firstLineChars="200"/>
        <w:rPr>
          <w:color w:val="auto"/>
        </w:rPr>
      </w:pPr>
      <w:r>
        <w:rPr>
          <w:color w:val="auto"/>
        </w:rPr>
        <w:t>当事人达成和解后，由申请人向行政复议机构撤回行政复议申请</w:t>
      </w:r>
      <w:r>
        <w:rPr>
          <w:rFonts w:hint="eastAsia"/>
          <w:color w:val="auto"/>
        </w:rPr>
        <w:t>。</w:t>
      </w:r>
      <w:r>
        <w:rPr>
          <w:color w:val="auto"/>
        </w:rPr>
        <w:t>准予撤回行政复议申请的，行政复议程序终止，申请人不得再以同一事实和理由提出行政复议申请。但是，申请人能够证明撤回行政复议申请违背其真实意愿的除外。</w:t>
      </w:r>
    </w:p>
    <w:p w14:paraId="2C224E72">
      <w:pPr>
        <w:pStyle w:val="style0"/>
        <w:snapToGrid w:val="false"/>
        <w:spacing w:after="0" w:lineRule="auto" w:line="240"/>
        <w:ind w:firstLine="420" w:firstLineChars="200"/>
        <w:rPr>
          <w:color w:val="auto"/>
        </w:rPr>
      </w:pPr>
      <w:r>
        <w:rPr>
          <w:color w:val="auto"/>
        </w:rPr>
        <w:t>（</w:t>
      </w:r>
      <w:r>
        <w:rPr>
          <w:rFonts w:hint="eastAsia"/>
          <w:color w:val="auto"/>
        </w:rPr>
        <w:t>7</w:t>
      </w:r>
      <w:r>
        <w:rPr>
          <w:color w:val="auto"/>
        </w:rPr>
        <w:t>）行政复议的审查（简易程序）</w:t>
      </w:r>
    </w:p>
    <w:p w14:paraId="0FA5A671">
      <w:pPr>
        <w:pStyle w:val="style0"/>
        <w:snapToGrid w:val="false"/>
        <w:spacing w:after="0" w:lineRule="auto" w:line="240"/>
        <w:ind w:firstLine="420" w:firstLineChars="200"/>
        <w:rPr>
          <w:color w:val="auto"/>
        </w:rPr>
      </w:pPr>
      <w:r>
        <w:rPr>
          <w:color w:val="auto"/>
        </w:rPr>
        <w:t>法定案件：事实清楚、权利义务关系明确、争议不大的下列案件，可以适用简易程序：①被申请行政复议的行政行为是当场作出；②被申请行政复议的行政行为是警告或者通报批评；③案件涉及款额3000元以下；④属于政府信息公开案件。</w:t>
      </w:r>
    </w:p>
    <w:p w14:paraId="60EEE429">
      <w:pPr>
        <w:pStyle w:val="style0"/>
        <w:snapToGrid w:val="false"/>
        <w:spacing w:after="0" w:lineRule="auto" w:line="240"/>
        <w:ind w:firstLine="420" w:firstLineChars="200"/>
        <w:rPr>
          <w:color w:val="auto"/>
        </w:rPr>
      </w:pPr>
      <w:r>
        <w:rPr>
          <w:color w:val="auto"/>
        </w:rPr>
        <w:t>合意案件：当事人各方同意适用简易程序的案件，可以适用简易程序。</w:t>
      </w:r>
    </w:p>
    <w:p w14:paraId="59D6B4C7">
      <w:pPr>
        <w:pStyle w:val="style0"/>
        <w:snapToGrid w:val="false"/>
        <w:spacing w:after="0" w:lineRule="auto" w:line="240"/>
        <w:ind w:firstLine="420" w:firstLineChars="200"/>
        <w:rPr>
          <w:color w:val="auto"/>
        </w:rPr>
      </w:pPr>
      <w:r>
        <w:rPr>
          <w:color w:val="auto"/>
        </w:rPr>
        <w:t>（</w:t>
      </w:r>
      <w:r>
        <w:rPr>
          <w:rFonts w:hint="eastAsia"/>
          <w:color w:val="auto"/>
        </w:rPr>
        <w:t>8</w:t>
      </w:r>
      <w:r>
        <w:rPr>
          <w:color w:val="auto"/>
        </w:rPr>
        <w:t>）行政复议的决定</w:t>
      </w:r>
    </w:p>
    <w:p w14:paraId="52243B9A">
      <w:pPr>
        <w:pStyle w:val="style0"/>
        <w:snapToGrid w:val="false"/>
        <w:spacing w:after="0" w:lineRule="auto" w:line="240"/>
        <w:ind w:firstLine="420" w:firstLineChars="200"/>
        <w:rPr>
          <w:rFonts w:hint="eastAsia"/>
          <w:color w:val="auto"/>
        </w:rPr>
      </w:pPr>
      <w:r>
        <w:rPr>
          <w:color w:val="auto"/>
        </w:rPr>
        <w:t>不得作出对申请人更为不利的复议决定；但是第三人提出相反请求的</w:t>
      </w:r>
      <w:r>
        <w:rPr>
          <w:color w:val="auto"/>
        </w:rPr>
        <w:t>除外</w:t>
      </w:r>
      <w:r>
        <w:rPr>
          <w:rFonts w:hint="eastAsia"/>
          <w:color w:val="auto"/>
        </w:rPr>
        <w:t>.</w:t>
      </w:r>
      <w:r>
        <w:rPr>
          <w:color w:val="auto"/>
        </w:rPr>
        <w:t>决定期限：60+30（情况复杂的，经行政复议机构的负责人批准）；简易程序30日</w:t>
      </w:r>
    </w:p>
    <w:p w14:paraId="7F663620">
      <w:pPr>
        <w:pStyle w:val="style0"/>
        <w:snapToGrid w:val="false"/>
        <w:spacing w:after="0" w:lineRule="auto" w:line="240"/>
        <w:ind w:firstLine="422" w:firstLineChars="200"/>
        <w:rPr>
          <w:rFonts w:hint="eastAsia"/>
        </w:rPr>
      </w:pPr>
      <w:r>
        <w:rPr>
          <w:b/>
          <w:bCs/>
        </w:rPr>
        <w:t>5．变更决定与撤销决定的区分适用：</w:t>
      </w:r>
      <w:r>
        <w:t>行政复议首推变更决定的适用，能有变更决定的，就不能用撤销决定。变更决定的适用范围：①仅内容不适当的；②仅未正确适用依据的；③仅事实不清、证据不足，经行政复议机关查清事实和证据的。</w:t>
      </w:r>
    </w:p>
    <w:p w14:paraId="0F376689">
      <w:pPr>
        <w:pStyle w:val="style0"/>
        <w:snapToGrid w:val="false"/>
        <w:spacing w:after="0" w:lineRule="auto" w:line="240"/>
        <w:ind w:firstLine="422" w:firstLineChars="200"/>
        <w:rPr/>
      </w:pPr>
      <w:r>
        <w:rPr>
          <w:b/>
          <w:bCs/>
        </w:rPr>
        <w:t>6．被申请人不履行复议决定时的处理：</w:t>
      </w:r>
      <w:r>
        <w:t>①行政复议机关或者有关上级行政机关应当责令其限期履行；②可以约谈被申请人的有关负责人；③可以予以通报批评。</w:t>
      </w:r>
    </w:p>
    <w:p w14:paraId="5255833E">
      <w:pPr>
        <w:pStyle w:val="style0"/>
        <w:snapToGrid w:val="false"/>
        <w:spacing w:after="0" w:lineRule="auto" w:line="240"/>
        <w:ind w:firstLine="420" w:firstLineChars="200"/>
        <w:rPr>
          <w:rFonts w:hint="eastAsia"/>
        </w:rPr>
      </w:pPr>
    </w:p>
    <w:bookmarkStart w:id="23" w:name="_Toc236828956"/>
    <w:p w14:paraId="3A31DA0F">
      <w:pPr>
        <w:pStyle w:val="style0"/>
        <w:snapToGrid w:val="false"/>
        <w:spacing w:after="0" w:lineRule="auto" w:line="240"/>
        <w:ind w:firstLine="422" w:firstLineChars="200"/>
        <w:jc w:val="center"/>
        <w:rPr>
          <w:b/>
          <w:bCs/>
        </w:rPr>
      </w:pPr>
      <w:r>
        <w:rPr>
          <w:b/>
          <w:bCs/>
        </w:rPr>
        <w:t>预测考点</w:t>
      </w:r>
      <w:r>
        <w:rPr>
          <w:b/>
          <w:bCs/>
        </w:rPr>
        <w:t>18  国家赔偿</w:t>
      </w:r>
      <w:bookmarkEnd w:id="23"/>
    </w:p>
    <w:p w14:paraId="4531A220">
      <w:pPr>
        <w:pStyle w:val="style0"/>
        <w:snapToGrid w:val="false"/>
        <w:spacing w:after="0" w:lineRule="auto" w:line="240"/>
        <w:ind w:firstLine="422" w:firstLineChars="200"/>
        <w:rPr>
          <w:b/>
          <w:bCs/>
        </w:rPr>
      </w:pPr>
      <w:r>
        <w:rPr>
          <w:b/>
          <w:bCs/>
        </w:rPr>
        <w:t>1．刑事司法赔偿范围：错捕、错判的赔偿范围。</w:t>
      </w:r>
    </w:p>
    <w:p w14:paraId="7BAA4746">
      <w:pPr>
        <w:pStyle w:val="style0"/>
        <w:snapToGrid w:val="false"/>
        <w:spacing w:after="0" w:lineRule="auto" w:line="240"/>
        <w:ind w:firstLine="420" w:firstLineChars="200"/>
        <w:rPr/>
      </w:pPr>
      <w:r>
        <w:rPr>
          <w:rFonts w:hint="eastAsia"/>
          <w:color w:val="auto"/>
        </w:rPr>
        <w:t>人身自由权损害对于刑事赔偿中的人身自由赔偿，以当事人有无受到实际羁押为标准，如果对当事人人身自由的限制不是通过实际羁押的方式来进行的，国家不承担赔偿责任。</w:t>
      </w:r>
    </w:p>
    <w:p w14:paraId="6263D053">
      <w:pPr>
        <w:pStyle w:val="style0"/>
        <w:snapToGrid w:val="false"/>
        <w:spacing w:after="0" w:lineRule="auto" w:line="240"/>
        <w:ind w:firstLine="420" w:firstLineChars="200"/>
        <w:rPr>
          <w:color w:val="ff0000"/>
        </w:rPr>
      </w:pPr>
      <w:r>
        <w:rPr>
          <w:rFonts w:hint="eastAsia"/>
        </w:rPr>
        <w:t>（1）</w:t>
      </w:r>
      <w:r>
        <w:t>无罪错判要赔，轻罪重判不赔：对于错判，国家</w:t>
      </w:r>
      <w:r>
        <w:rPr>
          <w:color w:val="ff0000"/>
        </w:rPr>
        <w:t>对无罪错判承担赔偿责任，对于轻罪重判，不承担赔偿责任。</w:t>
      </w:r>
    </w:p>
    <w:p w14:paraId="2A3BDFB0">
      <w:pPr>
        <w:pStyle w:val="style0"/>
        <w:snapToGrid w:val="false"/>
        <w:spacing w:after="0" w:lineRule="auto" w:line="240"/>
        <w:ind w:firstLine="420" w:firstLineChars="200"/>
        <w:rPr>
          <w:color w:val="auto"/>
        </w:rPr>
      </w:pPr>
      <w:r>
        <w:rPr>
          <w:rFonts w:hint="eastAsia"/>
          <w:color w:val="auto"/>
        </w:rPr>
        <w:t>（2）</w:t>
      </w:r>
      <w:r>
        <w:rPr>
          <w:color w:val="auto"/>
        </w:rPr>
        <w:t>赔前不赔后：法院判处管制、缓刑、剥夺政治权利等刑罚被改判无罪的，由于没有实际的羁押，国家不承担赔偿责任。但是，赔偿请求人在判决生效前被羁押的，依法有权取得赔偿。</w:t>
      </w:r>
    </w:p>
    <w:p w14:paraId="194E0D60">
      <w:pPr>
        <w:pStyle w:val="style0"/>
        <w:snapToGrid w:val="false"/>
        <w:spacing w:after="0" w:lineRule="auto" w:line="240"/>
        <w:ind w:firstLine="420" w:firstLineChars="200"/>
        <w:rPr>
          <w:rFonts w:hint="eastAsia"/>
          <w:color w:val="auto"/>
        </w:rPr>
      </w:pPr>
      <w:r>
        <w:rPr>
          <w:rFonts w:hint="eastAsia"/>
          <w:color w:val="auto"/>
        </w:rPr>
        <w:t>（3）</w:t>
      </w:r>
      <w:r>
        <w:rPr>
          <w:color w:val="auto"/>
        </w:rPr>
        <w:t>赔后不赔前：如果司法机关对于一个没有刑事责任能力或免于追究刑事责任的人进行了拘留、逮捕，而后又经过法院判处了人身自由刑甚至死刑的，当事人只能就刑罚部分获得赔偿，对于判决前受到的人身自由限制不能获得赔偿。</w:t>
      </w:r>
    </w:p>
    <w:p w14:paraId="1C257C78">
      <w:pPr>
        <w:pStyle w:val="style0"/>
        <w:snapToGrid w:val="false"/>
        <w:spacing w:after="0" w:lineRule="auto" w:line="240"/>
        <w:ind w:firstLine="422" w:firstLineChars="200"/>
        <w:rPr>
          <w:rFonts w:hint="eastAsia"/>
        </w:rPr>
      </w:pPr>
      <w:r>
        <w:rPr>
          <w:b/>
          <w:bCs/>
        </w:rPr>
        <w:t>2．刑事司法赔偿义务机关：</w:t>
      </w:r>
      <w:r>
        <w:t>后置原则，最后一个作出错误的法律文书的机关为刑事赔偿义务机关。</w:t>
      </w:r>
    </w:p>
    <w:p w14:paraId="6524CF13">
      <w:pPr>
        <w:pStyle w:val="style0"/>
        <w:snapToGrid w:val="false"/>
        <w:spacing w:after="0" w:lineRule="auto" w:line="240"/>
        <w:ind w:firstLine="422" w:firstLineChars="200"/>
        <w:rPr/>
      </w:pPr>
      <w:r>
        <w:rPr>
          <w:b/>
          <w:bCs/>
        </w:rPr>
        <w:t>3．刑事司法赔偿程序：</w:t>
      </w:r>
      <w:r>
        <w:t>赔偿义务机关是法院的，两步走；赔偿义务机关不是法院的，三步走。</w:t>
      </w:r>
    </w:p>
    <w:p w14:paraId="0A22C5A4">
      <w:pPr>
        <w:pStyle w:val="style0"/>
        <w:snapToGrid w:val="false"/>
        <w:spacing w:after="0" w:lineRule="auto" w:line="240"/>
        <w:ind w:firstLine="420" w:firstLineChars="200"/>
        <w:rPr>
          <w:rFonts w:hint="eastAsia"/>
        </w:rPr>
      </w:pPr>
      <w:r>
        <w:rPr>
          <w:rFonts w:hint="eastAsia"/>
        </w:rPr>
        <w:t>（1）</w:t>
      </w:r>
      <w:r>
        <w:rPr>
          <w:rFonts w:hint="eastAsia"/>
        </w:rPr>
        <w:t>赔偿义务机关是法院的：第一步：先向赔偿义务机关申请赔偿；第二步：向上一级法院赔偿委员会申请赔偿</w:t>
      </w:r>
    </w:p>
    <w:p w14:paraId="3AF2A7F9">
      <w:pPr>
        <w:pStyle w:val="style0"/>
        <w:snapToGrid w:val="false"/>
        <w:spacing w:after="0" w:lineRule="auto" w:line="240"/>
        <w:ind w:firstLine="420" w:firstLineChars="200"/>
        <w:rPr>
          <w:rFonts w:hint="eastAsia"/>
        </w:rPr>
      </w:pPr>
      <w:r>
        <w:rPr>
          <w:rFonts w:hint="eastAsia"/>
        </w:rPr>
        <w:t>（2）</w:t>
      </w:r>
      <w:r>
        <w:rPr>
          <w:rFonts w:hint="eastAsia"/>
        </w:rPr>
        <w:t>赔偿义务机关不是法院的：第一步：先向赔偿义务机关申请赔偿；第二步：向上一级机关申请复议；第三步：向复议机关同级法院赔委会申请赔偿</w:t>
      </w:r>
    </w:p>
    <w:p w14:paraId="5028F0AE">
      <w:pPr>
        <w:pStyle w:val="style0"/>
        <w:snapToGrid w:val="false"/>
        <w:spacing w:after="0" w:lineRule="auto" w:line="240"/>
        <w:ind w:firstLine="422" w:firstLineChars="200"/>
        <w:rPr>
          <w:rFonts w:hint="eastAsia"/>
        </w:rPr>
      </w:pPr>
      <w:r>
        <w:rPr>
          <w:b/>
          <w:bCs/>
        </w:rPr>
        <w:t>4．行政赔偿范围：</w:t>
      </w:r>
      <w:r>
        <w:t>违法的行政活动侵犯当事人合法权益的，属于行政赔偿范围。</w:t>
      </w:r>
    </w:p>
    <w:p w14:paraId="4DA628D0">
      <w:pPr>
        <w:pStyle w:val="style0"/>
        <w:snapToGrid w:val="false"/>
        <w:spacing w:after="0" w:lineRule="auto" w:line="240"/>
        <w:ind w:firstLine="422" w:firstLineChars="200"/>
        <w:rPr/>
      </w:pPr>
      <w:r>
        <w:rPr>
          <w:b/>
          <w:bCs/>
        </w:rPr>
        <w:t>5．行政赔偿程序：</w:t>
      </w:r>
      <w:r>
        <w:t>区分事实行为侵权和行政行为侵权的赔偿程序。</w:t>
      </w:r>
    </w:p>
    <w:p w14:paraId="60137213">
      <w:pPr>
        <w:pStyle w:val="style0"/>
        <w:snapToGrid w:val="false"/>
        <w:spacing w:after="0" w:lineRule="auto" w:line="240"/>
        <w:ind w:firstLine="420" w:firstLineChars="200"/>
        <w:rPr>
          <w:rFonts w:hint="eastAsia"/>
        </w:rPr>
      </w:pPr>
      <w:r>
        <w:t>若行政行为侵权，受害人未经复议或者诉讼就行政行为的违法性先行确认，对赔偿义务机关的赔偿决定不服单独提起行政赔偿诉讼的，视为一并对行政行为提起行政诉讼</w:t>
      </w:r>
    </w:p>
    <w:p w14:paraId="7A789916">
      <w:pPr>
        <w:pStyle w:val="style0"/>
        <w:snapToGrid w:val="false"/>
        <w:spacing w:after="0" w:lineRule="auto" w:line="240"/>
        <w:ind w:firstLine="422" w:firstLineChars="200"/>
        <w:rPr>
          <w:rFonts w:hint="eastAsia"/>
        </w:rPr>
      </w:pPr>
      <w:r>
        <w:rPr>
          <w:b/>
          <w:bCs/>
        </w:rPr>
        <w:t>6．精神损害赔偿：</w:t>
      </w:r>
      <w:r>
        <w:t>精神损害赔偿的条件、内容和计算。</w:t>
      </w:r>
    </w:p>
    <w:p w14:paraId="2180E084">
      <w:pPr>
        <w:pStyle w:val="style0"/>
        <w:snapToGrid w:val="false"/>
        <w:spacing w:after="0" w:lineRule="auto" w:line="240"/>
        <w:ind w:firstLine="420" w:firstLineChars="200"/>
        <w:rPr>
          <w:rFonts w:cs="Arial Unicode MS"/>
          <w:color w:val="ff0000"/>
        </w:rPr>
      </w:pPr>
      <w:r>
        <w:rPr>
          <w:rFonts w:cs="Arial Unicode MS"/>
          <w:color w:val="ff0000"/>
        </w:rPr>
        <w:t>人身权</w:t>
      </w:r>
      <w:r>
        <w:rPr>
          <w:rFonts w:cs="Arial Unicode MS"/>
        </w:rPr>
        <w:t>受到侵犯的</w:t>
      </w:r>
      <w:r>
        <w:rPr>
          <w:rFonts w:cs="Arial Unicode MS"/>
          <w:color w:val="ff0000"/>
        </w:rPr>
        <w:t>公民才有权请求赔偿。公民受到财产权侵犯，法人都不可以请求赔偿精神损害</w:t>
      </w:r>
    </w:p>
    <w:p w14:paraId="6831F341">
      <w:pPr>
        <w:pStyle w:val="style0"/>
        <w:snapToGrid w:val="false"/>
        <w:spacing w:after="0" w:lineRule="auto" w:line="240"/>
        <w:ind w:firstLine="420" w:firstLineChars="200"/>
        <w:rPr/>
      </w:pPr>
      <w:r>
        <w:rPr>
          <w:rFonts w:cs="Arial Unicode MS"/>
          <w:color w:val="ff0000"/>
        </w:rPr>
        <w:t>侵权行为致人精神损害造成严重后果、特别严重后果，才可以请求赔偿</w:t>
      </w:r>
      <w:r>
        <w:rPr>
          <w:rFonts w:cs="Arial Unicode MS"/>
        </w:rPr>
        <w:t>精神损害抚慰金</w:t>
      </w:r>
    </w:p>
    <w:p w14:paraId="0086F88E">
      <w:pPr>
        <w:pStyle w:val="style0"/>
        <w:snapToGrid w:val="false"/>
        <w:spacing w:after="0" w:lineRule="auto" w:line="240"/>
        <w:ind w:firstLine="420" w:firstLineChars="200"/>
        <w:rPr>
          <w:rFonts w:hint="eastAsia"/>
        </w:rPr>
      </w:pPr>
      <w:r>
        <w:rPr>
          <w:rFonts w:cs="Arial Unicode MS" w:hint="eastAsia"/>
          <w:kern w:val="0"/>
        </w:rPr>
        <w:t>精神损害抚慰金的数额一般不少于1000元；数额在1000元以上的，以千为计数单位</w:t>
      </w:r>
    </w:p>
    <w:sectPr>
      <w:headerReference w:type="even" r:id="rId2"/>
      <w:headerReference w:type="default" r:id="rId3"/>
      <w:footerReference w:type="even" r:id="rId4"/>
      <w:footerReference w:type="default" r:id="rId5"/>
      <w:pgSz w:w="11900" w:h="16840" w:orient="portrait"/>
      <w:pgMar w:top="1701" w:right="1588" w:bottom="1247" w:left="1588" w:header="851" w:footer="709" w:gutter="0"/>
      <w:pgNumType w:start="2"/>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等线 Light">
    <w:altName w:val="等线 Light"/>
    <w:panose1 w:val="02010600030001010101"/>
    <w:charset w:val="86"/>
    <w:family w:val="auto"/>
    <w:pitch w:val="variable"/>
    <w:sig w:usb0="A00002BF" w:usb1="38CF7CFA" w:usb2="00000016" w:usb3="00000000" w:csb0="0004000F" w:csb1="00000000"/>
  </w:font>
  <w:font w:name="Calibri">
    <w:altName w:val="Calibri"/>
    <w:panose1 w:val="020f0502020002030204"/>
    <w:charset w:val="00"/>
    <w:family w:val="swiss"/>
    <w:pitch w:val="variable"/>
    <w:sig w:usb0="E4002EFF" w:usb1="C200247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等线">
    <w:altName w:val="DengXian"/>
    <w:panose1 w:val="02010600030001010101"/>
    <w:charset w:val="86"/>
    <w:family w:val="auto"/>
    <w:pitch w:val="variable"/>
    <w:sig w:usb0="A00002BF" w:usb1="38CF7CFA" w:usb2="00000016" w:usb3="00000000" w:csb0="0004000F" w:csb1="00000000"/>
  </w:font>
  <w:font w:name="ACADEMY ENGRAVED LET PLAIN:1.0">
    <w:altName w:val="Wide Latin"/>
    <w:panose1 w:val="00000000000000000000"/>
    <w:charset w:val="00"/>
    <w:family w:val="auto"/>
    <w:pitch w:val="default"/>
    <w:sig w:usb0="00000000" w:usb1="00000000" w:usb2="00000000" w:usb3="00000000" w:csb0="00000001" w:csb1="00000000"/>
  </w:font>
  <w:font w:name="Arial Unicode MS">
    <w:altName w:val="Malgun Gothic Semilight"/>
    <w:panose1 w:val="020b0604020002020204"/>
    <w:charset w:val="86"/>
    <w:family w:val="swiss"/>
    <w:pitch w:val="variable"/>
    <w:sig w:usb0="F7FFAFFF" w:usb1="E9DFFFFF" w:usb2="0000003F" w:usb3="00000000" w:csb0="003F01FF" w:csb1="00000000"/>
  </w:font>
  <w:font w:name="汉仪中黑简">
    <w:altName w:val="微软雅黑"/>
    <w:panose1 w:val="00000000000000000000"/>
    <w:charset w:val="86"/>
    <w:family w:val="modern"/>
    <w:pitch w:val="fixed"/>
    <w:sig w:usb0="00000001" w:usb1="080E0800" w:usb2="00000012" w:usb3="00000000" w:csb0="00040000" w:csb1="00000000"/>
  </w:font>
  <w:font w:name="黑体">
    <w:altName w:val="SimHei"/>
    <w:panose1 w:val="02010609060001010101"/>
    <w:charset w:val="86"/>
    <w:family w:val="modern"/>
    <w:pitch w:val="fixed"/>
    <w:sig w:usb0="800002BF" w:usb1="38CF7CFA" w:usb2="00000016" w:usb3="00000000" w:csb0="00040001" w:csb1="00000000"/>
  </w:font>
  <w:font w:name="汉仪书宋二简">
    <w:altName w:val="微软雅黑"/>
    <w:panose1 w:val="00000000000000000000"/>
    <w:charset w:val="86"/>
    <w:family w:val="modern"/>
    <w:pitch w:val="fixed"/>
    <w:sig w:usb0="00000001" w:usb1="080E0800" w:usb2="00000012" w:usb3="00000000" w:csb0="00040000" w:csb1="00000000"/>
  </w:font>
  <w:font w:name="微软雅黑">
    <w:altName w:val="微软雅黑"/>
    <w:panose1 w:val="020b0503020002020204"/>
    <w:charset w:val="86"/>
    <w:family w:val="swiss"/>
    <w:pitch w:val="variable"/>
    <w:sig w:usb0="80000287" w:usb1="2ACF3C50" w:usb2="00000016" w:usb3="00000000" w:csb0="0004001F" w:csb1="00000000"/>
  </w:font>
  <w:font w:name="汉仪粗宋简">
    <w:altName w:val="微软雅黑"/>
    <w:panose1 w:val="00000000000000000000"/>
    <w:charset w:val="86"/>
    <w:family w:val="modern"/>
    <w:pitch w:val="fixed"/>
    <w:sig w:usb0="00000001" w:usb1="080E0800" w:usb2="00000012" w:usb3="00000000" w:csb0="00040000" w:csb1="00000000"/>
  </w:font>
  <w:font w:name="DengXian Light">
    <w:altName w:val=""/>
    <w:panose1 w:val="00000000000000000000"/>
    <w:charset w:val="00"/>
    <w:family w:val="auto"/>
    <w:pitch w:val="default"/>
  </w:font>
  <w:font w:name="DengXian">
    <w:altName w:val=""/>
    <w:panose1 w:val="00000000000000000000"/>
    <w:charset w:val="00"/>
    <w:family w:val="auto"/>
    <w:pitch w:val="default"/>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B632FBC">
    <w:pPr>
      <w:pStyle w:val="style32"/>
      <w:spacing w:after="0" w:lineRule="auto" w:line="240"/>
      <w:rPr>
        <w:rFonts w:ascii="汉仪书宋二简" w:eastAsia="汉仪书宋二简" w:hint="eastAsia"/>
      </w:rPr>
    </w:pPr>
    <w:r>
      <w:rPr>
        <w:rFonts w:ascii="汉仪书宋二简" w:eastAsia="汉仪书宋二简" w:hint="eastAsia"/>
      </w:rPr>
      <w:fldChar w:fldCharType="begin"/>
    </w:r>
    <w:r>
      <w:rPr>
        <w:rFonts w:ascii="汉仪书宋二简" w:eastAsia="汉仪书宋二简" w:hint="eastAsia"/>
      </w:rPr>
      <w:instrText>PAGE   \* MERGEFORMAT</w:instrText>
    </w:r>
    <w:r>
      <w:rPr>
        <w:rFonts w:ascii="汉仪书宋二简" w:eastAsia="汉仪书宋二简" w:hint="eastAsia"/>
      </w:rPr>
      <w:fldChar w:fldCharType="separate"/>
    </w:r>
    <w:r>
      <w:rPr>
        <w:rFonts w:ascii="汉仪书宋二简" w:eastAsia="汉仪书宋二简" w:hint="eastAsia"/>
        <w:lang w:val="zh-CN"/>
      </w:rPr>
      <w:t>2</w:t>
    </w:r>
    <w:r>
      <w:rPr>
        <w:rFonts w:ascii="汉仪书宋二简" w:eastAsia="汉仪书宋二简" w:hint="eastAsia"/>
      </w:rPr>
      <w:fldChar w:fldCharType="end"/>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A9E174D">
    <w:pPr>
      <w:pStyle w:val="style32"/>
      <w:spacing w:after="0" w:lineRule="auto" w:line="240"/>
      <w:jc w:val="right"/>
      <w:rPr>
        <w:rFonts w:ascii="汉仪书宋二简" w:eastAsia="汉仪书宋二简" w:hint="eastAsia"/>
      </w:rPr>
    </w:pPr>
    <w:r>
      <w:rPr>
        <w:rFonts w:ascii="汉仪书宋二简" w:eastAsia="汉仪书宋二简" w:hint="eastAsia"/>
      </w:rPr>
      <w:fldChar w:fldCharType="begin"/>
    </w:r>
    <w:r>
      <w:rPr>
        <w:rFonts w:ascii="汉仪书宋二简" w:eastAsia="汉仪书宋二简" w:hint="eastAsia"/>
      </w:rPr>
      <w:instrText>PAGE   \* MERGEFORMAT</w:instrText>
    </w:r>
    <w:r>
      <w:rPr>
        <w:rFonts w:ascii="汉仪书宋二简" w:eastAsia="汉仪书宋二简" w:hint="eastAsia"/>
      </w:rPr>
      <w:fldChar w:fldCharType="separate"/>
    </w:r>
    <w:r>
      <w:rPr>
        <w:rFonts w:ascii="汉仪书宋二简" w:eastAsia="汉仪书宋二简" w:hint="eastAsia"/>
        <w:lang w:val="zh-CN"/>
      </w:rPr>
      <w:t>2</w:t>
    </w:r>
    <w:r>
      <w:rPr>
        <w:rFonts w:ascii="汉仪书宋二简" w:eastAsia="汉仪书宋二简" w:hint="eastAsia"/>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9947CD3">
    <w:pPr>
      <w:pStyle w:val="style0"/>
      <w:spacing w:lineRule="exact" w:line="207"/>
      <w:rPr>
        <w:rFonts w:hint="eastAsia"/>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624E031">
    <w:pPr>
      <w:pStyle w:val="style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86043456"/>
    <w:lvl w:ilvl="0">
      <w:start w:val="2"/>
      <w:numFmt w:val="decimal"/>
      <w:suff w:val="nothing"/>
      <w:lvlText w:val="%1．"/>
      <w:lvlJc w:val="left"/>
      <w:pPr/>
    </w:lvl>
  </w:abstractNum>
  <w:abstractNum w:abstractNumId="1">
    <w:nsid w:val="00000001"/>
    <w:multiLevelType w:val="singleLevel"/>
    <w:tmpl w:val="8AF848BE"/>
    <w:lvl w:ilvl="0">
      <w:start w:val="2"/>
      <w:numFmt w:val="chineseCounting"/>
      <w:suff w:val="nothing"/>
      <w:lvlText w:val="（%1）"/>
      <w:lvlJc w:val="left"/>
      <w:pPr/>
      <w:rPr>
        <w:rFonts w:hint="eastAsia"/>
      </w:rPr>
    </w:lvl>
  </w:abstractNum>
  <w:abstractNum w:abstractNumId="2">
    <w:nsid w:val="00000002"/>
    <w:multiLevelType w:val="singleLevel"/>
    <w:tmpl w:val="8C783E9D"/>
    <w:lvl w:ilvl="0">
      <w:start w:val="2"/>
      <w:numFmt w:val="decimal"/>
      <w:suff w:val="nothing"/>
      <w:lvlText w:val="%1．"/>
      <w:lvlJc w:val="left"/>
      <w:pPr/>
    </w:lvl>
  </w:abstractNum>
  <w:abstractNum w:abstractNumId="3">
    <w:nsid w:val="00000003"/>
    <w:multiLevelType w:val="singleLevel"/>
    <w:tmpl w:val="A77F991D"/>
    <w:lvl w:ilvl="0">
      <w:start w:val="2"/>
      <w:numFmt w:val="decimal"/>
      <w:suff w:val="space"/>
      <w:lvlText w:val="%1."/>
      <w:lvlJc w:val="left"/>
      <w:pPr/>
    </w:lvl>
  </w:abstractNum>
  <w:abstractNum w:abstractNumId="4">
    <w:nsid w:val="00000004"/>
    <w:multiLevelType w:val="singleLevel"/>
    <w:tmpl w:val="B33F1D8C"/>
    <w:lvl w:ilvl="0">
      <w:start w:val="2"/>
      <w:numFmt w:val="decimal"/>
      <w:suff w:val="space"/>
      <w:lvlText w:val="%1."/>
      <w:lvlJc w:val="left"/>
      <w:pPr/>
    </w:lvl>
  </w:abstractNum>
  <w:abstractNum w:abstractNumId="5">
    <w:nsid w:val="00000005"/>
    <w:multiLevelType w:val="singleLevel"/>
    <w:tmpl w:val="DD75A218"/>
    <w:lvl w:ilvl="0">
      <w:start w:val="4"/>
      <w:numFmt w:val="decimal"/>
      <w:suff w:val="nothing"/>
      <w:lvlText w:val="%1．"/>
      <w:lvlJc w:val="left"/>
      <w:pPr/>
    </w:lvl>
  </w:abstractNum>
  <w:abstractNum w:abstractNumId="6">
    <w:nsid w:val="00000006"/>
    <w:multiLevelType w:val="singleLevel"/>
    <w:tmpl w:val="F4D6E85D"/>
    <w:lvl w:ilvl="0">
      <w:start w:val="2"/>
      <w:numFmt w:val="decimal"/>
      <w:suff w:val="space"/>
      <w:lvlText w:val="%1."/>
      <w:lvlJc w:val="left"/>
      <w:pPr/>
    </w:lvl>
  </w:abstractNum>
  <w:abstractNum w:abstractNumId="7">
    <w:nsid w:val="00000007"/>
    <w:multiLevelType w:val="singleLevel"/>
    <w:tmpl w:val="0E2197FB"/>
    <w:lvl w:ilvl="0">
      <w:start w:val="3"/>
      <w:numFmt w:val="decimal"/>
      <w:suff w:val="space"/>
      <w:lvlText w:val="%1."/>
      <w:lvlJc w:val="left"/>
      <w:pPr/>
    </w:lvl>
  </w:abstractNum>
  <w:abstractNum w:abstractNumId="8">
    <w:nsid w:val="00000008"/>
    <w:multiLevelType w:val="singleLevel"/>
    <w:tmpl w:val="1F1CAF63"/>
    <w:lvl w:ilvl="0">
      <w:start w:val="4"/>
      <w:numFmt w:val="decimal"/>
      <w:suff w:val="nothing"/>
      <w:lvlText w:val="%1．"/>
      <w:lvlJc w:val="left"/>
      <w:pPr/>
    </w:lvl>
  </w:abstractNum>
  <w:abstractNum w:abstractNumId="9">
    <w:nsid w:val="00000009"/>
    <w:multiLevelType w:val="multilevel"/>
    <w:tmpl w:val="385D7F89"/>
    <w:lvl w:ilvl="0">
      <w:start w:val="2"/>
      <w:numFmt w:val="japaneseCounting"/>
      <w:lvlText w:val="%1、"/>
      <w:lvlJc w:val="left"/>
      <w:pPr>
        <w:ind w:left="980" w:hanging="50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10">
    <w:nsid w:val="0000000A"/>
    <w:multiLevelType w:val="singleLevel"/>
    <w:tmpl w:val="3FE596BB"/>
    <w:lvl w:ilvl="0">
      <w:start w:val="1"/>
      <w:numFmt w:val="decimal"/>
      <w:suff w:val="space"/>
      <w:lvlText w:val="%1."/>
      <w:lvlJc w:val="left"/>
      <w:pPr/>
    </w:lvl>
  </w:abstractNum>
  <w:abstractNum w:abstractNumId="11">
    <w:nsid w:val="0000000B"/>
    <w:multiLevelType w:val="hybridMultilevel"/>
    <w:tmpl w:val="8654B61C"/>
    <w:lvl w:ilvl="0" w:tplc="18245E06">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2">
    <w:nsid w:val="0000000C"/>
    <w:multiLevelType w:val="singleLevel"/>
    <w:tmpl w:val="57FF0DA0"/>
    <w:lvl w:ilvl="0">
      <w:start w:val="3"/>
      <w:numFmt w:val="decimal"/>
      <w:suff w:val="space"/>
      <w:lvlText w:val="%1."/>
      <w:lvlJc w:val="left"/>
      <w:pPr/>
    </w:lvl>
  </w:abstractNum>
  <w:abstractNum w:abstractNumId="13">
    <w:nsid w:val="0000000D"/>
    <w:multiLevelType w:val="singleLevel"/>
    <w:tmpl w:val="6D2B0A11"/>
    <w:lvl w:ilvl="0">
      <w:start w:val="2"/>
      <w:numFmt w:val="decimal"/>
      <w:suff w:val="nothing"/>
      <w:lvlText w:val="%1．"/>
      <w:lvlJc w:val="left"/>
      <w:pPr/>
    </w:lvl>
  </w:abstractNum>
  <w:abstractNum w:abstractNumId="14">
    <w:nsid w:val="0000000E"/>
    <w:multiLevelType w:val="singleLevel"/>
    <w:tmpl w:val="6E12A7BA"/>
    <w:lvl w:ilvl="0">
      <w:start w:val="2"/>
      <w:numFmt w:val="decimal"/>
      <w:suff w:val="nothing"/>
      <w:lvlText w:val="%1．"/>
      <w:lvlJc w:val="left"/>
      <w:pPr/>
    </w:lvl>
  </w:abstractNum>
  <w:abstractNum w:abstractNumId="15">
    <w:nsid w:val="0000000F"/>
    <w:multiLevelType w:val="singleLevel"/>
    <w:tmpl w:val="7BAFA35B"/>
    <w:lvl w:ilvl="0">
      <w:start w:val="2"/>
      <w:numFmt w:val="decimal"/>
      <w:suff w:val="space"/>
      <w:lvlText w:val="%1."/>
      <w:lvlJc w:val="left"/>
      <w:pPr/>
    </w:lvl>
  </w:abstractNum>
  <w:abstractNum w:abstractNumId="16">
    <w:nsid w:val="00000010"/>
    <w:multiLevelType w:val="hybridMultilevel"/>
    <w:tmpl w:val="25EE8928"/>
    <w:lvl w:ilvl="0" w:tplc="AA7ABA42">
      <w:start w:val="1"/>
      <w:numFmt w:val="decimalEnclosedCircle"/>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7">
    <w:nsid w:val="00000011"/>
    <w:multiLevelType w:val="singleLevel"/>
    <w:tmpl w:val="7FB74024"/>
    <w:lvl w:ilvl="0">
      <w:start w:val="3"/>
      <w:numFmt w:val="decimal"/>
      <w:suff w:val="space"/>
      <w:lvlText w:val="%1."/>
      <w:lvlJc w:val="left"/>
      <w:pPr/>
    </w:lvl>
  </w:abstractNum>
  <w:num w:numId="1">
    <w:abstractNumId w:val="0"/>
  </w:num>
  <w:num w:numId="2">
    <w:abstractNumId w:val="13"/>
  </w:num>
  <w:num w:numId="3">
    <w:abstractNumId w:val="2"/>
  </w:num>
  <w:num w:numId="4">
    <w:abstractNumId w:val="17"/>
  </w:num>
  <w:num w:numId="5">
    <w:abstractNumId w:val="12"/>
  </w:num>
  <w:num w:numId="6">
    <w:abstractNumId w:val="3"/>
  </w:num>
  <w:num w:numId="7">
    <w:abstractNumId w:val="4"/>
  </w:num>
  <w:num w:numId="8">
    <w:abstractNumId w:val="15"/>
  </w:num>
  <w:num w:numId="9">
    <w:abstractNumId w:val="1"/>
  </w:num>
  <w:num w:numId="10">
    <w:abstractNumId w:val="7"/>
  </w:num>
  <w:num w:numId="11">
    <w:abstractNumId w:val="8"/>
  </w:num>
  <w:num w:numId="12">
    <w:abstractNumId w:val="10"/>
  </w:num>
  <w:num w:numId="13">
    <w:abstractNumId w:val="5"/>
  </w:num>
  <w:num w:numId="14">
    <w:abstractNumId w:val="14"/>
  </w:num>
  <w:num w:numId="15">
    <w:abstractNumId w:val="9"/>
  </w:num>
  <w:num w:numId="16">
    <w:abstractNumId w:val="6"/>
  </w:num>
  <w:num w:numId="17">
    <w:abstractNumId w:val="11"/>
  </w:num>
  <w:num w:numId="18">
    <w:abstractNumId w:val="1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displayBackgroundShape/>
  <w:bordersDoNotSurroundHeader/>
  <w:bordersDoNotSurroundFooter/>
  <w:hideSpellingError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readOnly" w:enforcement="0"/>
  <w:defaultTabStop w:val="420"/>
  <w:evenAndOddHeaders/>
  <w:drawingGridHorizontalSpacing w:val="105"/>
  <w:drawingGridVerticalSpacing w:val="423"/>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spacing w:after="160" w:lineRule="auto" w:line="278"/>
      </w:pPr>
    </w:pPrDefault>
  </w:docDefaults>
  <w:style w:type="paragraph" w:default="1" w:styleId="style0">
    <w:name w:val="Normal"/>
    <w:next w:val="style0"/>
    <w:qFormat/>
    <w:pPr>
      <w:widowControl w:val="false"/>
      <w:jc w:val="both"/>
    </w:pPr>
    <w:rPr>
      <w:rFonts w:ascii="宋体" w:cs="宋体" w:hAnsi="宋体"/>
      <w:color w:val="000000"/>
      <w:kern w:val="2"/>
      <w:sz w:val="21"/>
      <w:szCs w:val="21"/>
    </w:rPr>
  </w:style>
  <w:style w:type="paragraph" w:styleId="style1">
    <w:name w:val="heading 1"/>
    <w:basedOn w:val="style0"/>
    <w:next w:val="style0"/>
    <w:link w:val="style4097"/>
    <w:qFormat/>
    <w:uiPriority w:val="9"/>
    <w:pPr>
      <w:keepNext/>
      <w:keepLines/>
      <w:spacing w:before="340" w:after="330" w:lineRule="auto" w:line="578"/>
      <w:outlineLvl w:val="0"/>
    </w:pPr>
    <w:rPr>
      <w:b/>
      <w:bCs/>
      <w:kern w:val="44"/>
      <w:sz w:val="44"/>
      <w:szCs w:val="44"/>
    </w:rPr>
  </w:style>
  <w:style w:type="paragraph" w:styleId="style2">
    <w:name w:val="heading 2"/>
    <w:basedOn w:val="style0"/>
    <w:next w:val="style0"/>
    <w:link w:val="style4098"/>
    <w:qFormat/>
    <w:uiPriority w:val="9"/>
    <w:pPr>
      <w:keepNext/>
      <w:keepLines/>
      <w:spacing w:before="260" w:after="260" w:lineRule="auto" w:line="416"/>
      <w:outlineLvl w:val="1"/>
    </w:pPr>
    <w:rPr>
      <w:rFonts w:ascii="DengXian Light" w:cs="宋体" w:eastAsia="DengXian Light" w:hAnsi="DengXian Light"/>
      <w:b/>
      <w:bCs/>
      <w:sz w:val="32"/>
      <w:szCs w:val="32"/>
    </w:rPr>
  </w:style>
  <w:style w:type="paragraph" w:styleId="style3">
    <w:name w:val="heading 3"/>
    <w:basedOn w:val="style0"/>
    <w:next w:val="style0"/>
    <w:link w:val="style4110"/>
    <w:qFormat/>
    <w:pPr>
      <w:keepNext/>
      <w:keepLines/>
      <w:spacing w:before="260" w:after="260" w:lineRule="auto" w:line="413"/>
      <w:outlineLvl w:val="2"/>
    </w:pPr>
    <w:rPr>
      <w:b/>
      <w:sz w:val="32"/>
    </w:rPr>
  </w:style>
  <w:style w:type="paragraph" w:styleId="style4">
    <w:name w:val="heading 4"/>
    <w:basedOn w:val="style0"/>
    <w:next w:val="style0"/>
    <w:link w:val="style4126"/>
    <w:qFormat/>
    <w:uiPriority w:val="9"/>
    <w:pPr>
      <w:keepNext/>
      <w:keepLines/>
      <w:spacing w:before="280" w:after="290" w:lineRule="auto" w:line="376"/>
      <w:outlineLvl w:val="3"/>
    </w:pPr>
    <w:rPr>
      <w:rFonts w:ascii="DengXian Light" w:cs="宋体" w:eastAsia="DengXian Light" w:hAnsi="DengXian Light"/>
      <w:b/>
      <w:bCs/>
      <w:sz w:val="28"/>
      <w:szCs w:val="28"/>
    </w:rPr>
  </w:style>
  <w:style w:type="paragraph" w:styleId="style5">
    <w:name w:val="heading 5"/>
    <w:basedOn w:val="style0"/>
    <w:next w:val="style0"/>
    <w:link w:val="style4130"/>
    <w:qFormat/>
    <w:pPr>
      <w:keepNext/>
      <w:keepLines/>
      <w:spacing w:before="280" w:after="290" w:lineRule="auto" w:line="376"/>
      <w:outlineLvl w:val="4"/>
    </w:pPr>
    <w:rPr>
      <w:rFonts w:ascii="Calibri" w:cs="Times New Roman" w:hAnsi="Calibri"/>
      <w:b/>
      <w:bCs/>
      <w:color w:val="auto"/>
      <w:sz w:val="28"/>
      <w:szCs w:val="2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25">
    <w:name w:val="toc 7"/>
    <w:basedOn w:val="style0"/>
    <w:next w:val="style0"/>
    <w:qFormat/>
    <w:uiPriority w:val="39"/>
    <w:pPr>
      <w:ind w:left="1260"/>
    </w:pPr>
    <w:rPr/>
  </w:style>
  <w:style w:type="paragraph" w:styleId="style89">
    <w:name w:val="Document Map"/>
    <w:basedOn w:val="style0"/>
    <w:next w:val="style89"/>
    <w:link w:val="style4100"/>
    <w:qFormat/>
    <w:pPr/>
    <w:rPr>
      <w:sz w:val="24"/>
      <w:szCs w:val="24"/>
    </w:rPr>
  </w:style>
  <w:style w:type="paragraph" w:styleId="style30">
    <w:name w:val="annotation text"/>
    <w:basedOn w:val="style0"/>
    <w:next w:val="style30"/>
    <w:link w:val="style4101"/>
    <w:qFormat/>
    <w:uiPriority w:val="99"/>
    <w:pPr>
      <w:jc w:val="left"/>
    </w:pPr>
    <w:rPr/>
  </w:style>
  <w:style w:type="paragraph" w:styleId="style23">
    <w:name w:val="toc 5"/>
    <w:basedOn w:val="style0"/>
    <w:next w:val="style0"/>
    <w:qFormat/>
    <w:uiPriority w:val="39"/>
    <w:pPr>
      <w:ind w:left="840"/>
    </w:pPr>
    <w:rPr/>
  </w:style>
  <w:style w:type="paragraph" w:styleId="style21">
    <w:name w:val="toc 3"/>
    <w:basedOn w:val="style0"/>
    <w:next w:val="style0"/>
    <w:qFormat/>
    <w:uiPriority w:val="39"/>
    <w:pPr>
      <w:ind w:left="420"/>
    </w:pPr>
    <w:rPr/>
  </w:style>
  <w:style w:type="paragraph" w:styleId="style90">
    <w:name w:val="Plain Text"/>
    <w:basedOn w:val="style0"/>
    <w:next w:val="style90"/>
    <w:link w:val="style4099"/>
    <w:qFormat/>
    <w:pPr/>
    <w:rPr>
      <w:rFonts w:cs="Courier New" w:hAnsi="Courier New"/>
      <w:kern w:val="0"/>
      <w:sz w:val="20"/>
    </w:rPr>
  </w:style>
  <w:style w:type="paragraph" w:styleId="style26">
    <w:name w:val="toc 8"/>
    <w:basedOn w:val="style0"/>
    <w:next w:val="style0"/>
    <w:qFormat/>
    <w:uiPriority w:val="39"/>
    <w:pPr>
      <w:ind w:left="1470"/>
    </w:pPr>
    <w:rPr/>
  </w:style>
  <w:style w:type="paragraph" w:styleId="style153">
    <w:name w:val="Balloon Text"/>
    <w:basedOn w:val="style0"/>
    <w:next w:val="style153"/>
    <w:link w:val="style4102"/>
    <w:qFormat/>
    <w:uiPriority w:val="99"/>
    <w:pPr/>
    <w:rPr>
      <w:sz w:val="18"/>
      <w:szCs w:val="18"/>
    </w:rPr>
  </w:style>
  <w:style w:type="paragraph" w:styleId="style32">
    <w:name w:val="footer"/>
    <w:basedOn w:val="style0"/>
    <w:next w:val="style32"/>
    <w:link w:val="style4103"/>
    <w:qFormat/>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104"/>
    <w:qFormat/>
    <w:pPr>
      <w:pBdr>
        <w:bottom w:val="single" w:sz="6" w:space="1" w:color="auto"/>
      </w:pBdr>
      <w:tabs>
        <w:tab w:val="center" w:leader="none" w:pos="4153"/>
        <w:tab w:val="right" w:leader="none" w:pos="8306"/>
      </w:tabs>
      <w:snapToGrid w:val="false"/>
      <w:jc w:val="center"/>
    </w:pPr>
    <w:rPr>
      <w:sz w:val="18"/>
      <w:szCs w:val="18"/>
    </w:rPr>
  </w:style>
  <w:style w:type="paragraph" w:styleId="style19">
    <w:name w:val="toc 1"/>
    <w:basedOn w:val="style0"/>
    <w:next w:val="style0"/>
    <w:qFormat/>
    <w:uiPriority w:val="39"/>
    <w:pPr/>
  </w:style>
  <w:style w:type="paragraph" w:styleId="style22">
    <w:name w:val="toc 4"/>
    <w:basedOn w:val="style0"/>
    <w:next w:val="style0"/>
    <w:qFormat/>
    <w:uiPriority w:val="39"/>
    <w:pPr>
      <w:ind w:left="630"/>
    </w:pPr>
    <w:rPr/>
  </w:style>
  <w:style w:type="paragraph" w:styleId="style74">
    <w:name w:val="Subtitle"/>
    <w:basedOn w:val="style0"/>
    <w:next w:val="style0"/>
    <w:link w:val="style4127"/>
    <w:qFormat/>
    <w:uiPriority w:val="11"/>
    <w:pPr>
      <w:spacing w:before="240" w:after="60" w:lineRule="auto" w:line="312"/>
      <w:jc w:val="center"/>
      <w:outlineLvl w:val="1"/>
    </w:pPr>
    <w:rPr>
      <w:rFonts w:ascii="DengXian" w:cs="宋体" w:eastAsia="DengXian" w:hAnsi="DengXian"/>
      <w:b/>
      <w:bCs/>
      <w:kern w:val="28"/>
      <w:sz w:val="32"/>
      <w:szCs w:val="32"/>
    </w:rPr>
  </w:style>
  <w:style w:type="paragraph" w:styleId="style29">
    <w:name w:val="footnote text"/>
    <w:basedOn w:val="style0"/>
    <w:next w:val="style29"/>
    <w:link w:val="style4108"/>
    <w:qFormat/>
    <w:uiPriority w:val="99"/>
    <w:pPr>
      <w:snapToGrid w:val="false"/>
      <w:jc w:val="left"/>
    </w:pPr>
    <w:rPr>
      <w:sz w:val="18"/>
    </w:rPr>
  </w:style>
  <w:style w:type="paragraph" w:styleId="style24">
    <w:name w:val="toc 6"/>
    <w:basedOn w:val="style0"/>
    <w:next w:val="style0"/>
    <w:qFormat/>
    <w:uiPriority w:val="39"/>
    <w:pPr>
      <w:ind w:left="1050"/>
    </w:pPr>
    <w:rPr/>
  </w:style>
  <w:style w:type="paragraph" w:styleId="style20">
    <w:name w:val="toc 2"/>
    <w:basedOn w:val="style0"/>
    <w:next w:val="style0"/>
    <w:qFormat/>
    <w:uiPriority w:val="39"/>
    <w:pPr>
      <w:ind w:left="210"/>
    </w:pPr>
    <w:rPr/>
  </w:style>
  <w:style w:type="paragraph" w:styleId="style27">
    <w:name w:val="toc 9"/>
    <w:basedOn w:val="style0"/>
    <w:next w:val="style0"/>
    <w:qFormat/>
    <w:uiPriority w:val="39"/>
    <w:pPr>
      <w:ind w:left="1680"/>
    </w:pPr>
    <w:rPr/>
  </w:style>
  <w:style w:type="paragraph" w:styleId="style94">
    <w:name w:val="Normal (Web)"/>
    <w:basedOn w:val="style0"/>
    <w:next w:val="style94"/>
    <w:qFormat/>
    <w:uiPriority w:val="99"/>
    <w:pPr>
      <w:widowControl/>
      <w:spacing w:before="100" w:beforeAutospacing="true" w:after="100" w:afterAutospacing="true"/>
      <w:jc w:val="left"/>
    </w:pPr>
    <w:rPr>
      <w:color w:val="auto"/>
      <w:kern w:val="0"/>
      <w:sz w:val="24"/>
      <w:szCs w:val="24"/>
    </w:rPr>
  </w:style>
  <w:style w:type="paragraph" w:styleId="style62">
    <w:name w:val="Title"/>
    <w:basedOn w:val="style0"/>
    <w:next w:val="style0"/>
    <w:link w:val="style4105"/>
    <w:qFormat/>
    <w:uiPriority w:val="10"/>
    <w:pPr>
      <w:spacing w:before="240" w:after="60"/>
      <w:jc w:val="center"/>
      <w:outlineLvl w:val="0"/>
    </w:pPr>
    <w:rPr>
      <w:rFonts w:ascii="DengXian Light" w:cs="宋体" w:eastAsia="DengXian Light" w:hAnsi="DengXian Light"/>
      <w:b/>
      <w:bCs/>
      <w:sz w:val="32"/>
      <w:szCs w:val="32"/>
    </w:rPr>
  </w:style>
  <w:style w:type="paragraph" w:styleId="style106">
    <w:name w:val="annotation subject"/>
    <w:basedOn w:val="style30"/>
    <w:next w:val="style30"/>
    <w:link w:val="style4106"/>
    <w:qFormat/>
    <w:uiPriority w:val="99"/>
    <w:pPr/>
    <w:rPr>
      <w:b/>
      <w:bCs/>
    </w:rPr>
  </w:style>
  <w:style w:type="table" w:styleId="style154">
    <w:name w:val="Table Grid"/>
    <w:basedOn w:val="style105"/>
    <w:next w:val="style154"/>
    <w:qFormat/>
    <w:pPr/>
    <w:rPr>
      <w:rFonts w:ascii="DengXian" w:cs="宋体" w:eastAsia="DengXian" w:hAnsi="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next w:val="style87"/>
    <w:qFormat/>
    <w:rPr>
      <w:b/>
    </w:rPr>
  </w:style>
  <w:style w:type="character" w:styleId="style41">
    <w:name w:val="page number"/>
    <w:basedOn w:val="style65"/>
    <w:next w:val="style41"/>
    <w:qFormat/>
    <w:uiPriority w:val="99"/>
  </w:style>
  <w:style w:type="character" w:styleId="style86">
    <w:name w:val="FollowedHyperlink"/>
    <w:basedOn w:val="style65"/>
    <w:next w:val="style86"/>
    <w:qFormat/>
    <w:uiPriority w:val="99"/>
    <w:rPr>
      <w:color w:val="954f72"/>
      <w:u w:val="single"/>
    </w:rPr>
  </w:style>
  <w:style w:type="character" w:styleId="style85">
    <w:name w:val="Hyperlink"/>
    <w:basedOn w:val="style65"/>
    <w:next w:val="style85"/>
    <w:qFormat/>
    <w:uiPriority w:val="99"/>
    <w:rPr>
      <w:color w:val="0563c1"/>
      <w:u w:val="single"/>
    </w:rPr>
  </w:style>
  <w:style w:type="character" w:styleId="style39">
    <w:name w:val="annotation reference"/>
    <w:basedOn w:val="style65"/>
    <w:next w:val="style39"/>
    <w:qFormat/>
    <w:uiPriority w:val="99"/>
    <w:rPr>
      <w:sz w:val="21"/>
      <w:szCs w:val="21"/>
    </w:rPr>
  </w:style>
  <w:style w:type="character" w:styleId="style38">
    <w:name w:val="footnote reference"/>
    <w:basedOn w:val="style65"/>
    <w:next w:val="style38"/>
    <w:qFormat/>
    <w:rPr>
      <w:vertAlign w:val="superscript"/>
    </w:rPr>
  </w:style>
  <w:style w:type="character" w:customStyle="1" w:styleId="style4097">
    <w:name w:val="标题 1 字符"/>
    <w:next w:val="style4097"/>
    <w:link w:val="style1"/>
    <w:qFormat/>
    <w:uiPriority w:val="9"/>
    <w:rPr>
      <w:b/>
      <w:bCs/>
      <w:kern w:val="44"/>
      <w:sz w:val="44"/>
      <w:szCs w:val="44"/>
    </w:rPr>
  </w:style>
  <w:style w:type="character" w:customStyle="1" w:styleId="style4098">
    <w:name w:val="标题 2 字符"/>
    <w:basedOn w:val="style65"/>
    <w:next w:val="style4098"/>
    <w:link w:val="style2"/>
    <w:qFormat/>
    <w:uiPriority w:val="9"/>
    <w:rPr>
      <w:rFonts w:ascii="DengXian Light" w:cs="宋体" w:eastAsia="DengXian Light" w:hAnsi="DengXian Light"/>
      <w:b/>
      <w:bCs/>
      <w:kern w:val="2"/>
      <w:sz w:val="32"/>
      <w:szCs w:val="32"/>
    </w:rPr>
  </w:style>
  <w:style w:type="character" w:customStyle="1" w:styleId="style4099">
    <w:name w:val="纯文本 字符"/>
    <w:next w:val="style4099"/>
    <w:link w:val="style90"/>
    <w:qFormat/>
    <w:rPr>
      <w:rFonts w:ascii="宋体" w:cs="Courier New" w:hAnsi="Courier New"/>
      <w:szCs w:val="21"/>
    </w:rPr>
  </w:style>
  <w:style w:type="paragraph" w:styleId="style179">
    <w:name w:val="List Paragraph"/>
    <w:basedOn w:val="style0"/>
    <w:next w:val="style179"/>
    <w:qFormat/>
    <w:uiPriority w:val="34"/>
    <w:pPr>
      <w:ind w:firstLine="420" w:firstLineChars="200"/>
    </w:pPr>
    <w:rPr/>
  </w:style>
  <w:style w:type="character" w:customStyle="1" w:styleId="style4100">
    <w:name w:val="文档结构图 字符"/>
    <w:basedOn w:val="style65"/>
    <w:next w:val="style4100"/>
    <w:link w:val="style89"/>
    <w:qFormat/>
    <w:rPr>
      <w:rFonts w:ascii="宋体" w:cs="宋体" w:hAnsi="宋体"/>
      <w:color w:val="000000"/>
      <w:kern w:val="2"/>
      <w:sz w:val="24"/>
      <w:szCs w:val="24"/>
    </w:rPr>
  </w:style>
  <w:style w:type="character" w:customStyle="1" w:styleId="style4101">
    <w:name w:val="批注文字 字符"/>
    <w:basedOn w:val="style65"/>
    <w:next w:val="style4101"/>
    <w:link w:val="style30"/>
    <w:qFormat/>
    <w:uiPriority w:val="99"/>
    <w:rPr>
      <w:rFonts w:ascii="宋体" w:cs="宋体" w:hAnsi="宋体"/>
      <w:color w:val="000000"/>
      <w:kern w:val="2"/>
      <w:sz w:val="21"/>
      <w:szCs w:val="21"/>
    </w:rPr>
  </w:style>
  <w:style w:type="character" w:customStyle="1" w:styleId="style4102">
    <w:name w:val="批注框文本 字符"/>
    <w:basedOn w:val="style65"/>
    <w:next w:val="style4102"/>
    <w:link w:val="style153"/>
    <w:qFormat/>
    <w:uiPriority w:val="99"/>
    <w:rPr>
      <w:rFonts w:ascii="宋体" w:cs="宋体" w:hAnsi="宋体"/>
      <w:color w:val="000000"/>
      <w:kern w:val="2"/>
      <w:sz w:val="18"/>
      <w:szCs w:val="18"/>
    </w:rPr>
  </w:style>
  <w:style w:type="character" w:customStyle="1" w:styleId="style4103">
    <w:name w:val="页脚 字符"/>
    <w:basedOn w:val="style65"/>
    <w:next w:val="style4103"/>
    <w:link w:val="style32"/>
    <w:qFormat/>
    <w:rPr>
      <w:rFonts w:ascii="宋体" w:cs="宋体" w:hAnsi="宋体"/>
      <w:color w:val="000000"/>
      <w:kern w:val="2"/>
      <w:sz w:val="18"/>
      <w:szCs w:val="18"/>
    </w:rPr>
  </w:style>
  <w:style w:type="character" w:customStyle="1" w:styleId="style4104">
    <w:name w:val="页眉 字符"/>
    <w:basedOn w:val="style65"/>
    <w:next w:val="style4104"/>
    <w:link w:val="style31"/>
    <w:qFormat/>
    <w:rPr>
      <w:rFonts w:ascii="宋体" w:cs="宋体" w:hAnsi="宋体"/>
      <w:color w:val="000000"/>
      <w:kern w:val="2"/>
      <w:sz w:val="18"/>
      <w:szCs w:val="18"/>
    </w:rPr>
  </w:style>
  <w:style w:type="character" w:customStyle="1" w:styleId="style4105">
    <w:name w:val="标题 字符"/>
    <w:basedOn w:val="style65"/>
    <w:next w:val="style4105"/>
    <w:link w:val="style62"/>
    <w:qFormat/>
    <w:uiPriority w:val="10"/>
    <w:rPr>
      <w:rFonts w:ascii="DengXian Light" w:cs="宋体" w:eastAsia="DengXian Light" w:hAnsi="DengXian Light"/>
      <w:b/>
      <w:bCs/>
      <w:color w:val="000000"/>
      <w:kern w:val="2"/>
      <w:sz w:val="32"/>
      <w:szCs w:val="32"/>
    </w:rPr>
  </w:style>
  <w:style w:type="character" w:customStyle="1" w:styleId="style4106">
    <w:name w:val="批注主题 字符"/>
    <w:basedOn w:val="style4101"/>
    <w:next w:val="style4106"/>
    <w:link w:val="style106"/>
    <w:qFormat/>
    <w:uiPriority w:val="99"/>
    <w:rPr>
      <w:rFonts w:ascii="宋体" w:cs="宋体" w:hAnsi="宋体"/>
      <w:b/>
      <w:bCs/>
      <w:color w:val="000000"/>
      <w:kern w:val="2"/>
      <w:sz w:val="21"/>
      <w:szCs w:val="21"/>
    </w:rPr>
  </w:style>
  <w:style w:type="table" w:customStyle="1" w:styleId="style4107">
    <w:name w:val="网格型1"/>
    <w:basedOn w:val="style105"/>
    <w:next w:val="style4107"/>
    <w:qFormat/>
    <w:pPr/>
    <w:rPr>
      <w:rFonts w:ascii="DengXian" w:cs="宋体" w:eastAsia="DengXian" w:hAnsi="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08">
    <w:name w:val="脚注文本 字符"/>
    <w:basedOn w:val="style65"/>
    <w:next w:val="style4108"/>
    <w:link w:val="style29"/>
    <w:qFormat/>
    <w:uiPriority w:val="99"/>
    <w:rPr>
      <w:rFonts w:ascii="宋体" w:cs="宋体" w:eastAsia="宋体" w:hAnsi="宋体" w:hint="eastAsia"/>
      <w:kern w:val="2"/>
      <w:sz w:val="18"/>
      <w:szCs w:val="18"/>
    </w:rPr>
  </w:style>
  <w:style w:type="paragraph" w:customStyle="1" w:styleId="style4109">
    <w:name w:val="msolistparagraph"/>
    <w:basedOn w:val="style0"/>
    <w:next w:val="style4109"/>
    <w:qFormat/>
    <w:pPr>
      <w:ind w:firstLine="420" w:firstLineChars="200"/>
    </w:pPr>
    <w:rPr>
      <w:rFonts w:cs="Times New Roman" w:hint="eastAsia"/>
      <w:sz w:val="24"/>
      <w:szCs w:val="24"/>
    </w:rPr>
  </w:style>
  <w:style w:type="character" w:customStyle="1" w:styleId="style4110">
    <w:name w:val="标题 3 字符"/>
    <w:basedOn w:val="style65"/>
    <w:next w:val="style4110"/>
    <w:link w:val="style3"/>
    <w:qFormat/>
    <w:rPr>
      <w:rFonts w:ascii="宋体" w:cs="宋体" w:eastAsia="宋体" w:hAnsi="宋体" w:hint="eastAsia"/>
      <w:b/>
      <w:kern w:val="2"/>
      <w:sz w:val="32"/>
      <w:szCs w:val="32"/>
    </w:rPr>
  </w:style>
  <w:style w:type="character" w:customStyle="1" w:styleId="style4111">
    <w:name w:val="页脚 字符1"/>
    <w:basedOn w:val="style65"/>
    <w:next w:val="style4111"/>
    <w:qFormat/>
    <w:uiPriority w:val="99"/>
    <w:rPr>
      <w:rFonts w:ascii="Calibri" w:cs="Times New Roman" w:eastAsia="宋体" w:hAnsi="Calibri"/>
      <w:sz w:val="18"/>
      <w:szCs w:val="18"/>
    </w:rPr>
  </w:style>
  <w:style w:type="character" w:customStyle="1" w:styleId="style4112">
    <w:name w:val="批注框文本 字符1"/>
    <w:basedOn w:val="style65"/>
    <w:next w:val="style4112"/>
    <w:qFormat/>
    <w:uiPriority w:val="99"/>
    <w:rPr>
      <w:rFonts w:ascii="宋体" w:cs="Times New Roman" w:eastAsia="宋体" w:hAnsi="Calibri"/>
      <w:sz w:val="18"/>
      <w:szCs w:val="18"/>
    </w:rPr>
  </w:style>
  <w:style w:type="character" w:customStyle="1" w:styleId="style4113">
    <w:name w:val="文档结构图 字符1"/>
    <w:basedOn w:val="style65"/>
    <w:next w:val="style4113"/>
    <w:qFormat/>
    <w:uiPriority w:val="99"/>
    <w:rPr>
      <w:rFonts w:ascii="ACADEMY ENGRAVED LET PLAIN:1.0" w:cs="Times New Roman" w:eastAsia="宋体" w:hAnsi="ACADEMY ENGRAVED LET PLAIN:1.0"/>
      <w:sz w:val="26"/>
      <w:szCs w:val="26"/>
    </w:rPr>
  </w:style>
  <w:style w:type="character" w:customStyle="1" w:styleId="style4114">
    <w:name w:val="纯文本 字符1"/>
    <w:basedOn w:val="style65"/>
    <w:next w:val="style4114"/>
    <w:qFormat/>
    <w:uiPriority w:val="99"/>
    <w:rPr>
      <w:rFonts w:ascii="DengXian" w:cs="Courier New" w:hAnsi="Courier New"/>
      <w:sz w:val="21"/>
    </w:rPr>
  </w:style>
  <w:style w:type="character" w:customStyle="1" w:styleId="style4115">
    <w:name w:val="脚注文本 字符1"/>
    <w:basedOn w:val="style65"/>
    <w:next w:val="style4115"/>
    <w:qFormat/>
    <w:uiPriority w:val="99"/>
    <w:rPr>
      <w:rFonts w:ascii="Calibri" w:cs="Times New Roman" w:eastAsia="宋体" w:hAnsi="Calibri"/>
      <w:sz w:val="18"/>
      <w:szCs w:val="18"/>
    </w:rPr>
  </w:style>
  <w:style w:type="character" w:customStyle="1" w:styleId="style4116">
    <w:name w:val="页眉 字符1"/>
    <w:basedOn w:val="style65"/>
    <w:next w:val="style4116"/>
    <w:qFormat/>
    <w:uiPriority w:val="99"/>
    <w:rPr>
      <w:rFonts w:ascii="Calibri" w:cs="Times New Roman" w:eastAsia="宋体" w:hAnsi="Calibri"/>
      <w:sz w:val="18"/>
      <w:szCs w:val="18"/>
    </w:rPr>
  </w:style>
  <w:style w:type="paragraph" w:customStyle="1" w:styleId="style4117">
    <w:name w:val="列出段落1"/>
    <w:basedOn w:val="style0"/>
    <w:next w:val="style4117"/>
    <w:qFormat/>
    <w:uiPriority w:val="34"/>
    <w:pPr>
      <w:ind w:firstLine="420" w:firstLineChars="200"/>
    </w:pPr>
    <w:rPr>
      <w:rFonts w:ascii="Calibri" w:cs="Times New Roman" w:hAnsi="Calibri"/>
      <w:color w:val="auto"/>
      <w:szCs w:val="24"/>
    </w:rPr>
  </w:style>
  <w:style w:type="paragraph" w:customStyle="1" w:styleId="style4118">
    <w:name w:val="无间隔1"/>
    <w:next w:val="style4118"/>
    <w:qFormat/>
    <w:uiPriority w:val="1"/>
    <w:pPr>
      <w:widowControl w:val="false"/>
      <w:jc w:val="both"/>
    </w:pPr>
    <w:rPr>
      <w:rFonts w:ascii="Calibri" w:hAnsi="Calibri"/>
      <w:kern w:val="2"/>
      <w:sz w:val="21"/>
      <w:szCs w:val="24"/>
    </w:rPr>
  </w:style>
  <w:style w:type="paragraph" w:customStyle="1" w:styleId="style4119">
    <w:name w:val="列出段落11"/>
    <w:basedOn w:val="style0"/>
    <w:next w:val="style4119"/>
    <w:qFormat/>
    <w:uiPriority w:val="34"/>
    <w:pPr>
      <w:ind w:firstLine="420" w:firstLineChars="200"/>
    </w:pPr>
    <w:rPr>
      <w:rFonts w:ascii="Calibri" w:cs="Times New Roman" w:hAnsi="Calibri"/>
      <w:color w:val="auto"/>
      <w:szCs w:val="24"/>
    </w:rPr>
  </w:style>
  <w:style w:type="table" w:customStyle="1" w:styleId="style4120">
    <w:name w:val="Table Normal"/>
    <w:next w:val="style4120"/>
    <w:qFormat/>
    <w:pPr/>
    <w:rPr>
      <w:rFonts w:eastAsia="等线"/>
    </w:rPr>
    <w:tblPr>
      <w:tblCellMar>
        <w:top w:w="0" w:type="dxa"/>
        <w:left w:w="0" w:type="dxa"/>
        <w:bottom w:w="0" w:type="dxa"/>
        <w:right w:w="0" w:type="dxa"/>
      </w:tblCellMar>
    </w:tblPr>
    <w:tcPr>
      <w:tcBorders/>
    </w:tcPr>
  </w:style>
  <w:style w:type="character" w:customStyle="1" w:styleId="style4121">
    <w:name w:val="无"/>
    <w:next w:val="style4121"/>
    <w:qFormat/>
  </w:style>
  <w:style w:type="table" w:customStyle="1" w:styleId="style4122">
    <w:name w:val="Table Normal1"/>
    <w:next w:val="style4122"/>
    <w:qFormat/>
    <w:pPr/>
    <w:rPr>
      <w:rFonts w:eastAsia="DengXian"/>
    </w:rPr>
    <w:tblPr>
      <w:tblCellMar>
        <w:top w:w="0" w:type="dxa"/>
        <w:left w:w="0" w:type="dxa"/>
        <w:bottom w:w="0" w:type="dxa"/>
        <w:right w:w="0" w:type="dxa"/>
      </w:tblCellMar>
    </w:tblPr>
    <w:tcPr>
      <w:tcBorders/>
    </w:tcPr>
  </w:style>
  <w:style w:type="character" w:customStyle="1" w:styleId="style4123">
    <w:name w:val="Hyperlink.1"/>
    <w:basedOn w:val="style4121"/>
    <w:next w:val="style4123"/>
    <w:qFormat/>
    <w:rPr>
      <w:rFonts w:ascii="宋体" w:cs="宋体" w:eastAsia="宋体" w:hAnsi="宋体"/>
      <w:color w:val="000000"/>
      <w:u w:color="000000"/>
      <w:lang w:val="zh-TW" w:eastAsia="zh-TW"/>
    </w:rPr>
  </w:style>
  <w:style w:type="paragraph" w:customStyle="1" w:styleId="style4124">
    <w:name w:val="正文 A"/>
    <w:next w:val="style4124"/>
    <w:qFormat/>
    <w:pPr>
      <w:widowControl w:val="false"/>
      <w:jc w:val="both"/>
    </w:pPr>
    <w:rPr>
      <w:rFonts w:ascii="Calibri" w:cs="Arial Unicode MS" w:eastAsia="Arial Unicode MS" w:hAnsi="Calibri"/>
      <w:color w:val="000000"/>
      <w:kern w:val="2"/>
      <w:sz w:val="21"/>
      <w:szCs w:val="21"/>
      <w:u w:color="000000"/>
    </w:rPr>
  </w:style>
  <w:style w:type="paragraph" w:customStyle="1" w:styleId="style4125">
    <w:name w:val="表格标题1"/>
    <w:basedOn w:val="style0"/>
    <w:next w:val="style4125"/>
    <w:qFormat/>
    <w:pPr>
      <w:tabs>
        <w:tab w:val="left" w:leader="none" w:pos="420"/>
      </w:tabs>
      <w:spacing w:before="10" w:beforeLines="10" w:after="20" w:afterLines="20" w:lineRule="exact" w:line="280"/>
      <w:jc w:val="center"/>
    </w:pPr>
    <w:rPr>
      <w:rFonts w:eastAsia="汉仪中黑简"/>
      <w:color w:val="ff0000"/>
      <w:sz w:val="20"/>
    </w:rPr>
  </w:style>
  <w:style w:type="character" w:customStyle="1" w:styleId="style4126">
    <w:name w:val="标题 4 字符"/>
    <w:basedOn w:val="style65"/>
    <w:next w:val="style4126"/>
    <w:link w:val="style4"/>
    <w:uiPriority w:val="9"/>
    <w:rPr>
      <w:rFonts w:ascii="DengXian Light" w:cs="宋体" w:eastAsia="DengXian Light" w:hAnsi="DengXian Light"/>
      <w:b/>
      <w:bCs/>
      <w:color w:val="000000"/>
      <w:kern w:val="2"/>
      <w:sz w:val="28"/>
      <w:szCs w:val="28"/>
    </w:rPr>
  </w:style>
  <w:style w:type="character" w:customStyle="1" w:styleId="style4127">
    <w:name w:val="副标题 字符"/>
    <w:basedOn w:val="style65"/>
    <w:next w:val="style4127"/>
    <w:link w:val="style74"/>
    <w:qFormat/>
    <w:uiPriority w:val="11"/>
    <w:rPr>
      <w:rFonts w:ascii="DengXian" w:cs="宋体" w:eastAsia="DengXian" w:hAnsi="DengXian"/>
      <w:b/>
      <w:bCs/>
      <w:color w:val="000000"/>
      <w:kern w:val="28"/>
      <w:sz w:val="32"/>
      <w:szCs w:val="32"/>
    </w:rPr>
  </w:style>
  <w:style w:type="character" w:customStyle="1" w:styleId="style4128">
    <w:name w:val="样式1 字符"/>
    <w:next w:val="style4128"/>
    <w:link w:val="style4129"/>
    <w:rPr>
      <w:rFonts w:ascii="黑体" w:cs="黑体" w:eastAsia="黑体" w:hAnsi="黑体"/>
      <w:kern w:val="2"/>
      <w:sz w:val="17"/>
      <w:szCs w:val="17"/>
    </w:rPr>
  </w:style>
  <w:style w:type="paragraph" w:customStyle="1" w:styleId="style4129">
    <w:name w:val="样式1"/>
    <w:basedOn w:val="style0"/>
    <w:next w:val="style4129"/>
    <w:link w:val="style4128"/>
    <w:qFormat/>
    <w:pPr>
      <w:spacing w:lineRule="exact" w:line="207"/>
      <w:jc w:val="left"/>
    </w:pPr>
    <w:rPr>
      <w:rFonts w:ascii="黑体" w:cs="黑体" w:eastAsia="黑体" w:hAnsi="黑体"/>
      <w:color w:val="auto"/>
      <w:sz w:val="17"/>
      <w:szCs w:val="17"/>
    </w:rPr>
  </w:style>
  <w:style w:type="character" w:customStyle="1" w:styleId="style4130">
    <w:name w:val="标题 5 字符"/>
    <w:basedOn w:val="style65"/>
    <w:next w:val="style4130"/>
    <w:link w:val="style5"/>
    <w:qFormat/>
    <w:rPr>
      <w:rFonts w:ascii="Calibri" w:hAnsi="Calibri"/>
      <w:b/>
      <w:bCs/>
      <w:kern w:val="2"/>
      <w:sz w:val="28"/>
      <w:szCs w:val="28"/>
    </w:rPr>
  </w:style>
  <w:style w:type="paragraph" w:customStyle="1" w:styleId="style4131">
    <w:name w:val="列表段落1"/>
    <w:basedOn w:val="style0"/>
    <w:next w:val="style4131"/>
    <w:qFormat/>
    <w:uiPriority w:val="34"/>
    <w:pPr>
      <w:ind w:firstLine="420" w:firstLineChars="200"/>
    </w:pPr>
    <w:rPr>
      <w:rFonts w:ascii="DengXian" w:cs="宋体" w:eastAsia="DengXian" w:hAnsi="DengXian"/>
      <w:color w:val="auto"/>
      <w:szCs w:val="22"/>
    </w:rPr>
  </w:style>
  <w:style w:type="character" w:customStyle="1" w:styleId="style4132">
    <w:name w:val="未处理的提及1"/>
    <w:basedOn w:val="style65"/>
    <w:next w:val="style4132"/>
    <w:uiPriority w:val="99"/>
    <w:rPr>
      <w:color w:val="605e5c"/>
      <w:shd w:val="clear" w:color="auto" w:fill="e1dfdd"/>
    </w:rPr>
  </w:style>
  <w:style w:type="character" w:customStyle="1" w:styleId="style4133">
    <w:name w:val="未处理的提及2"/>
    <w:basedOn w:val="style65"/>
    <w:next w:val="style4133"/>
    <w:uiPriority w:val="99"/>
    <w:rPr>
      <w:color w:val="605e5c"/>
      <w:shd w:val="clear" w:color="auto" w:fill="e1dfdd"/>
    </w:rPr>
  </w:style>
  <w:style w:type="numbering" w:customStyle="1" w:styleId="style4134">
    <w:name w:val="无列表1"/>
    <w:next w:val="style107"/>
    <w:uiPriority w:val="99"/>
    <w:pPr/>
  </w:style>
  <w:style w:type="table" w:customStyle="1" w:styleId="style4135">
    <w:name w:val="网格型2"/>
    <w:basedOn w:val="style105"/>
    <w:next w:val="style154"/>
    <w:qFormat/>
    <w:pPr>
      <w:spacing w:after="0" w:lineRule="auto" w:line="240"/>
    </w:pPr>
    <w:rPr>
      <w:rFonts w:ascii="DengXian" w:cs="宋体" w:eastAsia="DengXian" w:hAnsi="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36">
    <w:name w:val="网格型11"/>
    <w:basedOn w:val="style105"/>
    <w:next w:val="style4136"/>
    <w:qFormat/>
    <w:pPr>
      <w:spacing w:after="0" w:lineRule="auto" w:line="240"/>
    </w:pPr>
    <w:rPr>
      <w:rFonts w:ascii="DengXian" w:cs="宋体" w:eastAsia="DengXian" w:hAnsi="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37">
    <w:name w:val="Table Normal2"/>
    <w:next w:val="style4137"/>
    <w:qFormat/>
    <w:pPr>
      <w:spacing w:after="0" w:lineRule="auto" w:line="240"/>
    </w:pPr>
    <w:rPr>
      <w:rFonts w:eastAsia="等线"/>
    </w:rPr>
    <w:tblPr>
      <w:tblCellMar>
        <w:top w:w="0" w:type="dxa"/>
        <w:left w:w="0" w:type="dxa"/>
        <w:bottom w:w="0" w:type="dxa"/>
        <w:right w:w="0" w:type="dxa"/>
      </w:tblCellMar>
    </w:tblPr>
    <w:tcPr>
      <w:tcBorders/>
    </w:tcPr>
  </w:style>
  <w:style w:type="table" w:customStyle="1" w:styleId="style4138">
    <w:name w:val="Table Normal11"/>
    <w:next w:val="style4138"/>
    <w:qFormat/>
    <w:pPr>
      <w:spacing w:after="0" w:lineRule="auto" w:line="240"/>
    </w:pPr>
    <w:rPr>
      <w:rFonts w:eastAsia="DengXian"/>
    </w:rPr>
    <w:tblPr>
      <w:tblCellMar>
        <w:top w:w="0" w:type="dxa"/>
        <w:left w:w="0" w:type="dxa"/>
        <w:bottom w:w="0" w:type="dxa"/>
        <w:right w:w="0" w:type="dxa"/>
      </w:tblCellMar>
    </w:tblPr>
    <w:tcPr>
      <w:tcBorders/>
    </w:tcPr>
  </w:style>
  <w:style w:type="character" w:customStyle="1" w:styleId="style4139">
    <w:name w:val="Unresolved Mention"/>
    <w:basedOn w:val="style65"/>
    <w:next w:val="style4139"/>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customXml" Target="../customXml/item2.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footer" Target="footer4.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 StyleName="" Version="0"/>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EEEF7D8D-3A44-4765-8B2A-718795FD185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TotalTime>
  <Words>13877</Words>
  <Pages>10</Pages>
  <Characters>13987</Characters>
  <Application>WPS Office</Application>
  <DocSecurity>0</DocSecurity>
  <Paragraphs>335</Paragraphs>
  <ScaleCrop>false</ScaleCrop>
  <LinksUpToDate>false</LinksUpToDate>
  <CharactersWithSpaces>14041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2026-09-03T14:20:00Z</dcterms:created>
  <dc:creator>Microsoft Office 用户</dc:creator>
  <lastModifiedBy>SM-S9110</lastModifiedBy>
  <lastPrinted>2026-08-20T02:56:00Z</lastPrinted>
  <dcterms:modified xsi:type="dcterms:W3CDTF">2026-09-04T13:51:30Z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65c45d9e948243d882429afc5ade0837_23</vt:lpwstr>
  </property>
</Properties>
</file>