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sz w:val="22"/>
          <w:szCs w:val="22"/>
          <w:lang w:val="en-US" w:eastAsia="zh-CN"/>
        </w:rPr>
      </w:pPr>
      <w:r>
        <w:rPr>
          <w:rFonts w:hint="eastAsia"/>
          <w:b/>
          <w:bCs/>
          <w:sz w:val="22"/>
          <w:szCs w:val="22"/>
          <w:lang w:val="en-US" w:eastAsia="zh-CN"/>
        </w:rPr>
        <w:t>经济法三科客观冲刺预测考点课堂笔记</w:t>
      </w:r>
    </w:p>
    <w:p w14:paraId="38E877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sz w:val="22"/>
          <w:szCs w:val="22"/>
          <w:lang w:val="en-US" w:eastAsia="zh-CN"/>
        </w:rPr>
      </w:pPr>
    </w:p>
    <w:p w14:paraId="5A249D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b/>
          <w:bCs/>
          <w:sz w:val="22"/>
          <w:szCs w:val="22"/>
          <w:lang w:val="en-US" w:eastAsia="zh-CN"/>
        </w:rPr>
      </w:pPr>
      <w:r>
        <w:rPr>
          <w:rFonts w:hint="eastAsia"/>
          <w:b/>
          <w:bCs/>
          <w:sz w:val="22"/>
          <w:szCs w:val="22"/>
          <w:lang w:val="en-US" w:eastAsia="zh-CN"/>
        </w:rPr>
        <w:t>经济法</w:t>
      </w:r>
    </w:p>
    <w:p w14:paraId="0AE97E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【考点1：垄断行为】</w:t>
      </w:r>
    </w:p>
    <w:p w14:paraId="2E603B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一、垄断协议</w:t>
      </w:r>
    </w:p>
    <w:p w14:paraId="0D2043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1.横向垄断协议。</w:t>
      </w:r>
    </w:p>
    <w:p w14:paraId="33D6CE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（1）固定或者变更商品价格；</w:t>
      </w:r>
    </w:p>
    <w:p w14:paraId="25EE6F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（2）限制商品的生产数量或者销售数量；</w:t>
      </w:r>
    </w:p>
    <w:p w14:paraId="13D355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（3）分割销售市场或者原材料采购市场；</w:t>
      </w:r>
    </w:p>
    <w:p w14:paraId="4F4A96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（4）限制购买新技术、新设备或者限制开发新技术、新产品；</w:t>
      </w:r>
    </w:p>
    <w:p w14:paraId="058E24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（5）联合抵制交易；</w:t>
      </w:r>
    </w:p>
    <w:p w14:paraId="1F2BB8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（6）国务院反垄断执法机构认定的其他垄断协议</w:t>
      </w:r>
    </w:p>
    <w:p w14:paraId="2C9499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2.纵向垄断协议</w:t>
      </w:r>
    </w:p>
    <w:p w14:paraId="73E3BE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（1）固定向第三人转售商品的价格。</w:t>
      </w:r>
    </w:p>
    <w:p w14:paraId="502AC8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（2）限定向第三人转售商品的最低价格。</w:t>
      </w:r>
    </w:p>
    <w:p w14:paraId="65AD1C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（3）国务院反垄断执法机构认定的其他垄断协议。</w:t>
      </w:r>
    </w:p>
    <w:p w14:paraId="190716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对前述第1项和第2项规定的协议，经营者能够证明其不具有排除、限制竞争效果的，不予禁止。</w:t>
      </w:r>
    </w:p>
    <w:p w14:paraId="3F6824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经营者能够证明其在相关市场的市场份额低于国务院反垄断执法机构规定的标准，并符合国务院反垄断执法机构规定的其他条件的，不予禁止</w:t>
      </w:r>
    </w:p>
    <w:p w14:paraId="6C38D3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3.组织、帮助达成垄断协议</w:t>
      </w:r>
    </w:p>
    <w:p w14:paraId="0D0A58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非垄断协议当事人的经营者，组织其他经营者达成垄断协议或者为其他经营者达成垄断协议提供实质性帮助的，构成《反垄断法》禁止的行为</w:t>
      </w:r>
    </w:p>
    <w:p w14:paraId="6B4F2E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4.垄断协议的适用除外</w:t>
      </w:r>
    </w:p>
    <w:p w14:paraId="479A0F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（1）为改进技术、研究开发新产品的；</w:t>
      </w:r>
    </w:p>
    <w:p w14:paraId="7D80F5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（2）为提高产品质量、降低成本、增进效率，统一产品规格、标准或者实行专业化分工的；</w:t>
      </w:r>
    </w:p>
    <w:p w14:paraId="6F8F0E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（3）为提高中小经营者经营效率，增强中小经营者竞争力的；</w:t>
      </w:r>
    </w:p>
    <w:p w14:paraId="51A169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（4）为实现节约能源、保护环境、救灾救助等社会公共利益的；</w:t>
      </w:r>
    </w:p>
    <w:p w14:paraId="0549A8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（5）因经济不景气，为缓解销售量严重下降或者生产明显过剩的；</w:t>
      </w:r>
    </w:p>
    <w:p w14:paraId="4FAF5F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（6）为保障对外贸易和对外经济合作中的正当利益的；</w:t>
      </w:r>
    </w:p>
    <w:p w14:paraId="685659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（7）法律和国务院规定的其他情形。</w:t>
      </w:r>
    </w:p>
    <w:p w14:paraId="1B634A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属于上述第1项至第5项情形，经营者还应当证明所达成的协议不会严重限制相关市场的竞争，并且能够使消费者分享由此产生的利益，这样才可以免除法律责任。</w:t>
      </w:r>
    </w:p>
    <w:p w14:paraId="7E2D27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总结：对于第6项情形，实施的是直接豁免</w:t>
      </w:r>
    </w:p>
    <w:p w14:paraId="727417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5.行业协会限制竞争行为</w:t>
      </w:r>
    </w:p>
    <w:p w14:paraId="4CE5F6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行业协会违反《反垄断法》规定，组织本行业的经营者达成垄断协议的，由反垄断执法机构责令改正，可以处三百万元以下的罚款；情节严重的，社会团体登记管理机关可以依法撤销登记。</w:t>
      </w:r>
    </w:p>
    <w:p w14:paraId="18F829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6.处罚</w:t>
      </w:r>
    </w:p>
    <w:p w14:paraId="670EC8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（1）经营者主动向反垄断执法机构报告达成垄断协议的有关情况并提供重要证据的，反垄断执法机构可以酌情减轻或者免除对该经营者的处罚。</w:t>
      </w:r>
    </w:p>
    <w:p w14:paraId="4CD532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违反《反垄断法》规定，达成并实施垄断协议的，由反垄断执法机构责令停止违法行为，没收违法所得，并处上一年度销售额百分之一以上百分之十以下的罚款，上一年度没有销售额的，处五百万元以下的罚款；尚未实施所达成的垄断协议的，可以处三百万元以下的罚款。经营者的法定代表人、主要负责人和直接责任人员对达成垄断协议负有个人责任的，可以处一百万元以下的罚款。经营者组织其他经营者达成垄断协议或者为其他经营者达成垄断协议提供实质性帮助的，适用前款规定。</w:t>
      </w:r>
    </w:p>
    <w:p w14:paraId="4531AB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二、滥用市场支配地位</w:t>
      </w:r>
    </w:p>
    <w:p w14:paraId="552319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1.市场支配地位的认定</w:t>
      </w:r>
    </w:p>
    <w:p w14:paraId="72214A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有下列情形之一的，可以推定经营者具有市场支配地位：</w:t>
      </w:r>
    </w:p>
    <w:p w14:paraId="497B3D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a．一个经营者在相关市场的市场份额达到二分之一的；</w:t>
      </w:r>
    </w:p>
    <w:p w14:paraId="17137C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b．两个经营者在相关市场的市场份额合计达到三分之二的；</w:t>
      </w:r>
    </w:p>
    <w:p w14:paraId="13A8B7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c．三个经营者在相关市场的市场份额合计达到四分之三的。</w:t>
      </w:r>
    </w:p>
    <w:p w14:paraId="67E263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有上述b项、c项规定的情形，其中有的经营者市场份额不足十分之一的，不应当推定该经营者具有市场支配地位。被推定具有市场支配地位的经营者，有证据证明不具有市场支配地位的，不应当认定其具有市场支配地位。</w:t>
      </w:r>
    </w:p>
    <w:p w14:paraId="059C21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2.滥用市场支配地位的表现形式</w:t>
      </w:r>
    </w:p>
    <w:p w14:paraId="55EBF8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（1）低买高卖：以不公平的高价销售商品或者以不公平的低价购买商品</w:t>
      </w:r>
    </w:p>
    <w:p w14:paraId="7DA722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（2）低价倾销：没有正当理由，以低于成本的价格销售商品</w:t>
      </w:r>
    </w:p>
    <w:p w14:paraId="35A17D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（3）拒绝交易：没有正当理由，拒绝与交易相对人进行交易</w:t>
      </w:r>
    </w:p>
    <w:p w14:paraId="63E62A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（4）强制交易：没有正当理由，限定交易相对人只能与其进行交易或者只能与其指定的经营者进行交易</w:t>
      </w:r>
    </w:p>
    <w:p w14:paraId="0FE241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（5）搭售：没有正当理由搭售商品，或者在交易时附加其他不合理的交易条件</w:t>
      </w:r>
    </w:p>
    <w:p w14:paraId="67D1BB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（6）差别待遇：没有正当理由，对条件相同的交易相对人在交易价格等交易条件上实行差别待遇</w:t>
      </w:r>
    </w:p>
    <w:p w14:paraId="066AE5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3.处罚</w:t>
      </w:r>
    </w:p>
    <w:p w14:paraId="776EEC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经营者违反《反垄断法》规定，滥用市场支配地位的，由反垄断执法机构责令停止违法行为，没收违法所得，并处上一年度销售额百分之一以上百分之十以下的罚款。</w:t>
      </w:r>
    </w:p>
    <w:p w14:paraId="68F9AC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造成损失的，依法承担民事责任；垄断行为损害社会公共利益的，设区的市级以上人民检察院可以依法向人民法院提起民事公益诉讼</w:t>
      </w:r>
    </w:p>
    <w:p w14:paraId="29D89E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三、经营者集中</w:t>
      </w:r>
    </w:p>
    <w:p w14:paraId="7A5052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1.经营者集中的情形</w:t>
      </w:r>
    </w:p>
    <w:p w14:paraId="46CD09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（1）经营者合并</w:t>
      </w:r>
    </w:p>
    <w:p w14:paraId="12A828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（2）经营者通过取得股权或者资产的方式取得对其他经营者的控制权</w:t>
      </w:r>
    </w:p>
    <w:p w14:paraId="15845C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（3）经营者通过合同等方式取得对其他经营者的控制权或者能够对其他经营者施加决定性影响</w:t>
      </w:r>
    </w:p>
    <w:p w14:paraId="0FB2BE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2.经营者集中申报的要求</w:t>
      </w:r>
    </w:p>
    <w:p w14:paraId="24817D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（1）经营者集中达到国务院规定的申报标准的，经营者应当事先向国务院反垄断执法机构申报，未申报的不得实施集中。</w:t>
      </w:r>
    </w:p>
    <w:p w14:paraId="767230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（2）经营者集中未达到国务院规定的申报标准，但有证据证明该经营者集中具有或者可能具有排除、限制竞争效果的，国务院反垄断执法机构可以要求经营者申报。</w:t>
      </w:r>
    </w:p>
    <w:p w14:paraId="2E3C6A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（3）经营者未依照前述规定进行申报的，国务院反垄断执法机构应当依法进行调查</w:t>
      </w:r>
    </w:p>
    <w:p w14:paraId="404CDE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3.申报的免除</w:t>
      </w:r>
    </w:p>
    <w:p w14:paraId="656DE4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（1）参与集中的一个经营者拥有其他每个经营者百分之五十以上有表决权的股份或者资产的；（母子公司合并）</w:t>
      </w:r>
    </w:p>
    <w:p w14:paraId="177B43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（2）参与集中的每个经营者百分之五十以上有表决权的股份或者资产被同一个未参与集中的经营者拥有的（姐妹公司合并）</w:t>
      </w:r>
    </w:p>
    <w:p w14:paraId="5F19BA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4.例外</w:t>
      </w:r>
    </w:p>
    <w:p w14:paraId="5C3C0D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集中具有或者可能具有排除、限制竞争效果的，国务院反垄断执法机构应当作出禁止经营者集中的决定。但是，经营者能够证明该集中对竞争产生的有利影响明显大于不利影响，或者符合社会公共利益的，国务院反垄断执法机构可以作出对经营者集中不予禁止的决定。（第34条）</w:t>
      </w:r>
    </w:p>
    <w:p w14:paraId="3CE34F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（2）对不予禁止的经营者集中，国务院反垄断执法机构可以决定附加减少集中对竞争产生不利影响的限制性条件。（第35条）</w:t>
      </w:r>
    </w:p>
    <w:p w14:paraId="5694D3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（3）对反垄断执法机构依据《反垄断法》第34条、第35条作出的决定不服的，可以先依法申请行政复议；对行政复议决定不服的，可以依法提起行政诉讼。（F65）</w:t>
      </w:r>
    </w:p>
    <w:p w14:paraId="6A6DD0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注意：此处行政复议属于行政诉讼的前置程序。</w:t>
      </w:r>
    </w:p>
    <w:p w14:paraId="1560CC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对反垄断执法机构作出的前款规定以外的决定不服的，可以依法申请行政复议或者提起行政诉讼。</w:t>
      </w:r>
    </w:p>
    <w:p w14:paraId="5451B5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（4）对外资并购境内企业或者以其他方式参与经营者集中，涉及国家安全的，除依照《反垄断法》规定进行经营者集中审查外，还应当按照国家有关规定进行国家安全审查。</w:t>
      </w:r>
    </w:p>
    <w:p w14:paraId="3A8F84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5.处罚</w:t>
      </w:r>
    </w:p>
    <w:p w14:paraId="29FBA1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经营者违反《反垄断法》规定实施集中，且具有或者可能具有排除、限制竞争效果的，由国务院反垄断执法机构责令停止实施集中、限期处分股份或者资产、限期转让营业以及采取其他必要措施恢复到集中前的状态，处上一年度销售额百分之十以下的罚款；不具有排除、限制竞争效果的，处五百万元以下的罚款。</w:t>
      </w:r>
    </w:p>
    <w:p w14:paraId="2233FA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四、行政垄断</w:t>
      </w:r>
    </w:p>
    <w:p w14:paraId="5ED9AB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1.强制交易</w:t>
      </w:r>
    </w:p>
    <w:p w14:paraId="288E2C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不得滥用行政权力，限定或者变相限定单位或者个人经营、购买、使用其指定的经营者提供的商品</w:t>
      </w:r>
    </w:p>
    <w:p w14:paraId="0EC725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2.地区封锁</w:t>
      </w:r>
    </w:p>
    <w:p w14:paraId="0A206C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（1）对外地商品设定歧视性收费项目、实行歧视性收费标准，或者规定歧视性价格；</w:t>
      </w:r>
    </w:p>
    <w:p w14:paraId="4680AC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（2）对外地商品规定与本地同类商品不同的技术要求、检验标准，或者对外地商品采取重复检验、重复认证等歧视性技术措施，限制外地商品进入本地市场；</w:t>
      </w:r>
    </w:p>
    <w:p w14:paraId="030B4A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（3）采取专门针对外地商品的行政许可，限制外地商品进入本地市场；</w:t>
      </w:r>
    </w:p>
    <w:p w14:paraId="608EB2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（4）设置关卡或者采取其他手段，阻碍外地商品进入或者本地商品运出；</w:t>
      </w:r>
    </w:p>
    <w:p w14:paraId="3FA8C6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（5）以设定歧视性资质要求、评审标准或者不依法发布信息等方式，排斥或者限制外地经营者参加本地的招标投标以及其他经营活动；</w:t>
      </w:r>
    </w:p>
    <w:p w14:paraId="0A1DE2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（6）采取与本地经营者不平等待遇等方式，排斥、限制、强制或者变相强制外地经营者在本地投资或者设立分支机构。</w:t>
      </w:r>
    </w:p>
    <w:p w14:paraId="04C175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3.法律后果</w:t>
      </w:r>
    </w:p>
    <w:p w14:paraId="7F0365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（1）行政机关和法律、法规授权的具有管理公共事务职能的组织滥用行政权力，实施排除、限制竞争行为的，由上级机关责令改正；</w:t>
      </w:r>
    </w:p>
    <w:p w14:paraId="20F9C9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（2）对直接负责的主管人员和其他直接责任人员依法给予处分；</w:t>
      </w:r>
    </w:p>
    <w:p w14:paraId="376053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（3）反垄断执法机构可以向有关上级机关提出依法处理的建议。</w:t>
      </w:r>
    </w:p>
    <w:p w14:paraId="0F242C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注意：行政垄断中反垄断执法机构没有直接的处罚权</w:t>
      </w:r>
    </w:p>
    <w:p w14:paraId="3AB4E0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0DCCF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【考点2:不正当竞争行为】</w:t>
      </w:r>
    </w:p>
    <w:p w14:paraId="7F9A75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一、混淆行为</w:t>
      </w:r>
    </w:p>
    <w:p w14:paraId="0F4E9B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1．擅自使用与他人有一定影响的商品名称、包装、装潢等相同或者近似的标识。</w:t>
      </w:r>
    </w:p>
    <w:p w14:paraId="286720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“装潢”是指由经营者营业场所的装饰、营业用具的式样、营业人员的服饰等构成的具有独特风格的整体营业形象。</w:t>
      </w:r>
    </w:p>
    <w:p w14:paraId="289AC9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2．擅自使用他人有一定影响的名称（包括简称、字号等）、姓名（包括笔名、艺名、网名、译名等）。</w:t>
      </w:r>
    </w:p>
    <w:p w14:paraId="4841E1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3．擅自使用他人有一定影响的域名主体部分、网站名称、网页、新媒体账号名称、应用程序名称或者图标等。</w:t>
      </w:r>
    </w:p>
    <w:p w14:paraId="26DD90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4．其他足以引人误认为是他人商品或者与他人存在特定联系的混淆行为。</w:t>
      </w:r>
    </w:p>
    <w:p w14:paraId="6EFF1A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擅自将他人注册商标、未注册的驰名商标作为企业名称中的字号使用，或者将他人商品名称、企业名称（包括简称、字号等）、注册商标、未注册的驰名商标等设置为搜索关键词，引人误认为是他人商品或者与他人存在特定联系的。</w:t>
      </w:r>
    </w:p>
    <w:p w14:paraId="2E982C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二、商业贿赂行为</w:t>
      </w:r>
    </w:p>
    <w:p w14:paraId="066CBA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1.对象范围</w:t>
      </w:r>
    </w:p>
    <w:p w14:paraId="07F953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经营者不得采用财物或者其他手段贿赂下列单位或者个人，以谋取交易机会或者竞争优势：</w:t>
      </w:r>
    </w:p>
    <w:p w14:paraId="632A07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（1）交易相对方的工作人员；</w:t>
      </w:r>
    </w:p>
    <w:p w14:paraId="4DFCC3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（2）受交易相对方委托办理相关事务的单位或者个人；</w:t>
      </w:r>
    </w:p>
    <w:p w14:paraId="732CB3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（3）利用职权或者影响力影响交易的单位或者个人</w:t>
      </w:r>
    </w:p>
    <w:p w14:paraId="303B87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2.合法行为</w:t>
      </w:r>
    </w:p>
    <w:p w14:paraId="20CE9B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经营者在交易活动中，可以以明示方式向交易相对方支付折扣，或者向中间人支付佣金。经营者向交易相对方支付折扣、向中间人支付佣金的，应当如实入账。接受折扣、佣金的经营者也应当如实入账。</w:t>
      </w:r>
    </w:p>
    <w:p w14:paraId="74220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3.表现形式</w:t>
      </w:r>
    </w:p>
    <w:p w14:paraId="100B05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（1）非以明示方式支付折扣、佣金的，或者支付或接受折扣佣金未如实入账的，构成商业贿赂行为。</w:t>
      </w:r>
    </w:p>
    <w:p w14:paraId="6C5ACF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（2）经营者的工作人员进行贿赂的，应当认定为经营者的行为；但是，经营者有证据证明该工作人员的行为与为经营者谋取交易机会或者竞争优势无关的除外。</w:t>
      </w:r>
    </w:p>
    <w:p w14:paraId="1E40C4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三、虚假宣传行为</w:t>
      </w:r>
    </w:p>
    <w:p w14:paraId="5A89F1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1.方式</w:t>
      </w:r>
    </w:p>
    <w:p w14:paraId="760AB0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（1）对商品作片面的宣传或对比</w:t>
      </w:r>
    </w:p>
    <w:p w14:paraId="504F29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（2）将科学上未定论的观点、现象等当作定论的事实用于商品宣传</w:t>
      </w:r>
    </w:p>
    <w:p w14:paraId="069166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（3）使用歧义性语言进行商业宣传</w:t>
      </w:r>
    </w:p>
    <w:p w14:paraId="3964B7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（4）其他足以引人误解的商业宣传行为</w:t>
      </w:r>
    </w:p>
    <w:p w14:paraId="5B1163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2.组织虚假交易</w:t>
      </w:r>
    </w:p>
    <w:p w14:paraId="504CF4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经营者不得通过组织虚假交易等方式，帮助其他经营者进行虚假或者引人误解的商业宣传。</w:t>
      </w:r>
    </w:p>
    <w:p w14:paraId="61EFB1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四、侵犯商业秘密行为</w:t>
      </w:r>
    </w:p>
    <w:p w14:paraId="230E84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1.表现</w:t>
      </w:r>
    </w:p>
    <w:p w14:paraId="7CDBD6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（1）以盗窃、贿赂、欺诈、胁迫、电子侵入或者其他不正当手段获取权利人的商业秘密</w:t>
      </w:r>
    </w:p>
    <w:p w14:paraId="082172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（2）披露、使用或者允许他人使用以前项手段获取的权利人的商业秘密</w:t>
      </w:r>
    </w:p>
    <w:p w14:paraId="59EA63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（3）违反保密义务或者违反权利人有关保守商业秘密的要求，披露、使用或者允许他人使用其所掌握的商业秘密</w:t>
      </w:r>
    </w:p>
    <w:p w14:paraId="0661E5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（4）教唆、引诱、帮助他人违反保密义务或者违反权利人有关保守商业秘密的要求，获取、披露、使用或者允许他人使用权利人的商业秘密</w:t>
      </w:r>
    </w:p>
    <w:p w14:paraId="77A08A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2.考点提示</w:t>
      </w:r>
    </w:p>
    <w:p w14:paraId="3FD3DA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（1）经营者以外的其他自然人、法人和非法人组织实施前款所列违法行为的，视为侵犯商业秘密。</w:t>
      </w:r>
    </w:p>
    <w:p w14:paraId="3C06D8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（2）第三人明知或者应知商业秘密权利人的员工、前员工或者其他单位、个人实施上述表现1-4所列违法行为，仍获取、披露、使用或者允许他人使用该商业秘密的，视为侵犯商业秘密</w:t>
      </w:r>
    </w:p>
    <w:p w14:paraId="56FEC2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3.不属于侵犯商业秘密的情形</w:t>
      </w:r>
    </w:p>
    <w:p w14:paraId="2A3206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客户基于对员工个人的信赖而与该员工所在单位进行交易，该员工离职后，能够证明客户自愿选择与该员工或者该员工所在的新单位进行交易的，人民法院应当认定该员工没有采用不正当手段获取权利人的商业秘密。</w:t>
      </w:r>
    </w:p>
    <w:p w14:paraId="6F2D66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（2）利用某一技术手段来研发和破解另一技术，此种行为称为“反向工程”</w:t>
      </w:r>
    </w:p>
    <w:p w14:paraId="0D768C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五、不正当有奖销售行为</w:t>
      </w:r>
    </w:p>
    <w:p w14:paraId="6CB557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1．所设奖的种类、兑奖条件、奖金金额或者奖品等有奖销售信息不明确，影响兑奖</w:t>
      </w:r>
    </w:p>
    <w:p w14:paraId="402098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2．有奖销售活动开始后，无正当理由变更所设奖的种类、兑奖条件、奖金金额或者奖品等有奖销售信息</w:t>
      </w:r>
    </w:p>
    <w:p w14:paraId="400D63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3．采用谎称有奖或者故意让内定人员中奖的欺骗方式进行有奖销售</w:t>
      </w:r>
    </w:p>
    <w:p w14:paraId="7DD787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4．抽奖式的有奖销售，最高奖的金额超过5万元</w:t>
      </w:r>
    </w:p>
    <w:p w14:paraId="6FC9CF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六、诋毁商誉行为</w:t>
      </w:r>
    </w:p>
    <w:p w14:paraId="7C666C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1．行为人是具有对抗性竞争关系的经营者；</w:t>
      </w:r>
    </w:p>
    <w:p w14:paraId="7CF8A7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注意：新闻单位被利用和唆使侵害他人商誉，仅构成一般的侵害他人名誉权行为，而非不正当竞争行为</w:t>
      </w:r>
    </w:p>
    <w:p w14:paraId="7374A4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2．行为手段是捏造、散布或指使他人捏造、散布虚假事实</w:t>
      </w:r>
    </w:p>
    <w:p w14:paraId="6DCBA3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3．行为人出于主观故意</w:t>
      </w:r>
    </w:p>
    <w:p w14:paraId="47DFA0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4．诋毁他人商誉行为一般是针对一个或者多个特定竞争对手。（考点）</w:t>
      </w:r>
    </w:p>
    <w:p w14:paraId="33C027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问：如何看待对比性广告？</w:t>
      </w:r>
    </w:p>
    <w:p w14:paraId="70DCE0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答：如果以同行业所有其他经营者为竞争对手而进行贬低宣传，也构成诋毁。</w:t>
      </w:r>
    </w:p>
    <w:p w14:paraId="723235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七、互联网不正当竞争行为</w:t>
      </w:r>
    </w:p>
    <w:p w14:paraId="5521D9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1.表现</w:t>
      </w:r>
    </w:p>
    <w:p w14:paraId="4EF827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（1）未经其他经营者同意，在其合法提供的网络产品或者服务中，插入链接、强制进行目标跳转；</w:t>
      </w:r>
    </w:p>
    <w:p w14:paraId="52760B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（2）误导、欺骗、强迫用户修改、关闭、卸载其他经营者合法提供的网络产品或者服务；</w:t>
      </w:r>
    </w:p>
    <w:p w14:paraId="3FCD5C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（3）恶意对其他经营者合法提供的网络产品或者服务实施不兼容；</w:t>
      </w:r>
    </w:p>
    <w:p w14:paraId="4E3B5E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（4）其他妨碍、破坏其他经营者合法提供的网络产品或者服务正常运行的行为</w:t>
      </w:r>
    </w:p>
    <w:p w14:paraId="3FD0C1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2.滥用平台规则</w:t>
      </w:r>
    </w:p>
    <w:p w14:paraId="6C7719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（1）平台经营者不得强制或者变相强制平台内经营者按照其定价规则，以低于成本的价格销售商品，扰乱市场竞争秩序。</w:t>
      </w:r>
    </w:p>
    <w:p w14:paraId="179947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（2）经营者不得滥用平台规则，直接或者指使他人对其他经营者实施虚假交易、虚假评价或者恶意退货等行为，损害其他经营者的合法权益，扰乱市场竞争秩序</w:t>
      </w:r>
    </w:p>
    <w:p w14:paraId="554DCC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3.数据抓取：经营者不得以欺诈、胁迫、避开或者破坏技术管理措施等不正当方式，获取、使用其他经营者合法持有的数据，损害其他经营者的合法权益，扰乱市场竞争秩序。</w:t>
      </w:r>
    </w:p>
    <w:p w14:paraId="6D0A76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D966C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【考点3:消费者权益保护】</w:t>
      </w:r>
    </w:p>
    <w:p w14:paraId="200461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一、经营者的三包义务</w:t>
      </w:r>
    </w:p>
    <w:p w14:paraId="7D86F3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1.经营者提供的商品或者服务不符合质量要求的，消费者可以依照国家规定、当事人约定退货，或者要求经营者履行更换、修理等义务；</w:t>
      </w:r>
    </w:p>
    <w:p w14:paraId="120E29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2.没有国家规定和当事人约定的，消费者可以自收到商品之日起7日内退货；</w:t>
      </w:r>
    </w:p>
    <w:p w14:paraId="620F08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3.依照前述规定进行退货、更换、修理的，经营者应当承担运输等必要费用。</w:t>
      </w:r>
    </w:p>
    <w:p w14:paraId="2EB513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二、消费者反悔权</w:t>
      </w:r>
    </w:p>
    <w:p w14:paraId="0DD0B7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消法》第25条第1款、第2款规定，经营者采用网络、电视、电话、邮购等方式销售商品，消费者有权自收到商品之日起7日内退货，且无需说明理由。但下列商品除外：消费者定作的；鲜活易腐的；在线下载或者消费者拆封的音像制品、计算机软件等数字化商品；交付的报纸、期刊。</w:t>
      </w:r>
    </w:p>
    <w:p w14:paraId="49A87E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除前述所列商品外，其他根据商品性质并经消费者在购买时确认不宜退货的商品，不适用无理由退货。</w:t>
      </w:r>
    </w:p>
    <w:p w14:paraId="3DD9C7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注意1：</w:t>
      </w:r>
    </w:p>
    <w:p w14:paraId="4A2A32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（1）经营者应当自收到退回商品之日起7日内返还消费者支付的商品价款。</w:t>
      </w:r>
    </w:p>
    <w:p w14:paraId="7906AD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（2）退回商品的运费由消费者承担；经营者和消费者另有约定的，按照约定。</w:t>
      </w:r>
    </w:p>
    <w:p w14:paraId="5B933D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注意2：</w:t>
      </w:r>
    </w:p>
    <w:p w14:paraId="2A9841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（1）经营者不得擅自扩大不适用无理由退货的商品范围。</w:t>
      </w:r>
    </w:p>
    <w:p w14:paraId="15D049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（2）经营者应当以显著方式对不适用无理由退货的商品进行标注，提示消费者在购买时进行确认，不得将不适用无理由退货作为消费者默认同意的选项，未经消费者确认，经营者不得拒绝无理由退货。</w:t>
      </w:r>
    </w:p>
    <w:p w14:paraId="11FC0B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（3）消费者退货的商品应当完好。消费者基于查验需要打开商品包装，或者为确认商品的品质和功能进行合理调试而不影响商品原有品质、功能和外观的，经营者应当予以退货。</w:t>
      </w:r>
    </w:p>
    <w:p w14:paraId="5FC7CB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三、争议解决的特定规则</w:t>
      </w:r>
    </w:p>
    <w:p w14:paraId="75D8C3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1.出租、出借营业执照</w:t>
      </w:r>
    </w:p>
    <w:p w14:paraId="0542E5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使用他人营业执照的违法经营者提供商品或者服务，损害消费者合法权益的，消费者可以向其要求赔偿，也可以向营业执照的持有人要求赔偿。</w:t>
      </w:r>
    </w:p>
    <w:p w14:paraId="621D0F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2.展销会与租赁柜台</w:t>
      </w:r>
    </w:p>
    <w:p w14:paraId="71961A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（1）消费者在展销会、租赁柜台购买商品或者接受服务，其合法权益受到损害的，可以向销售者或者服务者要求赔偿。</w:t>
      </w:r>
    </w:p>
    <w:p w14:paraId="118815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（2）展销会结束或者柜台租赁期满后，也可以向展销会的举办者、柜台的出租者要求赔偿。</w:t>
      </w:r>
    </w:p>
    <w:p w14:paraId="60E006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（3）展销会的举办者、柜台的出租者赔偿后，有权向销售者或者服务者追偿。</w:t>
      </w:r>
    </w:p>
    <w:p w14:paraId="2449BD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3.虚假广告的广告主与广告经营者的责任</w:t>
      </w:r>
    </w:p>
    <w:p w14:paraId="4EE056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（1）广告主不论主观状态如何都要对虚假广告承担责任</w:t>
      </w:r>
    </w:p>
    <w:p w14:paraId="301E91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（2）广告经营者在明知或应知的情况下，方对虚假广告负法律责任（与广告主承担连带责任）；广告经营者不能提供广告主真实名称、地址和有效联系方式的，承担全部民事责任</w:t>
      </w:r>
    </w:p>
    <w:p w14:paraId="0AE9A3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（3）广告经营者、发布者设计、制作、发布关系消费者生命健康商品或者服务的虚假广告，造成消费者损害的，应当与提供该商品或者服务的经营者承担连带责任</w:t>
      </w:r>
    </w:p>
    <w:p w14:paraId="61D30C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（4）社会团体或者其他组织、个人在关系消费者生命健康商品或者服务的虚假广告或者其他虚假宣传中向消费者推荐商品或者服务，造成消费者损害的，应当与提供该商品或者服务的经营者承担连带责任。</w:t>
      </w:r>
    </w:p>
    <w:p w14:paraId="32E497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4.网购平台责任</w:t>
      </w:r>
    </w:p>
    <w:p w14:paraId="32B8A0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消法》第44条规定：消费者通过网络交易平台购买商品或者接受服务，其合法权益受到损害的，可以向销售者或者服务者要求赔偿。网络交易平台提供者不能提供销售者或者服务者的真实名称、地址和有效联系方式的，消费者也可以向网络交易平台提供者要求赔偿</w:t>
      </w:r>
    </w:p>
    <w:p w14:paraId="186B9A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（2）网络交易平台提供者明知或者应知销售者或者服务者利用其平台侵害消费者合法权益，未采取必要措施的，依法与该销售者或者服务者承担连带责任</w:t>
      </w:r>
    </w:p>
    <w:p w14:paraId="67BF24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（3）网络交易平台提供者作出更有利于消费者的承诺的，应当履行承诺。赔偿后，可以向销售者或服务者追偿</w:t>
      </w:r>
    </w:p>
    <w:p w14:paraId="21FBCB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5.加大消费欺诈赔偿</w:t>
      </w:r>
    </w:p>
    <w:p w14:paraId="0D8E77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消法》第55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w:t>
      </w:r>
    </w:p>
    <w:p w14:paraId="2EF108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明知商品或者服务存在缺陷，仍然向消费者提供，造成消费者或者其他受害人死亡或者健康严重损害的，受害人有权要求经营者依照《消法》第49条（侵权赔偿）、第51条（精神损害赔偿）等法律规定赔偿损失，并有权要求所受损失2倍以下的惩罚性赔偿</w:t>
      </w:r>
    </w:p>
    <w:p w14:paraId="38FA1B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经营者提供商品或者服务有欺诈行为的，消费者有权根据消费者权益保护法第55条第1款的规定要求经营者予以赔偿。但是，商品或者服务的标签标识、说明书、宣传材料等存在不影响商品或者服务质量且不会对消费者造成误导的瑕疵的除外。</w:t>
      </w:r>
    </w:p>
    <w:p w14:paraId="6A8C8A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6.公益诉讼</w:t>
      </w:r>
    </w:p>
    <w:p w14:paraId="2386E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消法》第37条第1款第7项规定，消费者协会应履行以下公益性职责：就损害消费者合法权益的行为，支持受损害的消费者提起诉讼或者依照本法提起诉讼。对侵害众多消费者合法权益的行为，中国消费者协会以及在省、自治区、直辖市设立的消费者协会，可以向法院提起诉讼。</w:t>
      </w:r>
    </w:p>
    <w:p w14:paraId="34F6B2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D871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【考点4:产品瑕疵与产品缺陷】</w:t>
      </w:r>
    </w:p>
    <w:p w14:paraId="1B5F30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产品瑕疵是一般性质量不合格，无安全隐患；产品缺陷是存在危及人身、他人财产的不合理危险，存在安全隐患。</w:t>
      </w:r>
    </w:p>
    <w:p w14:paraId="18272D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归责原则与追责主体</w:t>
      </w:r>
    </w:p>
    <w:p w14:paraId="55ABAE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产品瑕疵适用违约责任，只能直接找销售者追责。产品缺陷适用侵权责任，生产者、销售者对外无过错责任，消费者可择一向二者索赔。</w:t>
      </w:r>
    </w:p>
    <w:p w14:paraId="418202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索赔范围不同</w:t>
      </w:r>
    </w:p>
    <w:p w14:paraId="753C75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瑕疵仅能主张修理、更换、退货、减少价款；缺陷可主张人身损害、财产损失全额赔偿，符合条件还可主张惩罚性赔偿。</w:t>
      </w:r>
    </w:p>
    <w:p w14:paraId="056223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缺陷追责后，属于生产者责任的，销售者赔偿后可向生产者追偿；属于销售者过错的，生产者赔偿后可向销售者追偿。</w:t>
      </w:r>
    </w:p>
    <w:p w14:paraId="16C236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189E4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【考点5：商业银行审慎经营】</w:t>
      </w:r>
    </w:p>
    <w:p w14:paraId="2FA1BE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禁止投资业务</w:t>
      </w:r>
    </w:p>
    <w:p w14:paraId="01C4D7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不得向非自用不动产投资、不得向非银行金融机构和企业投资；国债、政策性金融债合法可投。</w:t>
      </w:r>
    </w:p>
    <w:p w14:paraId="2AE39B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贷款审慎规则</w:t>
      </w:r>
    </w:p>
    <w:p w14:paraId="187924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禁止向关系人发放信用贷款；向关系人发放担保贷款，条件不得优于其他同类借款人。</w:t>
      </w:r>
    </w:p>
    <w:p w14:paraId="074DC6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核心监管指标</w:t>
      </w:r>
    </w:p>
    <w:p w14:paraId="68169B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需满足法定流动性比例、资本充足率；同业拆借严格限期限、限用途，拆借资金不得用于发放固定资产贷款。</w:t>
      </w:r>
    </w:p>
    <w:p w14:paraId="24FBAF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存款保险制度</w:t>
      </w:r>
    </w:p>
    <w:p w14:paraId="514A43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境内所有商业银行强制参保；单人50万以内本息全额赔付，超出部分从投保机构清算财产中受偿。</w:t>
      </w:r>
    </w:p>
    <w:p w14:paraId="67BD53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风险处置规则</w:t>
      </w:r>
    </w:p>
    <w:p w14:paraId="47BDA7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银行已经或可能发生信用危机，监管机构可依法接管；接管不消灭债权债务，接管期限最长2年；商业银行破产需要银保监会批准。</w:t>
      </w:r>
    </w:p>
    <w:p w14:paraId="4C9B00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5A0A7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【考点6：商业银行监管】</w:t>
      </w:r>
    </w:p>
    <w:p w14:paraId="5E9205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一、国家金融监督管理总局（机构日常监管）</w:t>
      </w:r>
    </w:p>
    <w:p w14:paraId="5FF5DD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负责商业银行全流程经营合规监管；掌管机构设立/变更/终止、高管任职资格审查、业务准入、贷款合规、资本充足率、存款保险、接管、破产审批、日常经营违法行政处罚。</w:t>
      </w:r>
    </w:p>
    <w:p w14:paraId="4E7923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二、中国人民银行（货币&amp;宏观审慎监管）</w:t>
      </w:r>
    </w:p>
    <w:p w14:paraId="38C9A3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负责货币政策与金融宏观稳定；监管存款准备金、同业拆借、反洗钱、支付结算、征信管理、外汇业务；可查询银行账户、要求报送报表，无权直接接管银行。</w:t>
      </w:r>
    </w:p>
    <w:p w14:paraId="0FAD4E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三、强制措施划分</w:t>
      </w:r>
    </w:p>
    <w:p w14:paraId="4593EB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金融监管总局可采取限制分红、暂停业务、责令停业整顿、接管经营危机银行；央行可实施罚款、加收罚息、强制缴存准备金，无权干预银行日常经营决策。</w:t>
      </w:r>
    </w:p>
    <w:p w14:paraId="07A042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p>
    <w:p w14:paraId="477984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【考点7:个人所得税】</w:t>
      </w:r>
    </w:p>
    <w:p w14:paraId="1F282D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纳税义务人</w:t>
      </w:r>
    </w:p>
    <w:p w14:paraId="7782EC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1.居民纳税人：在中国境内有住所，或者无住所而一个纳税年度内在中国境内居住累计满183天的个人，为居民个人。居民个人从中国境内和境外取得的所得，缴纳个人所得税</w:t>
      </w:r>
    </w:p>
    <w:p w14:paraId="69B03A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2.非居民纳税人：在中国境内无住所又不居住，或者无住所而一个纳税年度内在中国境内居住累计不满183天的个人，为非居民个人。非居民个人从中国境内取得的所得，缴纳个人所得税。</w:t>
      </w:r>
    </w:p>
    <w:p w14:paraId="6E9674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征税对象</w:t>
      </w:r>
    </w:p>
    <w:p w14:paraId="63CFC1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1．工资、薪金所得；2．劳务报酬所得；3．稿酬所得；4．特许权使用费所得；5．经营所得；6．利息、股息、红利所得；7．财产租赁所得；8．财产转让所得；9．偶然所得。</w:t>
      </w:r>
    </w:p>
    <w:p w14:paraId="0CD4E0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注意：前4项为综合所得，综合所得应纳税所得额=综合所得收入额-法定减除费用标准（5000元/月或60000元/年）-专项扣除-专项附加扣除-其他扣除</w:t>
      </w:r>
    </w:p>
    <w:p w14:paraId="5BEE9F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税率</w:t>
      </w:r>
    </w:p>
    <w:p w14:paraId="747CC9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1．综合所得，适用超额累进税率，税率为3%至45%。</w:t>
      </w:r>
    </w:p>
    <w:p w14:paraId="0796CF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2．经营所得，适用5%至35%的超额累进税率。</w:t>
      </w:r>
    </w:p>
    <w:p w14:paraId="34B012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3．利息、股息、红利所得，财产租赁所得，财产转让所得和偶然所得，适用比例税率，税率为20%</w:t>
      </w:r>
    </w:p>
    <w:p w14:paraId="67B7B1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免税对象</w:t>
      </w:r>
    </w:p>
    <w:p w14:paraId="645CE8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省级人民政府、国务院部委和中国人民解放军军以上单位，以及外国组织、国际组织颁发的科学、教育、技术、文化、卫生、体育、环境保护等方面的奖金；2．国债和国家发行的金融债券利息；3．按照国家统一规定发给的补贴、津贴；4．福利费、抚恤金、救济金；5．保险赔款；6．军人的转业费、复员费、退役金；7．按照国家统一规定发给干部、职工的安家费、退职费、基本养老金或者退休费、离休费、离休生活补助费；8．依照有关法律规定应予免税的各国驻华使馆、领事馆的外交代表、领事官员和其他人员的所得；9．中国政府参加的国际公约、签订的协议中规定免税的所得；10．国务院规定的其他免税所得</w:t>
      </w:r>
    </w:p>
    <w:p w14:paraId="6AB984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减征</w:t>
      </w:r>
    </w:p>
    <w:p w14:paraId="27C6AF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1．残疾、孤老人员和烈属的所得；</w:t>
      </w:r>
    </w:p>
    <w:p w14:paraId="1E30E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2．因自然灾害遭受重大损失的</w:t>
      </w:r>
    </w:p>
    <w:p w14:paraId="3A87FA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B2134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【考点8:增值税】</w:t>
      </w:r>
    </w:p>
    <w:p w14:paraId="49A155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纳税人分类</w:t>
      </w:r>
    </w:p>
    <w:p w14:paraId="3C4927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分为一般纳税人、小规模纳税人；小规模纳税人适用简易计税方法，不得抵扣进项税额；一般纳税人常规适用一般计税方法。</w:t>
      </w:r>
    </w:p>
    <w:p w14:paraId="0CC3C2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征税范围核心区分</w:t>
      </w:r>
    </w:p>
    <w:p w14:paraId="13F4BF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销售货物、劳务、服务、无形资产、不动产均征税。不征税：政府财政拨款、公益无偿服务、存款利息。免税：自产农产品、避孕药品、养老医疗服务、古旧图书。</w:t>
      </w:r>
    </w:p>
    <w:p w14:paraId="1C0FFA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混合销售VS兼营</w:t>
      </w:r>
    </w:p>
    <w:p w14:paraId="2A7CFE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一项销售行为同时含货物+服务为混合销售，统一按主业计税；多项独立业务分开核算为兼营，分别计税，未分开核算从高适用税率。</w:t>
      </w:r>
    </w:p>
    <w:p w14:paraId="5AD391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零税率VS免税区别</w:t>
      </w:r>
    </w:p>
    <w:p w14:paraId="29791C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零税率可退还进项税额（出口货物、跨境服务）；免税仅免征当期销项税，进项税额不得抵扣，二者不能等同。</w:t>
      </w:r>
    </w:p>
    <w:p w14:paraId="12066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bookmarkStart w:id="0" w:name="_GoBack"/>
      <w:bookmarkEnd w:id="0"/>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纳税义务发生时间以收款、开票孰先为准；留抵退税制度仅适用于合规一般纳税人。</w:t>
      </w:r>
    </w:p>
    <w:p w14:paraId="5357D6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EA91B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【考点9:税收征管】</w:t>
      </w:r>
    </w:p>
    <w:p w14:paraId="721C72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税收保全</w:t>
      </w:r>
    </w:p>
    <w:p w14:paraId="1E926A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适用前提为有逃税迹象、责令限期缴纳仍不改正；措施仅限冻结存款、扣押查封财物；不得扣押个人维持生活必需物品，仅针对纳税人本人。</w:t>
      </w:r>
    </w:p>
    <w:p w14:paraId="281B14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税收强制执行</w:t>
      </w:r>
    </w:p>
    <w:p w14:paraId="7E3225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适用前提为逾期拒不缴纳税款；措施包含划扣存款、拍卖变卖查封扣押财物；适用对象覆盖纳税人、纳税担保人，可直接追缴欠税。</w:t>
      </w:r>
    </w:p>
    <w:p w14:paraId="43B199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税款优先规则</w:t>
      </w:r>
    </w:p>
    <w:p w14:paraId="6687BB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欠税发生在先，税款优先于抵押权、质权、留置权；税款优先于普通债权；罚款劣后于所有税费与担保债权。</w:t>
      </w:r>
    </w:p>
    <w:p w14:paraId="054C22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税务检查权限</w:t>
      </w:r>
    </w:p>
    <w:p w14:paraId="11BE5F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可查询纳税人银行账户，查询涉案人员账户需经设区的市以上税务局局长批准；不得随意调取个人无关涉税资料。</w:t>
      </w:r>
    </w:p>
    <w:p w14:paraId="6E828FA9">
      <w:pPr>
        <w:keepNext w:val="0"/>
        <w:keepLines w:val="0"/>
        <w:pageBreakBefore w:val="0"/>
        <w:widowControl w:val="0"/>
        <w:tabs>
          <w:tab w:val="left" w:pos="1973"/>
        </w:tabs>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65A76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【考点10:城乡规划法】</w:t>
      </w:r>
    </w:p>
    <w:p w14:paraId="3BE29C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规划体系层级</w:t>
      </w:r>
    </w:p>
    <w:p w14:paraId="4CFF04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分为总体规划、详细规划；详细规划包含控制性详细规划、修建性详细规划，一切建设项目必须符合控规要求。</w:t>
      </w:r>
    </w:p>
    <w:p w14:paraId="2B2119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审批权限</w:t>
      </w:r>
    </w:p>
    <w:p w14:paraId="344129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省域城镇体系规划、城市总体规划报国务院审批；镇总体规划分两级，县政府所在地镇规划报省政府审批，普通镇规划报县政府审批；乡村规划由乡镇政府编制，报县级政府审批。</w:t>
      </w:r>
    </w:p>
    <w:p w14:paraId="1F237F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两类规划许可区分</w:t>
      </w:r>
    </w:p>
    <w:p w14:paraId="4259BE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建设用地规划许可，确认土地用地合规性，拿地之前办理；建设工程规划许可，确认建筑施工合规性，动工建设之前办理，缺一不可。</w:t>
      </w:r>
    </w:p>
    <w:p w14:paraId="437974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乡村建设特殊规则</w:t>
      </w:r>
    </w:p>
    <w:p w14:paraId="711AAD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农村宅基地、乡村公共设施无需办理建设用地规划许可，仅需乡村建设规划许可；严禁占用永久基本农田进行非农建设。</w:t>
      </w:r>
    </w:p>
    <w:p w14:paraId="733E03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1A6E7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【考点11:房地产开发】</w:t>
      </w:r>
    </w:p>
    <w:p w14:paraId="5A166A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房地产开发企业资质</w:t>
      </w:r>
    </w:p>
    <w:p w14:paraId="661C42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必须取得资质证书方可从事开发经营，无资质不得开发房地产；禁止超越资质等级承揽开发项目，资质与项目规模必须匹配。</w:t>
      </w:r>
    </w:p>
    <w:p w14:paraId="5FFA91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商品房现售条件</w:t>
      </w:r>
    </w:p>
    <w:p w14:paraId="26BA1B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五证齐全、房屋已竣工验收合格、拆迁安置落实到位，可直接现房销售，无需额外预售许可。</w:t>
      </w:r>
    </w:p>
    <w:p w14:paraId="021DE6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三、商</w:t>
      </w:r>
      <w:r>
        <w:rPr>
          <w:rFonts w:hint="default" w:ascii="Times New Roman Regular" w:hAnsi="Times New Roman Regular" w:cs="Times New Roman Regular"/>
          <w:sz w:val="18"/>
          <w:szCs w:val="18"/>
          <w:u w:val="none"/>
          <w:lang w:val="en-US" w:eastAsia="zh-CN"/>
        </w:rPr>
        <w:t>品房预售许可</w:t>
      </w:r>
    </w:p>
    <w:p w14:paraId="6445B9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已交付全部土地出让金、取得土地使用权证；持有建设工程规划许可证与施工许可证；完成25%以上工程投资；办理预售许可证。无证预售合同起诉前补办许可则合同有效。</w:t>
      </w:r>
    </w:p>
    <w:p w14:paraId="4F5446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开发商核心法定义务</w:t>
      </w:r>
    </w:p>
    <w:p w14:paraId="142606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交房后90日内协助购房人办理不动产登记；房屋主体结构质量不合格，购房人可直接退房并主张赔偿。</w:t>
      </w:r>
    </w:p>
    <w:p w14:paraId="56B1CA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9212BE0">
      <w:pPr>
        <w:keepNext w:val="0"/>
        <w:keepLines w:val="0"/>
        <w:pageBreakBefore w:val="0"/>
        <w:widowControl w:val="0"/>
        <w:kinsoku/>
        <w:wordWrap/>
        <w:overflowPunct/>
        <w:topLinePunct w:val="0"/>
        <w:autoSpaceDE/>
        <w:autoSpaceDN/>
        <w:bidi w:val="0"/>
        <w:adjustRightInd/>
        <w:snapToGrid/>
        <w:spacing w:line="240" w:lineRule="auto"/>
        <w:ind w:firstLine="420" w:firstLineChars="0"/>
        <w:jc w:val="center"/>
        <w:textAlignment w:val="auto"/>
        <w:rPr>
          <w:rFonts w:hint="default"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劳动与社会保障法</w:t>
      </w:r>
    </w:p>
    <w:p w14:paraId="7CCA3C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E211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【考点1：劳动合同内容】</w:t>
      </w:r>
    </w:p>
    <w:p w14:paraId="34097B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一、试用期条款</w:t>
      </w:r>
    </w:p>
    <w:p w14:paraId="6056F1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1.限制</w:t>
      </w:r>
    </w:p>
    <w:p w14:paraId="4E2EC2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（1）劳动合同期限3个月以上不满1年的，试用期不得超过1个月；</w:t>
      </w:r>
    </w:p>
    <w:p w14:paraId="1855A0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（2）劳动合同期限1年以上不满3年的，试用期不得超过2个月；</w:t>
      </w:r>
    </w:p>
    <w:p w14:paraId="792237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（3）3年以上固定期限和无固定期限的劳动合同，试用期不得超过6个月</w:t>
      </w:r>
    </w:p>
    <w:p w14:paraId="50D918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2.禁止</w:t>
      </w:r>
    </w:p>
    <w:p w14:paraId="797B1D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（1）以完成一定工作任务为期限的劳动合同；</w:t>
      </w:r>
    </w:p>
    <w:p w14:paraId="5BC430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（2）劳动合同期限不满3个月的；</w:t>
      </w:r>
    </w:p>
    <w:p w14:paraId="45085F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（3）非全日制用工</w:t>
      </w:r>
    </w:p>
    <w:p w14:paraId="169880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3.次数</w:t>
      </w:r>
    </w:p>
    <w:p w14:paraId="450B79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同一用人单位与同一劳动者只能约定1次试用期</w:t>
      </w:r>
    </w:p>
    <w:p w14:paraId="3E75D1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4.期限</w:t>
      </w:r>
    </w:p>
    <w:p w14:paraId="33520C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试用期包含在劳动合同期限内。劳动合同仅约定试用期的，试用期不成立，该期限为劳动合同的期限</w:t>
      </w:r>
    </w:p>
    <w:p w14:paraId="0A9659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5.工资标准</w:t>
      </w:r>
    </w:p>
    <w:p w14:paraId="6E1EFC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劳动者在试用期的工资不得低于本单位相同岗位最低档工资的80%或者不得低于劳动合同约定工资的80%，并不得低于用人单位所在地的最低工资标准</w:t>
      </w:r>
    </w:p>
    <w:p w14:paraId="2F30B2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二、违约金条款</w:t>
      </w:r>
    </w:p>
    <w:p w14:paraId="6D5885A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除下列两种情形外，用人单位不得与劳动者约定由劳动者承担违约金。</w:t>
      </w:r>
    </w:p>
    <w:p w14:paraId="7E6D73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1．服务期条款</w:t>
      </w:r>
    </w:p>
    <w:p w14:paraId="54FD0F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（1）用人单位为劳动者提供专项培训费用，对其进行专业技术培训的，可以与该劳动者订立协议，约定服务期；</w:t>
      </w:r>
    </w:p>
    <w:p w14:paraId="572EEF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（2）劳动者违反服务期约定的，应当按照约定向用人单位支付违约金。违约金的数额不得超过用人单位提供的培训费用；</w:t>
      </w:r>
    </w:p>
    <w:p w14:paraId="4808FC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（3）用人单位要求劳动者实际支付的违约金不得超过服务期尚未履行部分所应分摊的培训费用。</w:t>
      </w:r>
    </w:p>
    <w:p w14:paraId="53BC5A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（4）服务期期限长于劳动合同期限的，除另有约定外，劳动合同的期限自动续延至服务期满；</w:t>
      </w:r>
    </w:p>
    <w:p w14:paraId="5DC6C6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因劳动者原因导致劳动合同提前解除的，劳动者需向用人单位支付违约金，用人单位请求劳动者承担赔偿损失责任的，人民法院可以综合考虑实际损失、当事人的过错程度、已经履行的年限等因素确定劳动者应当承担的赔偿责任</w:t>
      </w:r>
    </w:p>
    <w:p w14:paraId="0AE2F5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2．竞业限制条款</w:t>
      </w:r>
    </w:p>
    <w:p w14:paraId="02394D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（1）对负有保密义务的劳动者，用人单位可以在劳动合同或者保密协议中与劳动者约定竞业限制条款，并约定在解除或者终止劳动合同后，在竞业限制期限内（不得超过2年）按月给予劳动者经济补偿；</w:t>
      </w:r>
    </w:p>
    <w:p w14:paraId="26CEBE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注意1：保密义务不等于竞业限制义务，需另行约定。</w:t>
      </w:r>
    </w:p>
    <w:p w14:paraId="20FA69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注意2：单纯保密条款不得约定违约金。</w:t>
      </w:r>
    </w:p>
    <w:p w14:paraId="493B0C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注意3：不能随意扩大竞业限制的人员和范围：如果工作岗位不涉及保密事项，签订不生效；如果本职工作接触的与保密事项相关信息不匹配，条款约定超过合理比例部分无效。</w:t>
      </w:r>
    </w:p>
    <w:p w14:paraId="444F73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注意4：经济补偿的标准，有约定从约定，无约定按照合同解除或终止前12个月平均工资的30%且不低于劳动合同履行地最低工资标准。</w:t>
      </w:r>
    </w:p>
    <w:p w14:paraId="50BE8D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（2）劳动者违反竞业限制约定的，应当按照约定向用人单位支付违约金。</w:t>
      </w:r>
    </w:p>
    <w:p w14:paraId="7D7C39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注意1：竞业限制的人员法律规定限于用人单位的高级管理人员、高级技术人员和其他负有保密义务的人员。</w:t>
      </w:r>
    </w:p>
    <w:p w14:paraId="72C718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注意2：对劳动者来说，只要签订了保密协议，约定保密义务，无论是否支付保密费，劳动者对于用人单位都要承担保密义务。</w:t>
      </w:r>
    </w:p>
    <w:p w14:paraId="323E8F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注意3：只有这两种情形可以约定违约金，其他情形都不可以约定</w:t>
      </w:r>
    </w:p>
    <w:p w14:paraId="6B7A54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26F14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【考点2:劳动合同解除】</w:t>
      </w:r>
    </w:p>
    <w:p w14:paraId="4D9E5D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双方协商解除</w:t>
      </w:r>
    </w:p>
    <w:p w14:paraId="22D915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双方一致同意即可解除。由用人单位提出协商解除，需支付经济补偿金；劳动者主动提出协商解除，无需支付补偿金。</w:t>
      </w:r>
    </w:p>
    <w:p w14:paraId="144662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劳动者单方解除（两类）</w:t>
      </w:r>
    </w:p>
    <w:p w14:paraId="38E828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提前30日书面通知/试用期提前3日通知，无理由离职，无补偿金；用人单位存在过错（欠薪、未缴社保、违章指挥危及人身安全），劳动者可立即走人无需提前通知，且有权主张经济补偿金。</w:t>
      </w:r>
    </w:p>
    <w:p w14:paraId="35CA56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用人单位无过错辞退（需补偿）</w:t>
      </w:r>
    </w:p>
    <w:p w14:paraId="3C2E99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医疗期满不能胜任、不能胜任工作经培训仍不行、客观情况重大变化合同无法履行。需提前30日书面通知或额外支付1个月工资（代通知金），需要支付经济补偿金。</w:t>
      </w:r>
    </w:p>
    <w:p w14:paraId="3D6C88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用人单位过错辞退（无需补偿）</w:t>
      </w:r>
    </w:p>
    <w:p w14:paraId="70FC89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试用期不符合录用条件、严重违反规章制度、严重失职造成重大损失、同时与别家建立劳动关系影响本职、被依法追究刑事责任。单位可随时解除，不用提前通知，不用付补偿金。</w:t>
      </w:r>
    </w:p>
    <w:p w14:paraId="15AD1F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法定禁止辞退情形</w:t>
      </w:r>
    </w:p>
    <w:p w14:paraId="4F6DE9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工伤丧失部分劳动能力、医疗期内、女职工三期（孕期、产期、哺乳期）、连续工作满15年且距退休不足5年。即便员工业绩不达标，也不得无过失性辞退。</w:t>
      </w:r>
    </w:p>
    <w:p w14:paraId="2971F0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经济补偿金计算+违法解除后果</w:t>
      </w:r>
    </w:p>
    <w:p w14:paraId="253321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工作满1年算1个月工资，6个月以上按1年算，不满6个月付半个月工资。用人单位违法解除，劳动者可要求继续履行，或主张赔偿金（赔偿金为补偿金2倍，和补偿金不得同时兼得）。</w:t>
      </w:r>
    </w:p>
    <w:p w14:paraId="6842F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C5817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【考点3:非典型劳动合同】</w:t>
      </w:r>
    </w:p>
    <w:p w14:paraId="015309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无固定期限劳动合同</w:t>
      </w:r>
    </w:p>
    <w:p w14:paraId="408AEC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连续2次固定期限合同到期、连续用工满10年、单位初次改制满10年且距退休不足10年，劳动者提出应订立。满一年不签书面合同，视为无固定期限。单位违法不订立，支付二倍工资。</w:t>
      </w:r>
    </w:p>
    <w:p w14:paraId="052E03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劳务派遣</w:t>
      </w:r>
    </w:p>
    <w:p w14:paraId="27DA9C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派遣单位（用人单位，签劳动合同、发工资缴社保）、用工单位、劳动者。派遣期限不得分割短期岗位，仅限临时性、辅助性、替代性岗位。派遣工同工同酬。用工单位给被派遣劳动者造成损害的，劳务派遣单位与用工单位连带赔偿。</w:t>
      </w:r>
    </w:p>
    <w:p w14:paraId="574B96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非全日制用工</w:t>
      </w:r>
    </w:p>
    <w:p w14:paraId="068BD3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每日≤4小时、每周累计≤24小时。可口头订立，允许多重劳动关系。无试用期。随时通知终止，无需补偿。</w:t>
      </w:r>
    </w:p>
    <w:p w14:paraId="1D084A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集体合同</w:t>
      </w:r>
    </w:p>
    <w:p w14:paraId="564774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由工会代表职工与单位签订。草案由职工代表大会通过后生效，标准高于单个劳动合同。个人劳动合同标准低于集体合同的，以集体合同为准。</w:t>
      </w:r>
    </w:p>
    <w:p w14:paraId="2A7CA3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92CB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【考点4:劳动基准法】</w:t>
      </w:r>
    </w:p>
    <w:p w14:paraId="69AE03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工时与加班</w:t>
      </w:r>
    </w:p>
    <w:p w14:paraId="39EFD8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标准工日8小时、每周至少休1日。月加班上限36小时。延时加班150%工资、休息日无补休200%、法定节假日300%。</w:t>
      </w:r>
    </w:p>
    <w:p w14:paraId="162D7C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带薪年假</w:t>
      </w:r>
    </w:p>
    <w:p w14:paraId="7D6A07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累计工龄1-10年5天、10-20年10天、20年以上15天。法定假日、休息日不计入。</w:t>
      </w:r>
    </w:p>
    <w:p w14:paraId="4F9AFB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最低工资</w:t>
      </w:r>
    </w:p>
    <w:p w14:paraId="5608BA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加班费、特殊津贴、福利不计入最低工资，约定工资不得低于当地标准，按月足额发放。</w:t>
      </w:r>
    </w:p>
    <w:p w14:paraId="153D8C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女职工和未成年工保护</w:t>
      </w:r>
    </w:p>
    <w:p w14:paraId="1FCBBB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女职工禁井下、四级重体力。孕期禁夜班加班，产假98天，哺乳期每日1小时哺乳假。禁招未满16周岁童工，未成年工禁高危重体力作业。</w:t>
      </w:r>
    </w:p>
    <w:p w14:paraId="14C398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劳动基准为强制性规定，低于法定标准的约定无效；三期、工伤、医疗期人员享有解雇特殊保护。</w:t>
      </w:r>
    </w:p>
    <w:p w14:paraId="0BCB5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11CFE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【考点5：劳动争议解决】</w:t>
      </w:r>
    </w:p>
    <w:p w14:paraId="7087ED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一、协商</w:t>
      </w:r>
    </w:p>
    <w:p w14:paraId="06C409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二、调解</w:t>
      </w:r>
    </w:p>
    <w:p w14:paraId="00A9BD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三、仲裁</w:t>
      </w:r>
    </w:p>
    <w:p w14:paraId="6F7ADF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下列劳动争议，仲裁裁决为终局裁决，裁决书自作出之日起发生法律效力：</w:t>
      </w:r>
    </w:p>
    <w:p w14:paraId="17A33A9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1.追索劳动报酬、工伤医疗费、经济补偿或者赔偿金，不超过当地月最低工资标准12个月金额的争议；</w:t>
      </w:r>
    </w:p>
    <w:p w14:paraId="64D63E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2.因执行国家的劳动标准在工作时间、休息休假、社会保险等方面发生的争议</w:t>
      </w:r>
    </w:p>
    <w:p w14:paraId="0686D3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劳动者对上述劳动争议的仲裁裁决不服的，可以自收到仲裁裁决书之日起15日内向法院提起诉讼，用人单位不能提起诉讼。</w:t>
      </w:r>
    </w:p>
    <w:p w14:paraId="690B22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四、诉讼</w:t>
      </w:r>
    </w:p>
    <w:p w14:paraId="487EB0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当事人对仲裁裁决不服的，可自收到仲裁裁决之日起15日内向法院起诉。</w:t>
      </w:r>
    </w:p>
    <w:p w14:paraId="3B6E51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3924F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【考点6:社会保险法】</w:t>
      </w:r>
    </w:p>
    <w:p w14:paraId="32D653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一、基本制度</w:t>
      </w:r>
    </w:p>
    <w:p w14:paraId="0C7518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（一）养老、医疗、失业保险随身移转</w:t>
      </w:r>
    </w:p>
    <w:p w14:paraId="02242B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个人跨统筹地区就业的，其基本养老保险关系、基本医疗保险关系、失业保险关系随本人转移，分段计算，统一支付，缴费年限累计计算。</w:t>
      </w:r>
    </w:p>
    <w:p w14:paraId="7742B6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（二）养老保险缴费不满15年的处理</w:t>
      </w:r>
    </w:p>
    <w:p w14:paraId="7F7413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参加基本养老保险的个人，达到法定退休年龄时累计缴费满15年的，按月领取基本养老金；参加基本养老保险的个人，达到法定退休年龄时累计缴费不足15年的，可以缴费至满15年，按月领取基本养老金；也可转入新型农村社会养老保险或者城镇居民社会养老保险，按国务院规定享受相应的养老保险待遇。</w:t>
      </w:r>
    </w:p>
    <w:p w14:paraId="67432D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（三）工伤医疗费用可由基金先行支付</w:t>
      </w:r>
    </w:p>
    <w:p w14:paraId="3950E5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1.工伤情形：</w:t>
      </w:r>
    </w:p>
    <w:p w14:paraId="404CFB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①在工作时间和工作场所内，因工作原因受到事故伤害的；②工作时间前后在工作场所内，从事与工作有关的预备性或者收尾性工作受到事故伤害的；③在工作时间和工作场所内，因履行工作职责受到暴力等意外伤害的；④患职业病的；⑤因工外出期间，由于工作原因受到伤害或者发生事故下落不明的；⑥在上下班途中，受到非本人主要责任的交通事故或者城市轨道交通、客运轮渡、火车事故伤害的；⑦在工作时间和工作岗位，突发疾病死亡或者在48小时之内经抢救无效死亡的；⑧在抢险救灾等维护国家利益、公共利益活动中受到伤害的；⑨职工原在军队服役，因战、因公负伤致残，已取得革命伤残军人证，到用人单位后旧伤复发的。</w:t>
      </w:r>
    </w:p>
    <w:p w14:paraId="511997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2.由用人单位缴纳工伤保险费，职工不缴纳工伤保险费：</w:t>
      </w:r>
    </w:p>
    <w:p w14:paraId="7BEBBE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①用人单位未依法缴纳工伤保险费，发生工伤事故的，由用人单位支付工伤保险待遇；</w:t>
      </w:r>
    </w:p>
    <w:p w14:paraId="5BBFA5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②用人单位不支付的，从工伤保险基金中先行支付，随后再由用人单位偿还；</w:t>
      </w:r>
    </w:p>
    <w:p w14:paraId="65A9A9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③由于第三人的原因造成工伤，第三人不支付工伤医疗费用或者无法确定第三人的，也由工伤保险基金先行支付，随后再向第三人追偿。</w:t>
      </w:r>
    </w:p>
    <w:p w14:paraId="61C346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3.下列医疗费用不纳入基本医疗保险基金支付范围：</w:t>
      </w:r>
    </w:p>
    <w:p w14:paraId="020DF1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①应当从工伤保险基金中支付的；②应当由第三人负担的；③应当由公共卫生负担的；④在境外就医的。</w:t>
      </w:r>
    </w:p>
    <w:p w14:paraId="22665F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4.工伤单独认定。</w:t>
      </w:r>
    </w:p>
    <w:p w14:paraId="5A4843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社会保险行政部门不能以职工或其近亲属已经对第三人提起民事诉讼或者获得民事赔偿为由，作出不予受理工伤认定申请或者不予认定工伤决定。</w:t>
      </w:r>
    </w:p>
    <w:p w14:paraId="3EED91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5.职工因下列情形之一导致本人在工作中伤亡的，不认定为工伤：</w:t>
      </w:r>
    </w:p>
    <w:p w14:paraId="58B6A1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①故意犯罪；②醉酒或者吸毒；③自残或者自杀；④法律、行政法规规定的其他情形。</w:t>
      </w:r>
    </w:p>
    <w:p w14:paraId="4D26C4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注意：由于第三人侵权所导致的工伤，用人单位、劳动者本人或其亲属均可申请工伤认定，侵权人的民事赔偿和工伤保险待遇的支付，劳动者或其家属可以兼得，但医疗费用不可以重复索要</w:t>
      </w:r>
    </w:p>
    <w:p w14:paraId="62D781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（四）失业人员领取失业保险金的条件：</w:t>
      </w:r>
    </w:p>
    <w:p w14:paraId="12EE32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1.失业前用人单位和本人已经缴纳失业保险费满1年的；</w:t>
      </w:r>
    </w:p>
    <w:p w14:paraId="77C2CD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2.非因本人意愿中断就业的；</w:t>
      </w:r>
    </w:p>
    <w:p w14:paraId="7921CC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3.已经进行失业登记，并有求职要求的。</w:t>
      </w:r>
    </w:p>
    <w:p w14:paraId="78887A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失业人员在领取失业保险金期间，参加职工基本医疗保险，享受基本医疗保险待遇。失业人员应缴纳的基本医疗保险费从失业保险基金中支付，个人不缴纳基本医疗保险费。</w:t>
      </w:r>
    </w:p>
    <w:p w14:paraId="461E8D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失业人员失业前用人单位和本人累计缴费满一年不足五年的，领取失业保险金的期限最长为十二个月。</w:t>
      </w:r>
    </w:p>
    <w:p w14:paraId="4848FB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累计缴费满五年不足十年的，领取失业保险金的期限最长为十八个月；累计缴费十年以上的，领取失业保险金的期限最长为二十四个月。</w:t>
      </w:r>
    </w:p>
    <w:p w14:paraId="4D20C0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重新就业后，再次失业的，缴费时间重新计算，领取失业保险金的期限与前次失业应当领取而尚未领取的失业保险金的期限合并计算，最长不超过二十四个月。</w:t>
      </w:r>
    </w:p>
    <w:p w14:paraId="0AC7F9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停止领取失业保险金的情形：</w:t>
      </w:r>
    </w:p>
    <w:p w14:paraId="5C2062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（1）重新就业的；</w:t>
      </w:r>
    </w:p>
    <w:p w14:paraId="2EEC15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（2）应征服兵役的；</w:t>
      </w:r>
    </w:p>
    <w:p w14:paraId="54E616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（3）移居境外的；</w:t>
      </w:r>
    </w:p>
    <w:p w14:paraId="2F5FDB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（4）享受基本养老保险待遇的；</w:t>
      </w:r>
    </w:p>
    <w:p w14:paraId="6D8BCF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（5）无正当理由，拒不接受当地人民政府指定部门或者机构介绍的适当工作或者提供的培训的</w:t>
      </w:r>
    </w:p>
    <w:p w14:paraId="648876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二、军人保险</w:t>
      </w:r>
    </w:p>
    <w:p w14:paraId="6B3A51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（一）军人伤亡保险</w:t>
      </w:r>
    </w:p>
    <w:p w14:paraId="2BAA8B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1．军人因下列情形之一死亡或者致残的，不享受军人伤亡保险待遇：</w:t>
      </w:r>
    </w:p>
    <w:p w14:paraId="041BD9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（1）故意犯罪的；</w:t>
      </w:r>
    </w:p>
    <w:p w14:paraId="045B9B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（2）醉酒或者吸毒的；</w:t>
      </w:r>
    </w:p>
    <w:p w14:paraId="25DA1E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（3）自残或者自杀的；</w:t>
      </w:r>
    </w:p>
    <w:p w14:paraId="29ECF6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（4）法律、行政法规和军事法规规定的其他情形。</w:t>
      </w:r>
    </w:p>
    <w:p w14:paraId="1F9D6C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2．军人伤亡保险所需资金由国家承担，个人不缴纳保险费。</w:t>
      </w:r>
    </w:p>
    <w:p w14:paraId="1ED21E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3．已经评定残疾等级的因战、因公致残的军人退出现役参加工作后旧伤复发的，依法享受相应的工伤待遇</w:t>
      </w:r>
    </w:p>
    <w:p w14:paraId="5F631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（二）退役养老保险</w:t>
      </w:r>
    </w:p>
    <w:p w14:paraId="1AE1BF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军人服现役年限与入伍前和退出现役后参加职工基本养老保险的缴费年限合并计算</w:t>
      </w:r>
    </w:p>
    <w:p w14:paraId="4D3970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（三）退役医疗保险</w:t>
      </w:r>
    </w:p>
    <w:p w14:paraId="256437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军人服现役年限视同职工基本医疗保险缴费年限，与入伍前和退出现役后参加职工基本医疗保险的缴费年限合并计算</w:t>
      </w:r>
    </w:p>
    <w:p w14:paraId="562BFB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F9C8100">
      <w:pPr>
        <w:keepNext w:val="0"/>
        <w:keepLines w:val="0"/>
        <w:pageBreakBefore w:val="0"/>
        <w:widowControl w:val="0"/>
        <w:kinsoku/>
        <w:wordWrap/>
        <w:overflowPunct/>
        <w:topLinePunct w:val="0"/>
        <w:autoSpaceDE/>
        <w:autoSpaceDN/>
        <w:bidi w:val="0"/>
        <w:adjustRightInd/>
        <w:snapToGrid/>
        <w:spacing w:line="240" w:lineRule="auto"/>
        <w:ind w:firstLine="420" w:firstLineChars="0"/>
        <w:jc w:val="center"/>
        <w:textAlignment w:val="auto"/>
        <w:rPr>
          <w:rFonts w:hint="default" w:ascii="Times New Roman Regular" w:hAnsi="Times New Roman Regular" w:cs="Times New Roman Regular"/>
          <w:b/>
          <w:bCs/>
          <w:sz w:val="22"/>
          <w:szCs w:val="22"/>
          <w:u w:val="none"/>
          <w:lang w:val="en-US" w:eastAsia="zh-CN"/>
        </w:rPr>
      </w:pPr>
      <w:r>
        <w:rPr>
          <w:rFonts w:hint="eastAsia" w:ascii="Times New Roman Regular" w:hAnsi="Times New Roman Regular" w:cs="Times New Roman Regular"/>
          <w:b/>
          <w:bCs/>
          <w:sz w:val="22"/>
          <w:szCs w:val="22"/>
          <w:u w:val="none"/>
          <w:lang w:val="en-US" w:eastAsia="zh-CN"/>
        </w:rPr>
        <w:t>环境资源法</w:t>
      </w:r>
    </w:p>
    <w:p w14:paraId="769E22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6B281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【考点1:环境侵权责任】</w:t>
      </w:r>
    </w:p>
    <w:p w14:paraId="285111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归责原则：无过错责任，排污方有无过错不影响赔偿成立。</w:t>
      </w:r>
    </w:p>
    <w:p w14:paraId="072586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因果关系推定：污染行为+损害发生，直接推定存在因果，被告可反证推翻。</w:t>
      </w:r>
    </w:p>
    <w:p w14:paraId="6F2A5E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免责、减责事由：不可抗力且及时采取合理措施、受害人故意；受害人重大过失可减责。</w:t>
      </w:r>
    </w:p>
    <w:p w14:paraId="783248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第三人污染：受害人可选择告排污企业或第三人，企业赔付后可向第三人追偿。</w:t>
      </w:r>
    </w:p>
    <w:p w14:paraId="45622E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故意污染造成严重后果，可主张惩罚性赔偿。</w:t>
      </w:r>
    </w:p>
    <w:p w14:paraId="6B442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E93AC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【考点2:环境公益诉讼】</w:t>
      </w:r>
    </w:p>
    <w:p w14:paraId="4193E2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适格原告</w:t>
      </w:r>
    </w:p>
    <w:p w14:paraId="2E6AD3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一是连续五年以上专门从事环保公益、无违法记录的社会组织；二是检察机关。公民个人、普通行政机关无权提起环境民事公益诉讼。</w:t>
      </w:r>
    </w:p>
    <w:p w14:paraId="4A5FB7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检察院起诉前置程序</w:t>
      </w:r>
    </w:p>
    <w:p w14:paraId="3127EE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检察机关起诉前必须依法公告30日；公告期满无适格社会组织起诉，检察院方可自行提起公益诉讼。检察机关属于补充顺位原告。</w:t>
      </w:r>
    </w:p>
    <w:p w14:paraId="423A5D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管辖规则</w:t>
      </w:r>
    </w:p>
    <w:p w14:paraId="45A14D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一审由侵权行为地、被告住所地中级法院管辖。公益诉讼案件一律不得适用简易程序审理。</w:t>
      </w:r>
    </w:p>
    <w:p w14:paraId="6D838E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特殊审理规则</w:t>
      </w:r>
    </w:p>
    <w:p w14:paraId="66AC4E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被告不得对公益诉讼原告提起反诉；案件可以调解、和解，但调解/和解协议必须先行公告，听取公众意见后法院方可出具文书。</w:t>
      </w:r>
    </w:p>
    <w:p w14:paraId="0BE407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公益诉讼VS私益诉讼</w:t>
      </w:r>
    </w:p>
    <w:p w14:paraId="4A8211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互不冲突、并行审理；公益诉讼维护环境公共利益，私益诉讼维护个人人身财产损害。</w:t>
      </w:r>
    </w:p>
    <w:p w14:paraId="634DCB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行政机关不作为，检察院可提起环境行政公益诉讼。民事公益诉讼侧重追责污染破坏行为，行政公益诉讼侧重督促监管机关履职。</w:t>
      </w:r>
    </w:p>
    <w:p w14:paraId="704F8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B04A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【考点3:环境监管制度】</w:t>
      </w:r>
    </w:p>
    <w:p w14:paraId="15C3C0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环境影响评价制度</w:t>
      </w:r>
    </w:p>
    <w:p w14:paraId="25B277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建设项目未批先建不得开工；环评不可事后补办，补办环评仍不能豁免前期违法责任。</w:t>
      </w:r>
    </w:p>
    <w:p w14:paraId="270425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排污许可制度</w:t>
      </w:r>
    </w:p>
    <w:p w14:paraId="768E79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固定排污单位实行排污许可全覆盖，持证排污、按证排污；排污许可与环评衔接，无环评批复不得核发排污许可证；无证排污、超许可浓度排污均属违法。</w:t>
      </w:r>
    </w:p>
    <w:p w14:paraId="2019DE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生态保护红线制度</w:t>
      </w:r>
    </w:p>
    <w:p w14:paraId="787387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生态保护红线区域严禁开发建设；任何单位个人不得擅自占用、破坏红线内生态空间，原则上不予审批新建排污项目。</w:t>
      </w:r>
    </w:p>
    <w:p w14:paraId="7CAFAC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按日连续处罚</w:t>
      </w:r>
    </w:p>
    <w:p w14:paraId="4F15CA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违法排污被责令整改、拒不改正的，按原处罚数额按日连续罚，上不封顶。从责令整改当日起算，不得溯及既往。</w:t>
      </w:r>
    </w:p>
    <w:p w14:paraId="0AA170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突发环境事件应急制度</w:t>
      </w:r>
    </w:p>
    <w:p w14:paraId="4AF7A5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企业需制定应急预案并备案；发生污染事故立即上报生态环境部门，不得迟报、瞒报；及时采取应急措施防止污染扩大。</w:t>
      </w:r>
    </w:p>
    <w:p w14:paraId="7F6D46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4295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【考点4:自然资源法】</w:t>
      </w:r>
    </w:p>
    <w:p w14:paraId="7C36D6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森林分为公益林、商品林。公益林侧重生态保护，严格限制采伐经营；商品林可依法采伐、市场化经营，不得擅自变更两类林地性质。</w:t>
      </w:r>
    </w:p>
    <w:p w14:paraId="380B5D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林木采伐许可</w:t>
      </w:r>
    </w:p>
    <w:p w14:paraId="19DCDD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一般采伐均需办理采伐许可证。农村居民采伐自留地、房前屋后个人所有零星林木，无需办证。严守采伐限额，采伐量不得超过林木生长量。</w:t>
      </w:r>
    </w:p>
    <w:p w14:paraId="45DDCB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林地管制</w:t>
      </w:r>
    </w:p>
    <w:p w14:paraId="087FDC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严禁擅自改变林地用途。占用征收林地，先经林业部门审核同意，再办理建设用地审批。</w:t>
      </w:r>
    </w:p>
    <w:p w14:paraId="5C0206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探矿权、采矿权均需行政许可，禁止无证勘查、无证采矿。采矿权转让严格受限，不得私自倒卖牟利。</w:t>
      </w:r>
    </w:p>
    <w:p w14:paraId="18D3EE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禁止越界采矿、以探代采。个人一般不得开采矿产资源，仅允许个人采挖少量砂石自用。</w:t>
      </w:r>
    </w:p>
    <w:p w14:paraId="2AB4BF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46D1A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【考点22:证券发行与投资者权益保护】</w:t>
      </w:r>
    </w:p>
    <w:p w14:paraId="312626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注册制核心规则</w:t>
      </w:r>
    </w:p>
    <w:p w14:paraId="268E14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证券公开发行全面实行注册制，以信息披露为核心；监管机构只做合规审查，不做投资价值判断，未经注册不得公开发行。</w:t>
      </w:r>
    </w:p>
    <w:p w14:paraId="2B4544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公募发行基本条件</w:t>
      </w:r>
    </w:p>
    <w:p w14:paraId="217CD8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发行人具备持续经营能力，无需持续盈利；财务报告真实无虚假记载，无重大违法行为。</w:t>
      </w:r>
    </w:p>
    <w:p w14:paraId="6E3AAD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私募发行规则</w:t>
      </w:r>
    </w:p>
    <w:p w14:paraId="71791D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私募证券只能向合格投资者发行，人数不超 200 人；不得公开宣传、变相公募，转让受限。</w:t>
      </w:r>
    </w:p>
    <w:p w14:paraId="72804C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信息披露义务</w:t>
      </w:r>
    </w:p>
    <w:p w14:paraId="6B6816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发行人、控股股东、实控人、董监高对披露信息的真实、准确、完整负责，虚假披露需承担连带赔偿责任。发行人虚假陈述致投资者受损的，保荐人、承销券商可先行赔付，赔付后向过错方追偿。</w:t>
      </w:r>
    </w:p>
    <w:p w14:paraId="3B15C4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投资者适当性制度</w:t>
      </w:r>
    </w:p>
    <w:p w14:paraId="28FD6B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证券公司必须匹配投资者风险等级与产品风险等级；禁止向普通投资者销售高风险产品，违反适当性义务需承担过错责任。</w:t>
      </w:r>
    </w:p>
    <w:p w14:paraId="60B19F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普通投资者特别保护</w:t>
      </w:r>
    </w:p>
    <w:p w14:paraId="6F7394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普通投资者与券商发生纠纷，实行举证责任倒置，由券商举证自身无过错；专业投资者不适用举证倒置。</w:t>
      </w:r>
    </w:p>
    <w:p w14:paraId="5BA01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代表人诉讼制度：证券集体诉讼无需投资者单独授权，默认加入、明示退出。</w:t>
      </w:r>
    </w:p>
    <w:p w14:paraId="3244B0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85834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【考点23:海商法】</w:t>
      </w:r>
    </w:p>
    <w:p w14:paraId="2EB557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国内沿海运输、国际海上运输统一适用海上货物运输规则，国内沿海旅客运输与国际海上旅客运输人身伤亡、行李损失赔偿限额等问题统一。</w:t>
      </w:r>
    </w:p>
    <w:p w14:paraId="2CCF00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电子提单、电子运输记录与纸质提单法律效力等同，认可航运数字化单证效力，不得仅以电子形式否定单证效力。</w:t>
      </w:r>
    </w:p>
    <w:p w14:paraId="5EDD2A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货物交付收货人之前，托运人有权请求承运人中止运输、返还货物、变更卸货港或者变更收货人；承运人有正当理由可拒绝。</w:t>
      </w:r>
    </w:p>
    <w:p w14:paraId="7552A7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承运人火灾免责缩限：仅船上火灾承运人免责，港口、岸上堆场火灾，承运人不得免责。</w:t>
      </w:r>
    </w:p>
    <w:p w14:paraId="13B8F1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目的港无人提货责任</w:t>
      </w:r>
    </w:p>
    <w:p w14:paraId="000EC4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无人提货产生的滞港费、仓储费、货物处置费用，由托运人承担，承运人负有及时通知义务。</w:t>
      </w:r>
    </w:p>
    <w:p w14:paraId="3797BF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船舶油污损害</w:t>
      </w:r>
    </w:p>
    <w:p w14:paraId="487153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船舶漏油致环境污染，船方承担无过错严格责任；强制投保油污责任险；油污损害不得列入共同海损分摊。</w:t>
      </w:r>
    </w:p>
    <w:p w14:paraId="232E79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船舶优先权</w:t>
      </w:r>
    </w:p>
    <w:p w14:paraId="35CA5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法定担保物权，无需登记占有，随船舶转移。法定债权按序受偿：船员工资、人身伤亡、港口规费、海难救助报酬（后发生先受偿）、财产侵权损失，顺位优于留置权、抵押权。权利存续1年除斥期间，不中止中断，船舶灭失、法院拍卖或权利人放弃时优先权消灭</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9E879CF"/>
    <w:rsid w:val="09FF37FE"/>
    <w:rsid w:val="0D9A55A2"/>
    <w:rsid w:val="0FB5B439"/>
    <w:rsid w:val="13EF1752"/>
    <w:rsid w:val="16EFD392"/>
    <w:rsid w:val="176A297A"/>
    <w:rsid w:val="177DA370"/>
    <w:rsid w:val="17DFFA75"/>
    <w:rsid w:val="18BFC09B"/>
    <w:rsid w:val="1BC8E4F3"/>
    <w:rsid w:val="1BEF9C01"/>
    <w:rsid w:val="1BFB8A79"/>
    <w:rsid w:val="1C730B7C"/>
    <w:rsid w:val="1FEF92AB"/>
    <w:rsid w:val="1FFDE82A"/>
    <w:rsid w:val="1FFE3DC8"/>
    <w:rsid w:val="233CDA22"/>
    <w:rsid w:val="25E4E361"/>
    <w:rsid w:val="2BDEBEB0"/>
    <w:rsid w:val="2EED2630"/>
    <w:rsid w:val="2EF59E5A"/>
    <w:rsid w:val="2F5C4F16"/>
    <w:rsid w:val="2FEF698F"/>
    <w:rsid w:val="2FF57ABD"/>
    <w:rsid w:val="37F9300F"/>
    <w:rsid w:val="39CD9E08"/>
    <w:rsid w:val="3AA211B0"/>
    <w:rsid w:val="3B6E9B79"/>
    <w:rsid w:val="3CBEA7BC"/>
    <w:rsid w:val="3D680BC6"/>
    <w:rsid w:val="3DDD8785"/>
    <w:rsid w:val="3DDF2686"/>
    <w:rsid w:val="3DFFDC9A"/>
    <w:rsid w:val="3E7361FD"/>
    <w:rsid w:val="3E73E157"/>
    <w:rsid w:val="3ECF5705"/>
    <w:rsid w:val="3EFF2196"/>
    <w:rsid w:val="3EFFCDE3"/>
    <w:rsid w:val="3F564B9C"/>
    <w:rsid w:val="3F7D6D90"/>
    <w:rsid w:val="3F895A6B"/>
    <w:rsid w:val="3F8F39A3"/>
    <w:rsid w:val="3F8F6F0B"/>
    <w:rsid w:val="3FBF19BA"/>
    <w:rsid w:val="3FDF38B5"/>
    <w:rsid w:val="3FE52EEA"/>
    <w:rsid w:val="3FF373A0"/>
    <w:rsid w:val="3FF95740"/>
    <w:rsid w:val="3FFD82CF"/>
    <w:rsid w:val="3FFF6E05"/>
    <w:rsid w:val="4D7AF3B1"/>
    <w:rsid w:val="4DFF36B7"/>
    <w:rsid w:val="4EFF6AA8"/>
    <w:rsid w:val="4F5FCC32"/>
    <w:rsid w:val="4F7E5D39"/>
    <w:rsid w:val="4FAD7741"/>
    <w:rsid w:val="4FBE93C3"/>
    <w:rsid w:val="4FBFC878"/>
    <w:rsid w:val="4FEF7A7F"/>
    <w:rsid w:val="4FF62111"/>
    <w:rsid w:val="54AD72A3"/>
    <w:rsid w:val="577DF98B"/>
    <w:rsid w:val="57ADAAC3"/>
    <w:rsid w:val="57FDC1B1"/>
    <w:rsid w:val="59B72E8D"/>
    <w:rsid w:val="5AFF2B80"/>
    <w:rsid w:val="5BB7B3D0"/>
    <w:rsid w:val="5BF630B3"/>
    <w:rsid w:val="5CF748A1"/>
    <w:rsid w:val="5D1E5E35"/>
    <w:rsid w:val="5D2F548A"/>
    <w:rsid w:val="5D9CC53C"/>
    <w:rsid w:val="5DBFD756"/>
    <w:rsid w:val="5DCBBC8F"/>
    <w:rsid w:val="5DDF2929"/>
    <w:rsid w:val="5DFFB37B"/>
    <w:rsid w:val="5E8BA9AC"/>
    <w:rsid w:val="5EF589B3"/>
    <w:rsid w:val="5F2FB4C6"/>
    <w:rsid w:val="5F67BE34"/>
    <w:rsid w:val="5F9FED60"/>
    <w:rsid w:val="5FB9F8B5"/>
    <w:rsid w:val="5FD90FDB"/>
    <w:rsid w:val="5FDF33DE"/>
    <w:rsid w:val="5FDFC522"/>
    <w:rsid w:val="5FEEA3D6"/>
    <w:rsid w:val="63F79634"/>
    <w:rsid w:val="63FEFF0F"/>
    <w:rsid w:val="676B1FCF"/>
    <w:rsid w:val="67F71FFA"/>
    <w:rsid w:val="67FFFECC"/>
    <w:rsid w:val="699F2754"/>
    <w:rsid w:val="6BBF548D"/>
    <w:rsid w:val="6BEE3C17"/>
    <w:rsid w:val="6CFC5835"/>
    <w:rsid w:val="6DD7FC96"/>
    <w:rsid w:val="6DD90F6A"/>
    <w:rsid w:val="6E37DE95"/>
    <w:rsid w:val="6EBFFE06"/>
    <w:rsid w:val="6EDC6954"/>
    <w:rsid w:val="6EEE4B40"/>
    <w:rsid w:val="6EF5F292"/>
    <w:rsid w:val="6F6716C1"/>
    <w:rsid w:val="6F77BF01"/>
    <w:rsid w:val="6F7EF237"/>
    <w:rsid w:val="6F7FD66B"/>
    <w:rsid w:val="6F838CDA"/>
    <w:rsid w:val="6FC75035"/>
    <w:rsid w:val="6FDEEB8F"/>
    <w:rsid w:val="6FDF93E2"/>
    <w:rsid w:val="6FE9DFA5"/>
    <w:rsid w:val="6FF6B73E"/>
    <w:rsid w:val="6FF7B5C8"/>
    <w:rsid w:val="6FF7C38D"/>
    <w:rsid w:val="6FFE7A6F"/>
    <w:rsid w:val="72B16660"/>
    <w:rsid w:val="72FEDFAF"/>
    <w:rsid w:val="73D58A28"/>
    <w:rsid w:val="73E4A563"/>
    <w:rsid w:val="73FFEEE2"/>
    <w:rsid w:val="74EF0DAF"/>
    <w:rsid w:val="75FFDC8C"/>
    <w:rsid w:val="76576194"/>
    <w:rsid w:val="76F7A8DD"/>
    <w:rsid w:val="775AEF14"/>
    <w:rsid w:val="777D53E3"/>
    <w:rsid w:val="77975A01"/>
    <w:rsid w:val="77FE9827"/>
    <w:rsid w:val="77FF3F7D"/>
    <w:rsid w:val="77FFEE91"/>
    <w:rsid w:val="78FF9F1C"/>
    <w:rsid w:val="795BB6EC"/>
    <w:rsid w:val="79B72732"/>
    <w:rsid w:val="7A3B30EE"/>
    <w:rsid w:val="7A8FECFA"/>
    <w:rsid w:val="7B5CBCA9"/>
    <w:rsid w:val="7B6D3C00"/>
    <w:rsid w:val="7B77E946"/>
    <w:rsid w:val="7BAF28C8"/>
    <w:rsid w:val="7BFB7B68"/>
    <w:rsid w:val="7BFEE434"/>
    <w:rsid w:val="7BFFD2F7"/>
    <w:rsid w:val="7C7DDD51"/>
    <w:rsid w:val="7C9D61C3"/>
    <w:rsid w:val="7CA7FBD0"/>
    <w:rsid w:val="7CBF8F89"/>
    <w:rsid w:val="7D473A11"/>
    <w:rsid w:val="7D77914D"/>
    <w:rsid w:val="7D7FD33D"/>
    <w:rsid w:val="7DBDD90E"/>
    <w:rsid w:val="7DBFEFAD"/>
    <w:rsid w:val="7DCFA772"/>
    <w:rsid w:val="7DDD2DE6"/>
    <w:rsid w:val="7DDEECA3"/>
    <w:rsid w:val="7DE7821D"/>
    <w:rsid w:val="7DF9200D"/>
    <w:rsid w:val="7E3F6002"/>
    <w:rsid w:val="7E8B21A2"/>
    <w:rsid w:val="7EA8A03E"/>
    <w:rsid w:val="7EBF8FBE"/>
    <w:rsid w:val="7EED7FF8"/>
    <w:rsid w:val="7EF6F43A"/>
    <w:rsid w:val="7EFFC158"/>
    <w:rsid w:val="7F3B9F4C"/>
    <w:rsid w:val="7F3C3286"/>
    <w:rsid w:val="7F67DF64"/>
    <w:rsid w:val="7F695405"/>
    <w:rsid w:val="7F6B748A"/>
    <w:rsid w:val="7F7EA679"/>
    <w:rsid w:val="7F7F01E8"/>
    <w:rsid w:val="7FB49696"/>
    <w:rsid w:val="7FB797CE"/>
    <w:rsid w:val="7FBF0A70"/>
    <w:rsid w:val="7FBF0F91"/>
    <w:rsid w:val="7FCDBF88"/>
    <w:rsid w:val="7FDE403C"/>
    <w:rsid w:val="7FE6F2CC"/>
    <w:rsid w:val="7FE7235C"/>
    <w:rsid w:val="7FEB109E"/>
    <w:rsid w:val="7FF7BFA7"/>
    <w:rsid w:val="7FF9A277"/>
    <w:rsid w:val="7FFB40DD"/>
    <w:rsid w:val="7FFB6619"/>
    <w:rsid w:val="7FFBD6E1"/>
    <w:rsid w:val="7FFC589F"/>
    <w:rsid w:val="7FFCE884"/>
    <w:rsid w:val="7FFDB5CA"/>
    <w:rsid w:val="7FFEFA63"/>
    <w:rsid w:val="7FFF3F3C"/>
    <w:rsid w:val="7FFFAC33"/>
    <w:rsid w:val="7FFFBB01"/>
    <w:rsid w:val="7FFFDDBC"/>
    <w:rsid w:val="7FFFF6AF"/>
    <w:rsid w:val="8ABEE47C"/>
    <w:rsid w:val="9566E7AB"/>
    <w:rsid w:val="96D25B10"/>
    <w:rsid w:val="9FCF4166"/>
    <w:rsid w:val="9FFE895E"/>
    <w:rsid w:val="A3C7B59A"/>
    <w:rsid w:val="AB3E9408"/>
    <w:rsid w:val="ABF826D2"/>
    <w:rsid w:val="ABFBC881"/>
    <w:rsid w:val="ADB956C1"/>
    <w:rsid w:val="AE7BAC24"/>
    <w:rsid w:val="AEAF67DC"/>
    <w:rsid w:val="AECFAD74"/>
    <w:rsid w:val="AED07A5A"/>
    <w:rsid w:val="AEFFF231"/>
    <w:rsid w:val="AF7349BF"/>
    <w:rsid w:val="AFDDC269"/>
    <w:rsid w:val="AFDFDFDB"/>
    <w:rsid w:val="AFFB766C"/>
    <w:rsid w:val="AFFF1BA4"/>
    <w:rsid w:val="B1FDE468"/>
    <w:rsid w:val="B3FCBB50"/>
    <w:rsid w:val="B3FEA9EF"/>
    <w:rsid w:val="B5DF2E67"/>
    <w:rsid w:val="B7F8E838"/>
    <w:rsid w:val="B7FEF551"/>
    <w:rsid w:val="B9FFBA7D"/>
    <w:rsid w:val="BAFF5B3F"/>
    <w:rsid w:val="BBBF8B80"/>
    <w:rsid w:val="BBD68691"/>
    <w:rsid w:val="BBFEE5F3"/>
    <w:rsid w:val="BDE7066F"/>
    <w:rsid w:val="BFCBDAEF"/>
    <w:rsid w:val="BFD7C2A8"/>
    <w:rsid w:val="BFDF45C5"/>
    <w:rsid w:val="BFDF5E9D"/>
    <w:rsid w:val="BFFFC478"/>
    <w:rsid w:val="BFFFE87A"/>
    <w:rsid w:val="C2FF7057"/>
    <w:rsid w:val="CBDA46FA"/>
    <w:rsid w:val="CBFEC5C4"/>
    <w:rsid w:val="CDD71C02"/>
    <w:rsid w:val="CDF9AD73"/>
    <w:rsid w:val="CEAF22DB"/>
    <w:rsid w:val="CEF10759"/>
    <w:rsid w:val="CF1F6089"/>
    <w:rsid w:val="CF7F02E4"/>
    <w:rsid w:val="CFABA3EB"/>
    <w:rsid w:val="CFBDAEF9"/>
    <w:rsid w:val="CFEE9E57"/>
    <w:rsid w:val="CFFF1593"/>
    <w:rsid w:val="D39F9B0D"/>
    <w:rsid w:val="D3DF067C"/>
    <w:rsid w:val="D5F9939E"/>
    <w:rsid w:val="D7F8DDAE"/>
    <w:rsid w:val="D99D7B6E"/>
    <w:rsid w:val="D9CCE136"/>
    <w:rsid w:val="DB3B536C"/>
    <w:rsid w:val="DBEFC237"/>
    <w:rsid w:val="DBF64670"/>
    <w:rsid w:val="DD3F930B"/>
    <w:rsid w:val="DDBD2ED0"/>
    <w:rsid w:val="DE5EFF5E"/>
    <w:rsid w:val="DF3727E7"/>
    <w:rsid w:val="DFCCB69C"/>
    <w:rsid w:val="DFD43E98"/>
    <w:rsid w:val="DFDD6831"/>
    <w:rsid w:val="E5718167"/>
    <w:rsid w:val="E59B90E9"/>
    <w:rsid w:val="E5AB3AAB"/>
    <w:rsid w:val="E5AF7370"/>
    <w:rsid w:val="E5DD9418"/>
    <w:rsid w:val="E67ED6A7"/>
    <w:rsid w:val="E787CCF8"/>
    <w:rsid w:val="E7BFCB01"/>
    <w:rsid w:val="E7FEFF98"/>
    <w:rsid w:val="E9FA56F1"/>
    <w:rsid w:val="EA3CD53D"/>
    <w:rsid w:val="EB6E8309"/>
    <w:rsid w:val="EBAD75CD"/>
    <w:rsid w:val="EBD730EB"/>
    <w:rsid w:val="EBD755C7"/>
    <w:rsid w:val="EC2D9E1A"/>
    <w:rsid w:val="EECA7655"/>
    <w:rsid w:val="EF06E542"/>
    <w:rsid w:val="EF3B5A75"/>
    <w:rsid w:val="EF73E6F1"/>
    <w:rsid w:val="EF7FB042"/>
    <w:rsid w:val="EFB7ADF2"/>
    <w:rsid w:val="EFCFFD3A"/>
    <w:rsid w:val="EFDF470A"/>
    <w:rsid w:val="EFDFF3E6"/>
    <w:rsid w:val="EFE712E6"/>
    <w:rsid w:val="EFECDDDB"/>
    <w:rsid w:val="EFF7C6A6"/>
    <w:rsid w:val="EFF7EEAE"/>
    <w:rsid w:val="EFFD969C"/>
    <w:rsid w:val="F0D7EC59"/>
    <w:rsid w:val="F0DE3C2E"/>
    <w:rsid w:val="F1B927A4"/>
    <w:rsid w:val="F2D9C87D"/>
    <w:rsid w:val="F3BB6472"/>
    <w:rsid w:val="F3EEBB32"/>
    <w:rsid w:val="F3FBF516"/>
    <w:rsid w:val="F3FF92B4"/>
    <w:rsid w:val="F54E1163"/>
    <w:rsid w:val="F56E2A6E"/>
    <w:rsid w:val="F5D7B40F"/>
    <w:rsid w:val="F5EEDA60"/>
    <w:rsid w:val="F5EFB180"/>
    <w:rsid w:val="F5FEAF7E"/>
    <w:rsid w:val="F6CFF3E3"/>
    <w:rsid w:val="F6DFFC0C"/>
    <w:rsid w:val="F735CF42"/>
    <w:rsid w:val="F73F225B"/>
    <w:rsid w:val="F75B604A"/>
    <w:rsid w:val="F7EA899A"/>
    <w:rsid w:val="F7EB90F1"/>
    <w:rsid w:val="F7F341BD"/>
    <w:rsid w:val="F9F7353A"/>
    <w:rsid w:val="F9FE70C6"/>
    <w:rsid w:val="FA4B2137"/>
    <w:rsid w:val="FABE4737"/>
    <w:rsid w:val="FB3760F9"/>
    <w:rsid w:val="FB9E3A00"/>
    <w:rsid w:val="FBBF9715"/>
    <w:rsid w:val="FBDF91EB"/>
    <w:rsid w:val="FBF3ABDE"/>
    <w:rsid w:val="FBFF7EF4"/>
    <w:rsid w:val="FC7F215B"/>
    <w:rsid w:val="FCEF4E65"/>
    <w:rsid w:val="FD375179"/>
    <w:rsid w:val="FD6C9E97"/>
    <w:rsid w:val="FD6EB3EE"/>
    <w:rsid w:val="FDBDD900"/>
    <w:rsid w:val="FDBF06B7"/>
    <w:rsid w:val="FDF59568"/>
    <w:rsid w:val="FE75BB3E"/>
    <w:rsid w:val="FE7F0F70"/>
    <w:rsid w:val="FE7F2260"/>
    <w:rsid w:val="FEA64923"/>
    <w:rsid w:val="FEAB0857"/>
    <w:rsid w:val="FED769C8"/>
    <w:rsid w:val="FEDBB388"/>
    <w:rsid w:val="FEDBB391"/>
    <w:rsid w:val="FEEF9E93"/>
    <w:rsid w:val="FEFF57D9"/>
    <w:rsid w:val="FF3362C6"/>
    <w:rsid w:val="FF39272F"/>
    <w:rsid w:val="FF5B8141"/>
    <w:rsid w:val="FF6F6FFE"/>
    <w:rsid w:val="FF7BF13D"/>
    <w:rsid w:val="FF7E7697"/>
    <w:rsid w:val="FF943FE1"/>
    <w:rsid w:val="FF9F8E8F"/>
    <w:rsid w:val="FFBEC6FF"/>
    <w:rsid w:val="FFCFE56F"/>
    <w:rsid w:val="FFD740F0"/>
    <w:rsid w:val="FFEB886A"/>
    <w:rsid w:val="FFEFF665"/>
    <w:rsid w:val="FFF04A62"/>
    <w:rsid w:val="FFF36919"/>
    <w:rsid w:val="FFF72BE1"/>
    <w:rsid w:val="FFFBE5A1"/>
    <w:rsid w:val="FFFD3FC2"/>
    <w:rsid w:val="FFFF283E"/>
    <w:rsid w:val="FFFF28DC"/>
    <w:rsid w:val="FFFF3C31"/>
    <w:rsid w:val="FFFF3DCF"/>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71</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2026-02-11T08:22:00Z</dcterms:created>
  <dc:creator>Arthur (Xiao) Dong</dc:creator>
  <cp:lastModifiedBy>Arthur (Xiao) Dong</cp:lastModifiedBy>
  <dcterms:modified xsi:type="dcterms:W3CDTF">2026-09-02T21:50:03Z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