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商法客观冲刺预测考点课堂笔记</w:t>
      </w:r>
    </w:p>
    <w:p w14:paraId="0AE97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【考点1：公司分类】</w:t>
      </w:r>
    </w:p>
    <w:p w14:paraId="39782A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子公司与分公司</w:t>
      </w:r>
    </w:p>
    <w:p w14:paraId="430963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子公司有法人资格，分公司没有法人资格，与总公司属于同一法人。</w:t>
      </w:r>
    </w:p>
    <w:p w14:paraId="686166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一人公司</w:t>
      </w:r>
    </w:p>
    <w:p w14:paraId="0F242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自然人和法人均可以设立多个一人公司，一人公司法人人格否认举证责任倒置。</w:t>
      </w:r>
    </w:p>
    <w:p w14:paraId="3AB4E0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0DCCF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【考点2:法定代表人】</w:t>
      </w:r>
    </w:p>
    <w:p w14:paraId="17B0DC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法定代表人及其资格的取得与丧失</w:t>
      </w:r>
    </w:p>
    <w:p w14:paraId="2FAE39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按照公司章程的规定，由代表公司执行公司事务的董事或者经理担任。董事或者经理身份丧失，法定代表人资格随之丧失。</w:t>
      </w:r>
    </w:p>
    <w:p w14:paraId="4D449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法定代表人越权担保效力</w:t>
      </w:r>
    </w:p>
    <w:p w14:paraId="554DC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对外担保股东会董事会决议，对内担保股东会决议，未经决议即越权担保。原则上相对人形式审查决议即为善意，担保有效。</w:t>
      </w:r>
    </w:p>
    <w:p w14:paraId="6D0A76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D966C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【考点3:股东出资】</w:t>
      </w:r>
    </w:p>
    <w:p w14:paraId="30661B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出资期限与加速到期</w:t>
      </w:r>
    </w:p>
    <w:p w14:paraId="0D4F59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出资期限最长5年，公司不能清偿到期债务的，公司或者已到期债权的债权人有权要求已认缴出资但未届出资期限的股东提前缴纳出资。</w:t>
      </w:r>
    </w:p>
    <w:p w14:paraId="411B3A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股东出资的</w:t>
      </w:r>
      <w:r>
        <w:rPr>
          <w:rFonts w:hint="eastAsia" w:ascii="Times New Roman Regular" w:hAnsi="Times New Roman Regular" w:cs="Times New Roman Regular"/>
          <w:sz w:val="18"/>
          <w:szCs w:val="18"/>
          <w:u w:val="none"/>
          <w:lang w:val="en-US" w:eastAsia="zh-CN"/>
        </w:rPr>
        <w:t>形式</w:t>
      </w:r>
    </w:p>
    <w:p w14:paraId="0FE812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能够用货币估价并可依法转让的财产，可以用于出资。</w:t>
      </w:r>
    </w:p>
    <w:p w14:paraId="3A2517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出资瑕疵与瑕疵出资的责任</w:t>
      </w:r>
    </w:p>
    <w:p w14:paraId="162743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对公司补足，对其他股东违约。设立时出资瑕疵发起人连带；设立后出资瑕疵，未尽到催缴义务的董事连带，瑕疵股权知情受让人连带。</w:t>
      </w:r>
    </w:p>
    <w:p w14:paraId="46B780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瑕疵出资的催缴与股东失权制度</w:t>
      </w:r>
    </w:p>
    <w:p w14:paraId="2386E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宽限期届满，股东仍未履行出资义务的，公司经董事会决议可以向该股东发出书面的失权通知。</w:t>
      </w:r>
    </w:p>
    <w:p w14:paraId="34F6B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D871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【考点4:股东资格】</w:t>
      </w:r>
    </w:p>
    <w:p w14:paraId="431E46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股东资格认定</w:t>
      </w:r>
    </w:p>
    <w:p w14:paraId="5CF8C6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对内股东名册；对外工商登记。</w:t>
      </w:r>
    </w:p>
    <w:p w14:paraId="01A377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股权确认之诉</w:t>
      </w:r>
    </w:p>
    <w:p w14:paraId="0562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主张享有股权的股东原告，公司被告。利害关系人可为第三人。</w:t>
      </w:r>
    </w:p>
    <w:p w14:paraId="16C236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189E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【考点5：股权代持纠纷】</w:t>
      </w:r>
    </w:p>
    <w:p w14:paraId="1B97EC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股权代持协议</w:t>
      </w:r>
    </w:p>
    <w:p w14:paraId="1489A9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对内看代持协议约定，发生合同效力。</w:t>
      </w:r>
    </w:p>
    <w:p w14:paraId="48630A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代持关系中的股权归属</w:t>
      </w:r>
    </w:p>
    <w:p w14:paraId="3AB37E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名义股东即为股东，享有股东权利，承担股东义务。</w:t>
      </w:r>
    </w:p>
    <w:p w14:paraId="18757C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冒名股东与股权让与担保制度的识别</w:t>
      </w:r>
    </w:p>
    <w:p w14:paraId="47BDA7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不存在代持协议，不适用名义股东实际股东制度。</w:t>
      </w:r>
    </w:p>
    <w:p w14:paraId="4C9B0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5A0A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【考点6：公司增资与减资】</w:t>
      </w:r>
    </w:p>
    <w:p w14:paraId="2AD6F4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一、增资与有限公司股东的新股优先认缴权</w:t>
      </w:r>
    </w:p>
    <w:p w14:paraId="6AFE02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有限公司增加注册资本时，股东在同等条件下有权优先按照实缴的出资比例认缴出资。但是，全体股东约定不按照出资比例优先认缴出资的除外。</w:t>
      </w:r>
    </w:p>
    <w:p w14:paraId="433415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二、减资的类型</w:t>
      </w:r>
    </w:p>
    <w:p w14:paraId="2FBA12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原则上应该等比例减资，法律另有规定、有限公司全体股东另有约定或者股份公司章程另有规定的除外。简易减资：减资补亏的，不适用债权人保护程序。</w:t>
      </w:r>
    </w:p>
    <w:p w14:paraId="3CA954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三、违法减资责任</w:t>
      </w:r>
    </w:p>
    <w:p w14:paraId="4593E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返还给公司，公司股东应就该债务对债权人承担补充赔偿责任。</w:t>
      </w:r>
    </w:p>
    <w:p w14:paraId="07A04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p>
    <w:p w14:paraId="47798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【考点7:股东自益权】</w:t>
      </w:r>
    </w:p>
    <w:p w14:paraId="1E64B4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有限责任公司股权转让及其限制</w:t>
      </w:r>
    </w:p>
    <w:p w14:paraId="7F4652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内部自由转让，外部其他股东优先购买权。</w:t>
      </w:r>
    </w:p>
    <w:p w14:paraId="72B5CE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利润分配请求权</w:t>
      </w:r>
    </w:p>
    <w:p w14:paraId="45A943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公司弥补亏损和提取公积金后所余税后利润，由股东会决议是否分配以及分配多少。关于分配比例，有限公司按照股东实缴的出资比例分配利润，全体股东约定不按照出资比例分配利润的除外。存在滥用股东权利的情形，导致公司没有做出具体利润分配方案的决议，可以抽象利润分配。</w:t>
      </w:r>
    </w:p>
    <w:p w14:paraId="00CF76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有限公司异议股东回购请求权</w:t>
      </w:r>
    </w:p>
    <w:p w14:paraId="21556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五年符合利润分配条件没有分配、滥权损害股东权益；合分立转变公司形式、修改章程公司继续存在。</w:t>
      </w:r>
    </w:p>
    <w:p w14:paraId="1E30E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B2134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【考点8:股东共益权】</w:t>
      </w:r>
    </w:p>
    <w:p w14:paraId="0DE6F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表决权</w:t>
      </w:r>
    </w:p>
    <w:p w14:paraId="6235C8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原则过半数通过，特别事项三分之二以上：增资、减资、修改公司章程、合并、分立、解散、变更公司形式。</w:t>
      </w:r>
    </w:p>
    <w:p w14:paraId="16DAA3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股东知情权与查账权</w:t>
      </w:r>
    </w:p>
    <w:p w14:paraId="552A57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知情权是固有权，章程、股东会决议、股东协议不得限制、剥夺。查账需要正当理由，公司拒绝可诉讼。</w:t>
      </w:r>
    </w:p>
    <w:p w14:paraId="0F90C1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股东代表诉讼</w:t>
      </w:r>
    </w:p>
    <w:p w14:paraId="52904C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有限公司任一股东、股份公司股份公司连续180日以上单独或合计持股1%的股东可提起代表诉讼；代表诉讼需要完全交叉前置程序。</w:t>
      </w:r>
    </w:p>
    <w:p w14:paraId="12066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双重代表诉讼：全资子公司权益受到损害，母公司股东可以代表诉讼。</w:t>
      </w:r>
    </w:p>
    <w:p w14:paraId="5357D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EA91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【考点9:公司治理】</w:t>
      </w:r>
    </w:p>
    <w:p w14:paraId="71FA24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股东会</w:t>
      </w:r>
    </w:p>
    <w:p w14:paraId="19AEAC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包括定期会议和临时会议。</w:t>
      </w:r>
    </w:p>
    <w:p w14:paraId="31B4E3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董事会</w:t>
      </w:r>
    </w:p>
    <w:p w14:paraId="1B95F1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因故缺席须书面委托且只能委托其他董事；董事开会一人一票过半即通过；董事决议须担责，异议董事须表明异议且记载于会议记录才能免责。</w:t>
      </w:r>
    </w:p>
    <w:p w14:paraId="7EB0E6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监事会</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规模较小、股东人数较少的有限公司，经全体股东一致同意可不设监事会或监事；可不设监事会，以董事会内设的审计委员会替代。</w:t>
      </w:r>
    </w:p>
    <w:p w14:paraId="6E828FA9">
      <w:pPr>
        <w:keepNext w:val="0"/>
        <w:keepLines w:val="0"/>
        <w:pageBreakBefore w:val="0"/>
        <w:widowControl w:val="0"/>
        <w:tabs>
          <w:tab w:val="left" w:pos="1973"/>
        </w:tabs>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5A76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【考点10:公司决议】</w:t>
      </w:r>
    </w:p>
    <w:p w14:paraId="311093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公司决议无效</w:t>
      </w:r>
    </w:p>
    <w:p w14:paraId="267B86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内容违法，任何利害关系方均可提起，无期间限制。</w:t>
      </w:r>
    </w:p>
    <w:p w14:paraId="796369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公司决议不成立</w:t>
      </w:r>
    </w:p>
    <w:p w14:paraId="110DE8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严重程序瑕疵没有开会（但有限公司未开会股东书面一致同意的决议除外）包括控股股东搞的假决议或者邮寄签字没有经过全体股东一致同意，或开会了没有作出决议；出席比例不合法/章、表决比例不合法/章，任何利害关系方均可提起，无期间限制。</w:t>
      </w:r>
    </w:p>
    <w:p w14:paraId="4B7701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公司决议可撤销</w:t>
      </w:r>
    </w:p>
    <w:p w14:paraId="15ACA5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内容违章不违法；（2）一般程序瑕疵（即排除了决议不成立、决议可视为有效外的程序瑕疵），只有起诉时的股东在决议做出60日内方可提起，未被通知参会的股东可在知道或应当知道决议作出之日起的60日内提起，但最长不得超过决议作出之日起一年。可撤销的决议，在撤销前依然有效。</w:t>
      </w:r>
    </w:p>
    <w:p w14:paraId="1A2861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可视为有效的程序瑕疵的决议：程序瑕疵显著轻微。</w:t>
      </w:r>
    </w:p>
    <w:p w14:paraId="78F229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决议被宣告无效、不成立、撤销的效力</w:t>
      </w:r>
    </w:p>
    <w:p w14:paraId="711AAD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决议无效、不成立、被撤销的，公司依据决议形成的民事法律关系不当然无效，需要保护善意第三人。</w:t>
      </w:r>
    </w:p>
    <w:p w14:paraId="733E03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1A6E7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【考点11:公司董监高与股东责任】</w:t>
      </w:r>
    </w:p>
    <w:p w14:paraId="5ED33F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董监高的任职资格和任免：股东代表董事由股东会选举并可由股东会无故罢免。</w:t>
      </w:r>
    </w:p>
    <w:p w14:paraId="646B15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董监高的信义义务（尤其是关联交易规制、禁止抢夺公司机会）：违反信义义务的责任</w:t>
      </w:r>
    </w:p>
    <w:p w14:paraId="44CAA4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所得的收入归公司所有、损害赔偿。</w:t>
      </w:r>
    </w:p>
    <w:p w14:paraId="7030BE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董高对第三人的责任</w:t>
      </w:r>
    </w:p>
    <w:p w14:paraId="6E553F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董事在执行职务过程中因故意或重大过失行为导致第三人遭受损害时，需对第三人承担赔偿责任。</w:t>
      </w:r>
    </w:p>
    <w:p w14:paraId="2500CE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法人人格否认制度：存在混同（核心是财产混同），滥用股东和公司对债权人承担连带责任。</w:t>
      </w:r>
    </w:p>
    <w:p w14:paraId="7CCA3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E211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【考点12:公司合并与分立】</w:t>
      </w:r>
    </w:p>
    <w:p w14:paraId="00BAA9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合并</w:t>
      </w:r>
    </w:p>
    <w:p w14:paraId="5ADCD8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公司合并，应当由合并各方签订合并协议，并编制资产负债表及财产清单。公司应当自作出合并决议之日起10日内通知债权人，并于30日内在报纸上或者国家企业信用信息公示系统公告。债权人自接到通知书之日起30日内，未接到通知书的自公告之日起45日内，可以要求公司清偿债务或者提供相应的担保</w:t>
      </w:r>
    </w:p>
    <w:p w14:paraId="1655FD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分立</w:t>
      </w:r>
    </w:p>
    <w:p w14:paraId="323E8F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公司分立，应当编制资产负债表及财产清单。公司应当自作出分立决议之日起10日内通知债权人，并于30日内在报纸上或者国家企业信用信息公示系统公告。公司分立前的债务由分立后的公司承担连带责任；但是，公司在分立前与债权人就债务清偿达成的书面协议另有约定的除外</w:t>
      </w:r>
    </w:p>
    <w:p w14:paraId="6B7A54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26F14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【考点13:公司解散与清算】</w:t>
      </w:r>
    </w:p>
    <w:p w14:paraId="480865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一、公司的解散</w:t>
      </w:r>
    </w:p>
    <w:p w14:paraId="6D0BDF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（一）自愿解散</w:t>
      </w:r>
    </w:p>
    <w:p w14:paraId="670A4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1．公司章程规定的营业期限届满或者公司章程规定的其他解散事由出现</w:t>
      </w:r>
    </w:p>
    <w:p w14:paraId="7AD425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2．股东会决议解散（提前解散）</w:t>
      </w:r>
    </w:p>
    <w:p w14:paraId="3FA846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3．因公司合并或者分立需要解散（法定解散）</w:t>
      </w:r>
    </w:p>
    <w:p w14:paraId="51EAE8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（二）强制解散</w:t>
      </w:r>
    </w:p>
    <w:p w14:paraId="19DB86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依法被主管机关或人民法院吊销营业执照、责令关闭或者撤销（违法解散）</w:t>
      </w:r>
    </w:p>
    <w:p w14:paraId="5A4E0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（三）司法解散</w:t>
      </w:r>
    </w:p>
    <w:p w14:paraId="0BEC57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1.条件：公司经营管理发生严重困难，继续存续会使股东利益受到重大损失，通过其他途径不能解决的（即用尽内部救济），持有公司百分之十以上表决权的股东，可以请求人民法院解散公司</w:t>
      </w:r>
    </w:p>
    <w:p w14:paraId="3F6A04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2.限制：股东以知情权、利润分配请求权等权益受到损害，或者公司亏损、财产不足以偿还全部债务，以及公司被吊销企业法人营业执照未进行清算等为由，提起解散公司诉讼的，人民法院不予受理</w:t>
      </w:r>
    </w:p>
    <w:p w14:paraId="462D3B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顺序：股东提起解散公司诉讼，同时又申请人民法院对公司进行清算的，人民法院对其提出的清算申请不予受理。人民法院可以告知原告，在人民法院判决解散公司后，自行组织清算或者另行申请人民法院对公司进行清算</w:t>
      </w:r>
    </w:p>
    <w:p w14:paraId="229845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4.效力：根据《公司法解释（二）》第6条规定，人民法院关于解散公司诉讼作出的判决，对公司全体股东具有法律约束力</w:t>
      </w:r>
    </w:p>
    <w:p w14:paraId="7AC2D6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二、公司的清算</w:t>
      </w:r>
    </w:p>
    <w:p w14:paraId="3576B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（一）自行清算</w:t>
      </w:r>
    </w:p>
    <w:p w14:paraId="3A2811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董事为公司清算义务人，应当在解散事由出现之日起十五日内组成清算组进行清算。</w:t>
      </w:r>
    </w:p>
    <w:p w14:paraId="22ADDE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清算组由董事组成，但是公司章程另有规定或者股东会决议另选他人的除外。</w:t>
      </w:r>
    </w:p>
    <w:p w14:paraId="2ED617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清算义务人未及时履行清算义务，给公司或者债权人造成损失的，应当承担赔偿责任</w:t>
      </w:r>
    </w:p>
    <w:p w14:paraId="298B3E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（二）指定清算</w:t>
      </w:r>
    </w:p>
    <w:p w14:paraId="07EA34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1．怠于清算：公司应当清算，逾期不成立清算组进行清算或者成立清算组后不清算的，利害关系人可以申请人民法院指定有关人员组成清算组进行清算。人民法院应当受理该申请，并及时组织清算组进行清算</w:t>
      </w:r>
    </w:p>
    <w:p w14:paraId="6F3E7E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2．指定清算组：公司因公司法第二百二十九条第一款第四项的规定而解散的，作出吊销营业执照、责令关闭或者撤销决定的部门或者公司登记机关，可以申请人民法院指定有关人员组成清算组进行清算。</w:t>
      </w:r>
    </w:p>
    <w:p w14:paraId="53CCC0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清算组成员可以从下列人员或者机构中产生：</w:t>
      </w:r>
    </w:p>
    <w:p w14:paraId="6AD6F1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（1）公司股东、董事、监事、高级管理人员</w:t>
      </w:r>
    </w:p>
    <w:p w14:paraId="3716C1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（2）依法设立的律师事务所、会计师事务所、破产清算事务所等社会中介机构</w:t>
      </w:r>
    </w:p>
    <w:p w14:paraId="7D463B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（3）依法设立的律师事务所、会计师事务所、破产清算事务所等社会中介机构中具备相关专业知识并取得执业资格的人员</w:t>
      </w:r>
    </w:p>
    <w:p w14:paraId="31FE5F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（三）清算组的职权</w:t>
      </w:r>
    </w:p>
    <w:p w14:paraId="01615D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1．清理公司财产，分别编制资产负债表和财产清单</w:t>
      </w:r>
    </w:p>
    <w:p w14:paraId="5F9F12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2．通知、公告债权人</w:t>
      </w:r>
    </w:p>
    <w:p w14:paraId="2382DE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3．处理与清算有关的公司未了结的业务</w:t>
      </w:r>
    </w:p>
    <w:p w14:paraId="2C5AB9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4．清缴所欠税款以及清算过程中产生的税款</w:t>
      </w:r>
    </w:p>
    <w:p w14:paraId="41D820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5．清理债权、债务</w:t>
      </w:r>
    </w:p>
    <w:p w14:paraId="0DD29D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6．分配公司清偿债务后的剩余财产</w:t>
      </w:r>
    </w:p>
    <w:p w14:paraId="4E1FCF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7．代表公司参与民事诉讼活动。</w:t>
      </w:r>
    </w:p>
    <w:p w14:paraId="44C88E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清算组应当自成立之日起十日内通知债权人，并于六十日内在报纸上或者国家企业信用信息公示系统公告。债权人应当自接到通知之日起三十日内，未接到通知的自公告之日起四十五日内，向清算组申报其债权</w:t>
      </w:r>
    </w:p>
    <w:p w14:paraId="6BB861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（四）限制</w:t>
      </w:r>
    </w:p>
    <w:p w14:paraId="26D430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1．清算期间，公司存续，但不得开展与清算无关的经营活动</w:t>
      </w:r>
    </w:p>
    <w:p w14:paraId="50035E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2．在申报债权期间，清算组不得对债权人进行个别清偿</w:t>
      </w:r>
    </w:p>
    <w:p w14:paraId="056B65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3．公司财产分别支付清算费用、职工的工资、社会保险费用和法定补偿金，缴纳所欠税款，清偿公司债务后的剩余财产，有限责任公司按照股东的出资比例分配，股份有限公司按照股东持有的股份比例分配</w:t>
      </w:r>
    </w:p>
    <w:p w14:paraId="1C644D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（五）其他规定</w:t>
      </w:r>
    </w:p>
    <w:p w14:paraId="74E7C2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1．清算组成员履行清算职责，负有忠实义务和勤勉义务。</w:t>
      </w:r>
    </w:p>
    <w:p w14:paraId="71D894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清算组成员怠于履行清算职责，给公司造成损失的，应当承担赔偿责任；因故意或者重大过失给债权人造成损失的，应当承担赔偿责任</w:t>
      </w:r>
    </w:p>
    <w:p w14:paraId="1EA35E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2．公司清算结束后，清算组应当制作清算报告，报股东会或者法院确认，并报送公司登记机关，申请注销公司登记</w:t>
      </w:r>
    </w:p>
    <w:p w14:paraId="34CBF2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3．公司在存续期间未产生债务，或者已清偿全部债务的，经全体股东承诺，可以按照规定通过简易程序注销公司登记。</w:t>
      </w:r>
    </w:p>
    <w:p w14:paraId="12153B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通过简易程序注销公司登记，应当通过国家企业信用信息公示系统予以公告，公告期限不少于二十日。公告期限届满后，未有异议的，公司可以在二十日内向公司登记机关申请注销公司登记。</w:t>
      </w:r>
    </w:p>
    <w:p w14:paraId="6A17D1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公司通过简易程序注销公司登记，股东承诺不实的，应当对注销登记前的债务承担连带责任</w:t>
      </w:r>
    </w:p>
    <w:p w14:paraId="5E530D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14:paraId="253321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依照前款规定注销公司登记的，原公司股东、清算义务人的责任不受影响</w:t>
      </w:r>
    </w:p>
    <w:p w14:paraId="6842F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C5817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【考点14:有限合伙企业】</w:t>
      </w:r>
    </w:p>
    <w:p w14:paraId="7F98A6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一、组成</w:t>
      </w:r>
    </w:p>
    <w:p w14:paraId="540CF6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1.合伙人</w:t>
      </w:r>
    </w:p>
    <w:p w14:paraId="7B6315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有限合伙人没有民事行为能力的要求。</w:t>
      </w:r>
    </w:p>
    <w:p w14:paraId="53E35A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2.出资</w:t>
      </w:r>
    </w:p>
    <w:p w14:paraId="422AF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有限合伙人可以货币、实物、知识产权、土地使用权或者其他财产权利作价出资；但不得以劳务出资。</w:t>
      </w:r>
    </w:p>
    <w:p w14:paraId="039FA3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二、事务执行</w:t>
      </w:r>
    </w:p>
    <w:p w14:paraId="1CD280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1．有限合伙企业由普通合伙人执行合伙事务。有限合伙人不执行合伙事务，不得对外代表有限合伙企业。</w:t>
      </w:r>
    </w:p>
    <w:p w14:paraId="3D974B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限合伙人的下列“对内”管理行为，不视为执行合伙事务：（1）参与决定普通合伙人入伙、退伙。（2）对企业的经营管理提出建议。（3）参与选择承办有限合伙企业审计业务的会计师事务所。（4）获取经审计的有限合伙企业财务会计报告。（5）对涉及自身利益的情况，查阅有限合伙企业财务会计账簿等财务资料。（6）在有限合伙企业中的利益受到侵害时，向有责任的合伙人主张权利或者提起诉讼。（7）执行事务合伙人怠于行使权利时，督促其行使权利或者为了本企业的利益以自己的名义提起诉讼。（8）依法为本企业提供担保</w:t>
      </w:r>
    </w:p>
    <w:p w14:paraId="36DB1C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3.表见合伙的后果：第三人有理由相信有限合伙人为普通合伙人并与其交易的，该有限合伙人对该笔交易承担与普通合伙人同样的责任。</w:t>
      </w:r>
    </w:p>
    <w:p w14:paraId="5D665E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三、有限合伙人的权利规则</w:t>
      </w:r>
    </w:p>
    <w:p w14:paraId="546249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1.分红规则</w:t>
      </w:r>
    </w:p>
    <w:p w14:paraId="459B9C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有限合伙企业不得将全部利润分配给部分合伙人；但是，合伙协议另有约定的除外。</w:t>
      </w:r>
    </w:p>
    <w:p w14:paraId="53C1F5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2.自我交易与竞业</w:t>
      </w:r>
    </w:p>
    <w:p w14:paraId="0A99F6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（1）有限合伙人可以同本有限合伙企业进行交易；但是，合伙协议另有约定的除外</w:t>
      </w:r>
    </w:p>
    <w:p w14:paraId="4B8E51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（2）有限合伙人可以自营或者同他人合作经营与本有限合伙企业相竞争的业务；但是，合伙协议另有约定的除外。</w:t>
      </w:r>
    </w:p>
    <w:p w14:paraId="4DA03D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3.对财产份额的出质与转让</w:t>
      </w:r>
    </w:p>
    <w:p w14:paraId="3CA43B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（1）有限合伙人可以将其在有限合伙企业中的财产份额出质；但是，合伙协议另有约定的除外</w:t>
      </w:r>
    </w:p>
    <w:p w14:paraId="2690EA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（2）有限合伙人可以按照合伙协议的约定向合伙人以外的人转让其在有限合伙企业中的财产份额，但应当提前三十日通知其他合伙人</w:t>
      </w:r>
    </w:p>
    <w:p w14:paraId="2CF67B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四、有限合伙人的有限责任</w:t>
      </w:r>
    </w:p>
    <w:p w14:paraId="240FD3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1．新入伙的有限合伙人对入伙前有限合伙企业的债务，以其认缴的出资额为限承担责任。</w:t>
      </w:r>
    </w:p>
    <w:p w14:paraId="236ED6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2．有限合伙人退伙后，对基于其退伙前的原因发生的有限合伙企业债务，以其退伙时从有限合伙企业中取回的财产承担责任。</w:t>
      </w:r>
    </w:p>
    <w:p w14:paraId="113D5D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限合伙人的自有财产不足以清偿其与合伙企业无关的债务的，该合伙人可以以其从有限合伙企业中分取的收益用于清偿；债权人也可以依法请求法院强制执行该合伙人在有限合伙企业中的财产份额用于清偿。</w:t>
      </w:r>
    </w:p>
    <w:p w14:paraId="3AAAD0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法院强制执行有限合伙人的财产份额时，应当通知全体合伙人。在同等条件下，其他合伙人有优先购买权</w:t>
      </w:r>
    </w:p>
    <w:p w14:paraId="54FC79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五、合伙人身份的转化</w:t>
      </w:r>
    </w:p>
    <w:p w14:paraId="490214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1．有限合伙人转变为普通合伙人的，对其作为有限合伙人期间有限合伙企业发生的债务承担无限连带责任</w:t>
      </w:r>
    </w:p>
    <w:p w14:paraId="564774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2．普通合伙人转变为有限合伙人的，对其作为普通合伙人期间合伙企业发生的债务承担无限连带责任。</w:t>
      </w:r>
    </w:p>
    <w:p w14:paraId="2A7CA3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92CB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【考点15:普通合伙企业】</w:t>
      </w:r>
    </w:p>
    <w:p w14:paraId="5A7F49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一、合伙的概念和类型</w:t>
      </w:r>
    </w:p>
    <w:p w14:paraId="7DD582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（一）概念</w:t>
      </w:r>
    </w:p>
    <w:p w14:paraId="18944E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指自然人、法人和其他组织依照合伙企业法在中国境内设立的普通合伙企业和有限合伙企业。</w:t>
      </w:r>
    </w:p>
    <w:p w14:paraId="612FBC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（二）类型</w:t>
      </w:r>
    </w:p>
    <w:p w14:paraId="5E4AEB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1.普通合伙企业：普通合伙企业由普通合伙人组成，合伙人对合伙企业债务承担无限连带责任</w:t>
      </w:r>
    </w:p>
    <w:p w14:paraId="6A3135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2.有限合伙企业：有限合伙企业由普通合伙人和有限合伙人组成，普通合伙人对合伙企业债务承担无限连带责任，有限合伙人以其认缴的出资额为限对合伙企业债务承担责任</w:t>
      </w:r>
    </w:p>
    <w:p w14:paraId="752227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（三）例外</w:t>
      </w:r>
    </w:p>
    <w:p w14:paraId="49D6CF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国有独资公司、国有企业、上市公司以及公益性的事业单位、社会团体不得成为普通合伙人。</w:t>
      </w:r>
    </w:p>
    <w:p w14:paraId="05B535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二、普通合伙企业的设立条件</w:t>
      </w:r>
    </w:p>
    <w:p w14:paraId="1AC312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1.合伙人</w:t>
      </w:r>
    </w:p>
    <w:p w14:paraId="3965D7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有二个以上合伙人。合伙人为自然人的，应当具有完全民事行为能力</w:t>
      </w:r>
    </w:p>
    <w:p w14:paraId="128593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2.合伙协议</w:t>
      </w:r>
    </w:p>
    <w:p w14:paraId="55361E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有书面合伙协议；合伙协议经全体合伙人签名、盖章后生效</w:t>
      </w:r>
    </w:p>
    <w:p w14:paraId="1D24B4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3.出资</w:t>
      </w:r>
    </w:p>
    <w:p w14:paraId="25493D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有合伙人认缴或者实际缴付的出资，合伙人可以用货币、实物、知识产权、土地使用权或者其他财产权利出资，也可以用劳务出资</w:t>
      </w:r>
    </w:p>
    <w:p w14:paraId="1A785C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4.名称和生产经营场所</w:t>
      </w:r>
    </w:p>
    <w:p w14:paraId="656952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有合伙企业的名称和生产经营场所，合伙企业名称中应当标明“普通合伙”字样。</w:t>
      </w:r>
    </w:p>
    <w:p w14:paraId="66F039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三、普通合伙企业的事务执行</w:t>
      </w:r>
    </w:p>
    <w:p w14:paraId="1DAD9C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（一）一般规则</w:t>
      </w:r>
    </w:p>
    <w:p w14:paraId="02B01D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合伙人对合伙企业有关事项作出决议，按照合伙协议约定的表决办法处理。合伙协议未约定或者约定不明确的，实行合伙人一人一票并经全体合伙人过半数通过的表决办法</w:t>
      </w:r>
    </w:p>
    <w:p w14:paraId="755BDD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（二）全票表决事项</w:t>
      </w:r>
    </w:p>
    <w:p w14:paraId="135E19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合伙协议另有约定外，合伙企业的下列事项应当经全体合伙人一致同意：改变合伙企业的名称；改变合伙企业的经营范围、主要经营场所的地点；处分合伙企业的不动产；转让或者处分合伙企业的知识产权和其他财产权利；以合伙企业名义为他人提供担保；聘任合伙人以外的人担任合伙企业的经营管理人员；补充和修改合伙协议；新合伙人入伙。</w:t>
      </w:r>
    </w:p>
    <w:p w14:paraId="044F42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（三）同业竞争</w:t>
      </w:r>
    </w:p>
    <w:p w14:paraId="618F56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合伙人不得自营或者同他人合作经营与本合伙企业相竞争的业务</w:t>
      </w:r>
    </w:p>
    <w:p w14:paraId="1B44DB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（四）自我交易</w:t>
      </w:r>
    </w:p>
    <w:p w14:paraId="5B2E22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除合伙协议另有约定或经全体合伙人一致同意外，合伙人不得同本合伙企业进行交易</w:t>
      </w:r>
    </w:p>
    <w:p w14:paraId="758F37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（五）利润分配与亏损分担</w:t>
      </w:r>
    </w:p>
    <w:p w14:paraId="743D42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合伙协议不得约定将全部利润分配给部分合伙人或者由部分合伙人承担全部亏损</w:t>
      </w:r>
    </w:p>
    <w:p w14:paraId="1F2997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四、普通合伙企业与第三人的关系</w:t>
      </w:r>
    </w:p>
    <w:p w14:paraId="4AE1FA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（一）合伙企业债务的清偿</w:t>
      </w:r>
    </w:p>
    <w:p w14:paraId="333993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1．合伙企业不能清偿到期债务的，合伙人承担无限连带责任。</w:t>
      </w:r>
    </w:p>
    <w:p w14:paraId="5124DE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2．合伙人由于承担无限连带责任，清偿数额超过其亏损分担比例的，有权向其他合伙人追偿。</w:t>
      </w:r>
    </w:p>
    <w:p w14:paraId="4767A6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（二）合伙人个人负债的清偿方法</w:t>
      </w:r>
    </w:p>
    <w:p w14:paraId="62B6D2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1．合伙人的自有财产不足清偿其与合伙企业无关的债务的，该合伙人可以以其从合伙企业中分取的收益用于清偿；</w:t>
      </w:r>
    </w:p>
    <w:p w14:paraId="195969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2．债权人也可以依法请求法院强制执行该合伙人在合伙企业中的财产份额用于清偿。</w:t>
      </w:r>
    </w:p>
    <w:p w14:paraId="3FE9A9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人民法院强制执行合伙人的财产份额时，应当通知全体合伙人，其他合伙人有优先购买权；其他合伙人未购买，又不同意将该财产份额转让给他人的，依照合伙企业法的规定为该合伙人办理退伙结算，或者办理削减该合伙人相应财产份额的结算。</w:t>
      </w:r>
    </w:p>
    <w:p w14:paraId="60655F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五、合伙事务的执行</w:t>
      </w:r>
    </w:p>
    <w:p w14:paraId="4558F2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1．事务执行人对外代表合伙企业</w:t>
      </w:r>
    </w:p>
    <w:p w14:paraId="6EF27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2．确定执行人的，其他合伙人不再执行合伙事务。</w:t>
      </w:r>
    </w:p>
    <w:p w14:paraId="40EC46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3．执行人应当定期向其他合伙人报告事务执行情况以及合伙企业的经营和财务状况。</w:t>
      </w:r>
    </w:p>
    <w:p w14:paraId="6B626E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4．所有普通合伙人均有权查阅合伙企业会计账簿等财务资料</w:t>
      </w:r>
    </w:p>
    <w:p w14:paraId="1C3519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六、普通合伙人的入伙与退伙</w:t>
      </w:r>
    </w:p>
    <w:p w14:paraId="74CB99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（一）入伙</w:t>
      </w:r>
    </w:p>
    <w:p w14:paraId="6F6AFC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新合伙人入伙，除合伙协议另有约定外，应当经全体合伙人一致同意，并依法订立书面入伙协议</w:t>
      </w:r>
    </w:p>
    <w:p w14:paraId="6BAE47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新合伙人对入伙前合伙企业的债务承担无限连带责任。入伙协议另有约定的，从其约定。</w:t>
      </w:r>
    </w:p>
    <w:p w14:paraId="314B59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（二）退伙</w:t>
      </w:r>
    </w:p>
    <w:p w14:paraId="6FC41B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当然退伙</w:t>
      </w:r>
    </w:p>
    <w:p w14:paraId="16F98E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1．作为合伙人的自然人死亡或者被依法宣告死亡；</w:t>
      </w:r>
    </w:p>
    <w:p w14:paraId="027CA0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2．个人丧失偿债能力；</w:t>
      </w:r>
    </w:p>
    <w:p w14:paraId="62A597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3．作为合伙人的法人或者其他组织依法被吊销营业执照、责令关闭、撤销，或者被宣告破产；</w:t>
      </w:r>
    </w:p>
    <w:p w14:paraId="4D9908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4．法律规定或者合伙协议约定合伙人必须具有相关资格而丧失该资格；</w:t>
      </w:r>
    </w:p>
    <w:p w14:paraId="7780C4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5．合伙人在合伙企业中的全部财产份额被人民法院强制执行。</w:t>
      </w:r>
    </w:p>
    <w:p w14:paraId="3CB72E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总结：人死财空没资格。</w:t>
      </w:r>
    </w:p>
    <w:p w14:paraId="122ED6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14:paraId="326852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退伙事由实际发生之日为退伙生效日</w:t>
      </w:r>
    </w:p>
    <w:p w14:paraId="20B524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除名退伙</w:t>
      </w:r>
    </w:p>
    <w:p w14:paraId="3392A2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情形：</w:t>
      </w:r>
    </w:p>
    <w:p w14:paraId="2843A2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1．未履行出资义务；</w:t>
      </w:r>
    </w:p>
    <w:p w14:paraId="72A791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2．因故意或者重大过失给合伙企业造成损失；</w:t>
      </w:r>
    </w:p>
    <w:p w14:paraId="70F382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3．执行合伙事务时有不正当行为；</w:t>
      </w:r>
    </w:p>
    <w:p w14:paraId="2B8DD3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4．发生合伙协议约定的事由。</w:t>
      </w:r>
    </w:p>
    <w:p w14:paraId="3656EB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救济：</w:t>
      </w:r>
    </w:p>
    <w:p w14:paraId="241FBC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对合伙人的除名决议应当书面通知被除名人。被除名人接到除名通知之日，除名生效，被除名人退伙。</w:t>
      </w:r>
    </w:p>
    <w:p w14:paraId="14E283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被除名人对除名决议有异议的，可以自接到除名通知之日起三十日内，向人民法院起诉</w:t>
      </w:r>
    </w:p>
    <w:p w14:paraId="4D70B1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协议退伙</w:t>
      </w:r>
    </w:p>
    <w:p w14:paraId="5AD2C1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合伙协议约定合伙期限的，在合伙企业存续期间，有下列情形之一的，合伙人可以退伙：</w:t>
      </w:r>
    </w:p>
    <w:p w14:paraId="13924E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1．合伙协议约定的退伙事由出现；</w:t>
      </w:r>
    </w:p>
    <w:p w14:paraId="5B8DF7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2．经全体合伙人一致同意；</w:t>
      </w:r>
    </w:p>
    <w:p w14:paraId="74FFB0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3．发生合伙人难以继续参加合伙的事由；</w:t>
      </w:r>
    </w:p>
    <w:p w14:paraId="61FCAD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4．其他合伙人严重违反合伙协议约定的义务</w:t>
      </w:r>
    </w:p>
    <w:p w14:paraId="7DF9C7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通知退伙</w:t>
      </w:r>
    </w:p>
    <w:p w14:paraId="14C39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合伙协议未约定合伙期限的，合伙人在不给合伙企业事务执行造成不利影响的情况下，可以退伙，但应当提前三十日通知其他合伙人</w:t>
      </w:r>
    </w:p>
    <w:p w14:paraId="0BCB5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1CFE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【考点16:保险合同总论】</w:t>
      </w:r>
    </w:p>
    <w:p w14:paraId="72200F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保险利益原则</w:t>
      </w:r>
    </w:p>
    <w:p w14:paraId="6D6606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投保人对以下人员具有保险利益：本人；配偶、子女、父母；前项以外与投保人有抚养、赡养或扶养关系的家庭其他成员、近亲属；与投保人有劳动关系的劳动者。此外，被保险人同意投保人为其订立合同的，视为投保人对被保险人具有保险利益。财产保险应当具有财产利害关系。</w:t>
      </w:r>
    </w:p>
    <w:p w14:paraId="553718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如实告知义务及其违反的责任</w:t>
      </w:r>
    </w:p>
    <w:p w14:paraId="662595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因投保人违反如实告知义务，保险人决定解除合同的：（1）投保人故意不告知的，保险人不赔保险金且不退保险费；（2）投保人重大过失未告知的，保险人不赔保险金但须退还保险费。不赔需要解除合同。</w:t>
      </w:r>
    </w:p>
    <w:p w14:paraId="487EB0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解除权限制：订立合同时保险人知情、成立2年后、知道后30日后。</w:t>
      </w:r>
    </w:p>
    <w:p w14:paraId="3B6E51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3924F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【考点17：人身保险合同】</w:t>
      </w:r>
    </w:p>
    <w:p w14:paraId="1B37F5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一、人身保险合同的受益人</w:t>
      </w:r>
    </w:p>
    <w:p w14:paraId="1D29CD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（一）指定</w:t>
      </w:r>
    </w:p>
    <w:p w14:paraId="5C11B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人身保险的受益人由被保险人或者投保人指定。投保人指定受益人时须经被保险人同意，否则无效</w:t>
      </w:r>
    </w:p>
    <w:p w14:paraId="277AA4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（二）变更</w:t>
      </w:r>
    </w:p>
    <w:p w14:paraId="140408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1．投保人变更受益人未经被保险人同意的无效。</w:t>
      </w:r>
    </w:p>
    <w:p w14:paraId="2AC8B0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2．投保人或者被保险人变更受益人未通知保险人，对保险人不发生效力。</w:t>
      </w:r>
    </w:p>
    <w:p w14:paraId="0ECAB9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3．投保人或者被保险人变更受益人，当事人主张变更行为自变更意思表示发出时生效的，人民法院应予支持。</w:t>
      </w:r>
    </w:p>
    <w:p w14:paraId="745DAB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4．投保人或者被保险人在保险事故发生后变更受益人，变更后的受益人请求保险人给付保险金的，人民法院不予支持。</w:t>
      </w:r>
    </w:p>
    <w:p w14:paraId="501C90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二、死亡保险被保险人的资格</w:t>
      </w:r>
    </w:p>
    <w:p w14:paraId="330CF0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1．投保人不得为无民事行为能力人投保以死亡为给付保险金条件的人身保险，保险人也不得承保。</w:t>
      </w:r>
    </w:p>
    <w:p w14:paraId="19DD49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2．父母为其未成年子女投保的人身保险，不受上述规定限制，但是死亡给付保险金额总和不得超过保险监督管理机构规定的限额。</w:t>
      </w:r>
    </w:p>
    <w:p w14:paraId="15484B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三、年龄误报</w:t>
      </w:r>
    </w:p>
    <w:p w14:paraId="56DF24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1.不符合承保条件：投保人申报的被保险人年龄不真实，并且其真实年龄不符合合同约定的年龄限制的，保险人可以解除合同，并按照合同约定退还保险单的现金价值，但是自合同成立之日起逾二年的除外</w:t>
      </w:r>
    </w:p>
    <w:p w14:paraId="2498C0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2.年龄说小：投保人申报的被保险人年龄不真实，致使投保人支付的保险费少于应付保险费的，保险人有权更正并要求投保人补交保险费，或者在给付保险金时按照实付保险费与应付保险费的比例支付</w:t>
      </w:r>
    </w:p>
    <w:p w14:paraId="32F564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3.年龄说大：投保人申报的被保险人年龄不真实，致使投保人实付保险费多于应付保险费的，保险人应当将多收的保险费退还投保人</w:t>
      </w:r>
    </w:p>
    <w:p w14:paraId="0FBB75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四、保险费的缴纳与合同的效力</w:t>
      </w:r>
    </w:p>
    <w:p w14:paraId="6C9D4D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（一）保险合同的中止</w:t>
      </w:r>
    </w:p>
    <w:p w14:paraId="281B01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同约定分期支付保险费，投保人支付首期保险费后，除合同另有约定外，投保人自保险人催告之日起超过三十日未支付当期保险费，或者超过约定的期限六十日未支付当期保险费的，合同效力中止，或者由保险人按照合同约定的条件减少保险金额</w:t>
      </w:r>
    </w:p>
    <w:p w14:paraId="24C7CA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（二）保险合同的复效与解除</w:t>
      </w:r>
    </w:p>
    <w:p w14:paraId="427190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1．依照上述规定合同效力中止的，投保人提出恢复效力申请并同意补交保险费，除被保险人的危险程度在中止期间显著增加外，保险人拒绝恢复效力的，人民法院不予支持。</w:t>
      </w:r>
    </w:p>
    <w:p w14:paraId="2B0582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2．保险人在收到恢复效力申请后，三十日内未明确拒绝的，应认定为同意恢复效力。</w:t>
      </w:r>
    </w:p>
    <w:p w14:paraId="18435A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3．保险合同自投保人补交保险费之日恢复效力。保险人要求投保人补交相应利息的，人民法院应予支持。</w:t>
      </w:r>
    </w:p>
    <w:p w14:paraId="26EFE8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4．但是，自合同效力中止之日起2年内双方未达成协议的，保险人有权解除合同</w:t>
      </w:r>
    </w:p>
    <w:p w14:paraId="6C531F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五、人身保险合同的法定除外责任</w:t>
      </w:r>
    </w:p>
    <w:p w14:paraId="6C4CF3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（一）投保人和受益人的过错行为</w:t>
      </w:r>
    </w:p>
    <w:p w14:paraId="7F4D26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1．投保人故意造成被保险人死亡、伤残或者疾病的，保险人不承担给付保险金的责任</w:t>
      </w:r>
    </w:p>
    <w:p w14:paraId="241EC6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2．受益人故意造成被保险人死亡、伤残、疾病的，或者故意杀害被保险人未遂的，该受益人丧失受益权</w:t>
      </w:r>
    </w:p>
    <w:p w14:paraId="13BF3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（二）被保险人的自杀行为</w:t>
      </w:r>
    </w:p>
    <w:p w14:paraId="256437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以被保险人死亡为给付保险金条件的合同，自合同成立或者合同效力恢复之日起二年内，被保险人自杀的，保险人不承担给付保险金的责任，但被保险人自杀时为无民事行为能力人的除外。</w:t>
      </w:r>
    </w:p>
    <w:p w14:paraId="769E22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6B281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【考点18:财产保险合同】</w:t>
      </w:r>
    </w:p>
    <w:p w14:paraId="6633CC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一、施救费用的规定</w:t>
      </w:r>
    </w:p>
    <w:p w14:paraId="074701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（一）施救费用的承担</w:t>
      </w:r>
    </w:p>
    <w:p w14:paraId="415AED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1．保险事故发生时，被保险人有责任尽力采取必要的措施，防止或者减少损失。</w:t>
      </w:r>
    </w:p>
    <w:p w14:paraId="65E19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保险事故发生后，被保险人请求保险人承担为防止或者减少保险标的的损失所支付的必要、合理费用，保险人以被保险人采取的措施未产生实际效果为由抗辩的，人民法院不予支持</w:t>
      </w:r>
    </w:p>
    <w:p w14:paraId="1EE532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2．保险事故发生后，被保险人为防止或者减少保险标的的损失所支付的必要的、合理的费用，由保险人承担</w:t>
      </w:r>
    </w:p>
    <w:p w14:paraId="78E831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3．保险人所承担的数额在保险标的损失赔偿金额以外另行计算，最高不超过保险金额的数额</w:t>
      </w:r>
    </w:p>
    <w:p w14:paraId="66EF5D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二、代位求偿</w:t>
      </w:r>
    </w:p>
    <w:p w14:paraId="112AF6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（一）规则</w:t>
      </w:r>
    </w:p>
    <w:p w14:paraId="601B77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1．保险事故是由第三人的行为引起</w:t>
      </w:r>
    </w:p>
    <w:p w14:paraId="14954C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2．保险公司已向被保险人支付赔偿</w:t>
      </w:r>
    </w:p>
    <w:p w14:paraId="38591D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3．保险公司行使代位求偿权的数额以给付的保险金为限</w:t>
      </w:r>
    </w:p>
    <w:p w14:paraId="743BA0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4．被保险人已经从第三者取得损害赔偿的，保险人赔偿保险金时，可以相应扣减被保险人从第三者已取得的赔偿金额</w:t>
      </w:r>
    </w:p>
    <w:p w14:paraId="7437BA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5．保险人行使代位请求赔偿的权利，不影响被保险人就未取得赔偿的部分向第三者请求赔偿的权利</w:t>
      </w:r>
    </w:p>
    <w:p w14:paraId="7CEDD5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（二）被保险人弃权的后果</w:t>
      </w:r>
    </w:p>
    <w:p w14:paraId="60FE20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1.保险人赔偿前：保险事故发生后，保险人未赔偿保险金之前，被保险人放弃对第三者的请求赔偿的权利的，保险人不承担赔偿保险金的责任</w:t>
      </w:r>
    </w:p>
    <w:p w14:paraId="621C57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2.保险人赔偿后：保险人向被保险人赔偿保险金后，被保险人未经保险人同意放弃对第三者请求赔偿的权利的，该行为无效</w:t>
      </w:r>
    </w:p>
    <w:p w14:paraId="57376F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（三）例外</w:t>
      </w:r>
    </w:p>
    <w:p w14:paraId="45622E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保险人不得对被保险人的家庭成员或者其组成人员行使代位请求赔偿的权利，除非是被保险人的家庭成员或者其组成人员故意造成这种保险事故</w:t>
      </w:r>
    </w:p>
    <w:p w14:paraId="6B44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E93A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【考点19：破产程序事项】</w:t>
      </w:r>
    </w:p>
    <w:p w14:paraId="5FE29F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破产原因与破产程序</w:t>
      </w:r>
    </w:p>
    <w:p w14:paraId="50BA25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（1）不能清偿到期债务且资不抵债；（2）不能清偿到期债务且明显丧失清偿能力。（3）丧失清偿能力的可能（只能申请重整）。</w:t>
      </w:r>
    </w:p>
    <w:p w14:paraId="50A1BF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破产受理的效果</w:t>
      </w:r>
    </w:p>
    <w:p w14:paraId="646E76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个别清偿无效；管理人对待履行合同选择权；已发生的诉讼措施“三中止一解除”；新诉讼集中管辖。</w:t>
      </w:r>
    </w:p>
    <w:p w14:paraId="405DA2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管理人职权：破产后企业的“董事会”“法定代表人”。</w:t>
      </w:r>
    </w:p>
    <w:p w14:paraId="169ACB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债权申报的规则：未到期的申报；有担保的申报；职工债权无需申报。</w:t>
      </w:r>
    </w:p>
    <w:p w14:paraId="359367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补充申报</w:t>
      </w:r>
    </w:p>
    <w:p w14:paraId="634DCB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债权申报期限内未申报债权的，债权人可以在破产财产最后分配前补充申报。补充申报，可以进行补充分配，但此前已进行的分配，不再对其补充分配。为审查和确认补充申报债权的费用，由补充申报人承担。</w:t>
      </w:r>
    </w:p>
    <w:p w14:paraId="704F8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B04A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【考点20:破产实体权利】</w:t>
      </w:r>
    </w:p>
    <w:p w14:paraId="266DCB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撤销权</w:t>
      </w:r>
    </w:p>
    <w:p w14:paraId="706FCE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破产前一年内，四类行为可撤销：（1）三类财产转移（无偿转让财产、不合理价格交易或放弃债权）；（2）对没有财产担保的债务提供财产担保的；（3）对未到期债务提前清偿的；（4）在破产前六个月内清偿已到期的债权，清偿时已出现破产原因的（但为生产支出水电费、支付劳动报酬/人身损害赔偿等可使债务人财产受益的除外）。</w:t>
      </w:r>
    </w:p>
    <w:p w14:paraId="44699F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追回权：属于债务人财产，被他人非法占有。</w:t>
      </w:r>
    </w:p>
    <w:p w14:paraId="27CC92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取回权：债务人占有的其他人的财产。</w:t>
      </w:r>
    </w:p>
    <w:p w14:paraId="655E6A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抵销权</w:t>
      </w:r>
    </w:p>
    <w:p w14:paraId="2106F6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自破产受理前，互有债权债务关系的；债权人可以向管理人主张债务抵销（管理人一般不可主动提出）。不能通过破产抵销权变相实现个别清偿。</w:t>
      </w:r>
    </w:p>
    <w:p w14:paraId="14B489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破产费用与共益债务</w:t>
      </w:r>
    </w:p>
    <w:p w14:paraId="4AF7A5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破产费用与破产程序相关（程序进行所需的费用）；共益债务与处理债务人财产的实体法律关系有关；破产费用优先于共益债务。</w:t>
      </w:r>
    </w:p>
    <w:p w14:paraId="7F6D46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4295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【考点21:汇票法律制度】</w:t>
      </w:r>
    </w:p>
    <w:p w14:paraId="0B5D32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伪造、变造</w:t>
      </w:r>
    </w:p>
    <w:p w14:paraId="283AE2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在票据上伪造、变造他人签章的，不影响其他签章的效力；在变造后签章的票据义务人对变造后的记载事项负责；在变造前签章的，对原记载事项负责。</w:t>
      </w:r>
    </w:p>
    <w:p w14:paraId="5F4033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保证</w:t>
      </w:r>
    </w:p>
    <w:p w14:paraId="01CE23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保证不得附条件，否则保证有效，所附条件无效；保证中未记载被保证人名称的，已承兑的以承兑人为被保证人，未承兑的以出票人为被保证人。</w:t>
      </w:r>
    </w:p>
    <w:p w14:paraId="30853E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追索权与再追索权：</w:t>
      </w:r>
    </w:p>
    <w:p w14:paraId="178C2A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期后追索：票据到期后被拒付的。</w:t>
      </w:r>
    </w:p>
    <w:p w14:paraId="54A9A7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期前追索：（1）汇票被拒绝承兑；（2）承兑人死亡、逃匿或破产被责令关闭的，持票人有权向全部票据债务人请求付款。可以向任一前手或者全部前手追索。</w:t>
      </w:r>
    </w:p>
    <w:p w14:paraId="18D3EE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票据质押：背书记载质押字样，交付票据。</w:t>
      </w:r>
    </w:p>
    <w:p w14:paraId="2AB4B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46D1A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【考点22:证券发行与投资者权益保护】</w:t>
      </w:r>
    </w:p>
    <w:p w14:paraId="312626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注册制核心规则</w:t>
      </w:r>
    </w:p>
    <w:p w14:paraId="268E14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证券公开发行全面实行注册制，以信息披露为核心；监管机构只做合规审查，不做投资价值判断，未经注册不得公开发行。</w:t>
      </w:r>
    </w:p>
    <w:p w14:paraId="2B4544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公募发行基本条件</w:t>
      </w:r>
    </w:p>
    <w:p w14:paraId="217CD8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发行人具备持续经营能力，无需持续盈利；财务报告真实无虚假记载，无重大违法行为。</w:t>
      </w:r>
    </w:p>
    <w:p w14:paraId="6E3AAD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私募发行规则</w:t>
      </w:r>
    </w:p>
    <w:p w14:paraId="71791D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私募证券只能向合格投资者发行，人数不超 200 人；不得公开宣传、变相公募，转让受限。</w:t>
      </w:r>
    </w:p>
    <w:p w14:paraId="72804C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信息披露义务</w:t>
      </w:r>
    </w:p>
    <w:p w14:paraId="6B6816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发行人、控股股东、实控人、董监高对披露信息的真实、准确、完整负责，虚假披露需承担连带赔偿责任。发行人虚假陈述致投资者受损的，保荐人、承销券商可先行赔付，赔付后向过错方追偿。</w:t>
      </w:r>
    </w:p>
    <w:p w14:paraId="3B15C4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投资者适当性制度</w:t>
      </w:r>
    </w:p>
    <w:p w14:paraId="28FD6B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证券公司必须匹配投资者风险等级与产品风险等级；禁止向普通投资者销售高风险产品，违反适当性义务需承担过错责任。</w:t>
      </w:r>
    </w:p>
    <w:p w14:paraId="60B19F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普通投资者特别保护</w:t>
      </w:r>
    </w:p>
    <w:p w14:paraId="6F7394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普通投资者与券商发生纠纷，实行举证责任倒置，由券商举证自身无过错；专业投资者不适用举证倒置。</w:t>
      </w:r>
    </w:p>
    <w:p w14:paraId="5BA01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代表人诉讼制度：证券集体诉讼无需投资者单独授权，默认加入、明示退出。</w:t>
      </w:r>
    </w:p>
    <w:p w14:paraId="3244B0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85834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【考点23:海商法】</w:t>
      </w:r>
    </w:p>
    <w:p w14:paraId="2EB557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国内沿海运输、国际海上运输统一适用海上货物运输规则，国内沿海旅客运输与国际海上旅客运输人身伤亡、行李损失赔偿限额等问题统一。</w:t>
      </w:r>
    </w:p>
    <w:p w14:paraId="2CCF00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电子提单、电子运输记录与纸质提单法律效力等同，认可航运数字化单证效力，不得仅以电子形式否定单证效力。</w:t>
      </w:r>
    </w:p>
    <w:p w14:paraId="5EDD2A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货物交付收货人之前，托运人有权请求承运人中止运输、返还货物、变更卸货港或者变更收货人；承运人有正当理由可拒绝。</w:t>
      </w:r>
    </w:p>
    <w:p w14:paraId="7552A7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承运人火灾免责缩限：仅船上火灾承运人免责，港口、岸上堆场火灾，承运人不得免责。</w:t>
      </w:r>
    </w:p>
    <w:p w14:paraId="13B8F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目的港无人提货责任</w:t>
      </w:r>
    </w:p>
    <w:p w14:paraId="000EC4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无人提货产生的滞港费、仓储费、货物处置费用，由托运人承担，承运人负有及时通知义务。</w:t>
      </w:r>
    </w:p>
    <w:p w14:paraId="3797BF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船舶油污损害</w:t>
      </w:r>
    </w:p>
    <w:p w14:paraId="487153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船舶漏油致环境污染，船方承担无过错严格责任；强制投保油污责任险；油污损害不得列入共同海损分摊。</w:t>
      </w:r>
    </w:p>
    <w:p w14:paraId="232E79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船舶优先权</w:t>
      </w:r>
    </w:p>
    <w:p w14:paraId="35CA5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定担保物权，无需登记占有，随船舶转移。法定债权按序受偿：船员工资、人身伤亡、港口规费、海难救助报酬（后发生先受偿）、财产侵权损失，顺位优于留置权、抵押权。权利存续1年除斥期间，不中止中断，船舶灭失、法院拍卖或权利人放弃时优先权消灭</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9E879CF"/>
    <w:rsid w:val="09FF37FE"/>
    <w:rsid w:val="0D9A55A2"/>
    <w:rsid w:val="0FB5B439"/>
    <w:rsid w:val="13EF1752"/>
    <w:rsid w:val="16EFD392"/>
    <w:rsid w:val="176A297A"/>
    <w:rsid w:val="177DA370"/>
    <w:rsid w:val="17DFFA75"/>
    <w:rsid w:val="18BFC09B"/>
    <w:rsid w:val="1BC8E4F3"/>
    <w:rsid w:val="1BEF9C01"/>
    <w:rsid w:val="1BFB8A79"/>
    <w:rsid w:val="1C730B7C"/>
    <w:rsid w:val="1FFDE82A"/>
    <w:rsid w:val="1FFE3DC8"/>
    <w:rsid w:val="233CDA22"/>
    <w:rsid w:val="25E4E361"/>
    <w:rsid w:val="2BDEBEB0"/>
    <w:rsid w:val="2EED2630"/>
    <w:rsid w:val="2F5C4F16"/>
    <w:rsid w:val="2FEF698F"/>
    <w:rsid w:val="2FF57ABD"/>
    <w:rsid w:val="37F9300F"/>
    <w:rsid w:val="39CD9E08"/>
    <w:rsid w:val="3AA211B0"/>
    <w:rsid w:val="3B6E9B79"/>
    <w:rsid w:val="3CBEA7BC"/>
    <w:rsid w:val="3D680BC6"/>
    <w:rsid w:val="3DDD8785"/>
    <w:rsid w:val="3DDF2686"/>
    <w:rsid w:val="3DFFDC9A"/>
    <w:rsid w:val="3E7361FD"/>
    <w:rsid w:val="3E73E157"/>
    <w:rsid w:val="3ECF5705"/>
    <w:rsid w:val="3EFF2196"/>
    <w:rsid w:val="3EFFCDE3"/>
    <w:rsid w:val="3F564B9C"/>
    <w:rsid w:val="3F7D6D90"/>
    <w:rsid w:val="3FDF38B5"/>
    <w:rsid w:val="3FE52EEA"/>
    <w:rsid w:val="3FF373A0"/>
    <w:rsid w:val="3FF95740"/>
    <w:rsid w:val="3FFD82CF"/>
    <w:rsid w:val="3FFF6E05"/>
    <w:rsid w:val="4D7AF3B1"/>
    <w:rsid w:val="4DFF36B7"/>
    <w:rsid w:val="4EFF6AA8"/>
    <w:rsid w:val="4F5FCC32"/>
    <w:rsid w:val="4F7E5D39"/>
    <w:rsid w:val="4FAD7741"/>
    <w:rsid w:val="4FBE93C3"/>
    <w:rsid w:val="4FBFC878"/>
    <w:rsid w:val="4FEF7A7F"/>
    <w:rsid w:val="4FF62111"/>
    <w:rsid w:val="54AD72A3"/>
    <w:rsid w:val="577DF98B"/>
    <w:rsid w:val="57ADAAC3"/>
    <w:rsid w:val="57FDC1B1"/>
    <w:rsid w:val="59B72E8D"/>
    <w:rsid w:val="5AFF2B80"/>
    <w:rsid w:val="5BB7B3D0"/>
    <w:rsid w:val="5BF630B3"/>
    <w:rsid w:val="5CF748A1"/>
    <w:rsid w:val="5D1E5E35"/>
    <w:rsid w:val="5D2F548A"/>
    <w:rsid w:val="5D9CC53C"/>
    <w:rsid w:val="5DBFD756"/>
    <w:rsid w:val="5DCBBC8F"/>
    <w:rsid w:val="5DDF2929"/>
    <w:rsid w:val="5EF589B3"/>
    <w:rsid w:val="5F2FB4C6"/>
    <w:rsid w:val="5F67BE34"/>
    <w:rsid w:val="5F9FED60"/>
    <w:rsid w:val="5FB9F8B5"/>
    <w:rsid w:val="5FD90FDB"/>
    <w:rsid w:val="5FDF33DE"/>
    <w:rsid w:val="5FDFC522"/>
    <w:rsid w:val="5FEEA3D6"/>
    <w:rsid w:val="63F79634"/>
    <w:rsid w:val="63FEFF0F"/>
    <w:rsid w:val="676B1FCF"/>
    <w:rsid w:val="67F71FFA"/>
    <w:rsid w:val="67FFFECC"/>
    <w:rsid w:val="699F2754"/>
    <w:rsid w:val="6BBF548D"/>
    <w:rsid w:val="6BEE3C17"/>
    <w:rsid w:val="6CFC5835"/>
    <w:rsid w:val="6DD7FC96"/>
    <w:rsid w:val="6DD90F6A"/>
    <w:rsid w:val="6E37DE95"/>
    <w:rsid w:val="6EBFFE06"/>
    <w:rsid w:val="6EDC6954"/>
    <w:rsid w:val="6EEE4B40"/>
    <w:rsid w:val="6EF5F292"/>
    <w:rsid w:val="6F6716C1"/>
    <w:rsid w:val="6F77BF01"/>
    <w:rsid w:val="6F7FD66B"/>
    <w:rsid w:val="6F838CDA"/>
    <w:rsid w:val="6FC75035"/>
    <w:rsid w:val="6FDEEB8F"/>
    <w:rsid w:val="6FDF93E2"/>
    <w:rsid w:val="6FE9DFA5"/>
    <w:rsid w:val="6FF6B73E"/>
    <w:rsid w:val="6FF7B5C8"/>
    <w:rsid w:val="6FF7C38D"/>
    <w:rsid w:val="6FFE7A6F"/>
    <w:rsid w:val="72B16660"/>
    <w:rsid w:val="72FEDFAF"/>
    <w:rsid w:val="73D58A28"/>
    <w:rsid w:val="73E4A563"/>
    <w:rsid w:val="73FFEEE2"/>
    <w:rsid w:val="74EF0DAF"/>
    <w:rsid w:val="75FFDC8C"/>
    <w:rsid w:val="76576194"/>
    <w:rsid w:val="775AEF14"/>
    <w:rsid w:val="777D53E3"/>
    <w:rsid w:val="77975A01"/>
    <w:rsid w:val="77FE9827"/>
    <w:rsid w:val="77FF3F7D"/>
    <w:rsid w:val="77FFEE91"/>
    <w:rsid w:val="78FF9F1C"/>
    <w:rsid w:val="795BB6EC"/>
    <w:rsid w:val="79B72732"/>
    <w:rsid w:val="7A3B30EE"/>
    <w:rsid w:val="7A8FECFA"/>
    <w:rsid w:val="7B5CBCA9"/>
    <w:rsid w:val="7B6D3C00"/>
    <w:rsid w:val="7B77E946"/>
    <w:rsid w:val="7BAF28C8"/>
    <w:rsid w:val="7BFB7B68"/>
    <w:rsid w:val="7BFEE434"/>
    <w:rsid w:val="7BFFD2F7"/>
    <w:rsid w:val="7C7DDD51"/>
    <w:rsid w:val="7C9D61C3"/>
    <w:rsid w:val="7CA7FBD0"/>
    <w:rsid w:val="7CBF8F89"/>
    <w:rsid w:val="7D473A11"/>
    <w:rsid w:val="7D77914D"/>
    <w:rsid w:val="7D7FD33D"/>
    <w:rsid w:val="7DBDD90E"/>
    <w:rsid w:val="7DBFEFAD"/>
    <w:rsid w:val="7DDD2DE6"/>
    <w:rsid w:val="7DDEECA3"/>
    <w:rsid w:val="7DE7821D"/>
    <w:rsid w:val="7DF9200D"/>
    <w:rsid w:val="7E3F6002"/>
    <w:rsid w:val="7E8B21A2"/>
    <w:rsid w:val="7EA8A03E"/>
    <w:rsid w:val="7EBF8FBE"/>
    <w:rsid w:val="7EED7FF8"/>
    <w:rsid w:val="7EF6F43A"/>
    <w:rsid w:val="7EFFC158"/>
    <w:rsid w:val="7F3B9F4C"/>
    <w:rsid w:val="7F3C3286"/>
    <w:rsid w:val="7F67DF64"/>
    <w:rsid w:val="7F695405"/>
    <w:rsid w:val="7F6B748A"/>
    <w:rsid w:val="7F7EA679"/>
    <w:rsid w:val="7FB49696"/>
    <w:rsid w:val="7FB797CE"/>
    <w:rsid w:val="7FBF0A70"/>
    <w:rsid w:val="7FBF0F91"/>
    <w:rsid w:val="7FDE403C"/>
    <w:rsid w:val="7FE6F2CC"/>
    <w:rsid w:val="7FE7235C"/>
    <w:rsid w:val="7FEB109E"/>
    <w:rsid w:val="7FF7BFA7"/>
    <w:rsid w:val="7FF9A277"/>
    <w:rsid w:val="7FFB6619"/>
    <w:rsid w:val="7FFC589F"/>
    <w:rsid w:val="7FFCE884"/>
    <w:rsid w:val="7FFEFA63"/>
    <w:rsid w:val="7FFF3F3C"/>
    <w:rsid w:val="7FFFAC33"/>
    <w:rsid w:val="7FFFBB01"/>
    <w:rsid w:val="7FFFDDBC"/>
    <w:rsid w:val="7FFFF6AF"/>
    <w:rsid w:val="8ABEE47C"/>
    <w:rsid w:val="9566E7AB"/>
    <w:rsid w:val="96D25B10"/>
    <w:rsid w:val="9FCF4166"/>
    <w:rsid w:val="9FFE895E"/>
    <w:rsid w:val="A3C7B59A"/>
    <w:rsid w:val="AB3E9408"/>
    <w:rsid w:val="ABF826D2"/>
    <w:rsid w:val="ABFBC881"/>
    <w:rsid w:val="AE7BAC24"/>
    <w:rsid w:val="AEAF67DC"/>
    <w:rsid w:val="AECFAD74"/>
    <w:rsid w:val="AED07A5A"/>
    <w:rsid w:val="AEFFF231"/>
    <w:rsid w:val="AF7349BF"/>
    <w:rsid w:val="AFDDC269"/>
    <w:rsid w:val="AFDFDFDB"/>
    <w:rsid w:val="AFFB766C"/>
    <w:rsid w:val="AFFF1BA4"/>
    <w:rsid w:val="B1FDE468"/>
    <w:rsid w:val="B3FCBB50"/>
    <w:rsid w:val="B3FEA9EF"/>
    <w:rsid w:val="B5DF2E67"/>
    <w:rsid w:val="B7FEF551"/>
    <w:rsid w:val="B9FFBA7D"/>
    <w:rsid w:val="BAFF5B3F"/>
    <w:rsid w:val="BBBF8B80"/>
    <w:rsid w:val="BBD68691"/>
    <w:rsid w:val="BDE7066F"/>
    <w:rsid w:val="BFCBDAEF"/>
    <w:rsid w:val="BFD7C2A8"/>
    <w:rsid w:val="BFDF45C5"/>
    <w:rsid w:val="BFDF5E9D"/>
    <w:rsid w:val="BFFFC478"/>
    <w:rsid w:val="C2FF7057"/>
    <w:rsid w:val="CBDA46FA"/>
    <w:rsid w:val="CBFEC5C4"/>
    <w:rsid w:val="CDD71C02"/>
    <w:rsid w:val="CDF9AD73"/>
    <w:rsid w:val="CEAF22DB"/>
    <w:rsid w:val="CEF10759"/>
    <w:rsid w:val="CF7F02E4"/>
    <w:rsid w:val="CFABA3EB"/>
    <w:rsid w:val="CFBDAEF9"/>
    <w:rsid w:val="CFEE9E57"/>
    <w:rsid w:val="CFFF1593"/>
    <w:rsid w:val="D39F9B0D"/>
    <w:rsid w:val="D3DF067C"/>
    <w:rsid w:val="D5F9939E"/>
    <w:rsid w:val="D7F8DDAE"/>
    <w:rsid w:val="D99D7B6E"/>
    <w:rsid w:val="D9CCE136"/>
    <w:rsid w:val="DB3B536C"/>
    <w:rsid w:val="DBEFC237"/>
    <w:rsid w:val="DBF64670"/>
    <w:rsid w:val="DDBD2ED0"/>
    <w:rsid w:val="DE5EFF5E"/>
    <w:rsid w:val="DFCCB69C"/>
    <w:rsid w:val="DFD43E98"/>
    <w:rsid w:val="DFDD6831"/>
    <w:rsid w:val="E5718167"/>
    <w:rsid w:val="E59B90E9"/>
    <w:rsid w:val="E5AB3AAB"/>
    <w:rsid w:val="E5DD9418"/>
    <w:rsid w:val="E67ED6A7"/>
    <w:rsid w:val="E787CCF8"/>
    <w:rsid w:val="E7BFCB01"/>
    <w:rsid w:val="E7FEFF98"/>
    <w:rsid w:val="E9FA56F1"/>
    <w:rsid w:val="EA3CD53D"/>
    <w:rsid w:val="EB6E8309"/>
    <w:rsid w:val="EBD730EB"/>
    <w:rsid w:val="EBD755C7"/>
    <w:rsid w:val="EC2D9E1A"/>
    <w:rsid w:val="EECA7655"/>
    <w:rsid w:val="EF06E542"/>
    <w:rsid w:val="EF3B5A75"/>
    <w:rsid w:val="EF73E6F1"/>
    <w:rsid w:val="EF7FB042"/>
    <w:rsid w:val="EFB7ADF2"/>
    <w:rsid w:val="EFCFFD3A"/>
    <w:rsid w:val="EFDF470A"/>
    <w:rsid w:val="EFDFF3E6"/>
    <w:rsid w:val="EFE712E6"/>
    <w:rsid w:val="EFECDDDB"/>
    <w:rsid w:val="EFF7C6A6"/>
    <w:rsid w:val="EFF7EEAE"/>
    <w:rsid w:val="EFFD969C"/>
    <w:rsid w:val="F0D7EC59"/>
    <w:rsid w:val="F0DE3C2E"/>
    <w:rsid w:val="F1B927A4"/>
    <w:rsid w:val="F2D9C87D"/>
    <w:rsid w:val="F3EEBB32"/>
    <w:rsid w:val="F3FBF516"/>
    <w:rsid w:val="F3FF92B4"/>
    <w:rsid w:val="F54E1163"/>
    <w:rsid w:val="F56E2A6E"/>
    <w:rsid w:val="F5D7B40F"/>
    <w:rsid w:val="F5EEDA60"/>
    <w:rsid w:val="F5EFB180"/>
    <w:rsid w:val="F5FEAF7E"/>
    <w:rsid w:val="F6CFF3E3"/>
    <w:rsid w:val="F6DFFC0C"/>
    <w:rsid w:val="F735CF42"/>
    <w:rsid w:val="F73F225B"/>
    <w:rsid w:val="F75B604A"/>
    <w:rsid w:val="F7EB90F1"/>
    <w:rsid w:val="F7F341BD"/>
    <w:rsid w:val="F9F7353A"/>
    <w:rsid w:val="F9FE70C6"/>
    <w:rsid w:val="FA4B2137"/>
    <w:rsid w:val="FABE4737"/>
    <w:rsid w:val="FB3760F9"/>
    <w:rsid w:val="FBBF9715"/>
    <w:rsid w:val="FBDF91EB"/>
    <w:rsid w:val="FBF3ABDE"/>
    <w:rsid w:val="FBFF7EF4"/>
    <w:rsid w:val="FC7F215B"/>
    <w:rsid w:val="FCEF4E65"/>
    <w:rsid w:val="FD375179"/>
    <w:rsid w:val="FD6C9E97"/>
    <w:rsid w:val="FD6EB3EE"/>
    <w:rsid w:val="FDBDD900"/>
    <w:rsid w:val="FDBF06B7"/>
    <w:rsid w:val="FDF59568"/>
    <w:rsid w:val="FE75BB3E"/>
    <w:rsid w:val="FE7F0F70"/>
    <w:rsid w:val="FE7F2260"/>
    <w:rsid w:val="FEA64923"/>
    <w:rsid w:val="FEAB0857"/>
    <w:rsid w:val="FED769C8"/>
    <w:rsid w:val="FEDBB391"/>
    <w:rsid w:val="FEEF9E93"/>
    <w:rsid w:val="FEFF57D9"/>
    <w:rsid w:val="FF3362C6"/>
    <w:rsid w:val="FF39272F"/>
    <w:rsid w:val="FF6F6FFE"/>
    <w:rsid w:val="FF7BF13D"/>
    <w:rsid w:val="FF7E7697"/>
    <w:rsid w:val="FF943FE1"/>
    <w:rsid w:val="FF9F8E8F"/>
    <w:rsid w:val="FFBEC6FF"/>
    <w:rsid w:val="FFD740F0"/>
    <w:rsid w:val="FFEB886A"/>
    <w:rsid w:val="FFEFF665"/>
    <w:rsid w:val="FFF72BE1"/>
    <w:rsid w:val="FFFBE5A1"/>
    <w:rsid w:val="FFFD3FC2"/>
    <w:rsid w:val="FFFF283E"/>
    <w:rsid w:val="FFFF28DC"/>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71</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2026-02-10T00:22:00Z</dcterms:created>
  <dc:creator>Arthur (Xiao) Dong</dc:creator>
  <cp:lastModifiedBy>Arthur (Xiao) Dong</cp:lastModifiedBy>
  <dcterms:modified xsi:type="dcterms:W3CDTF">2026-08-22T20:55:04Z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