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7522"/>
      </w:tblGrid>
      <w:tr w14:paraId="58D42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17" w:type="dxa"/>
          <w:trHeight w:val="416" w:hRule="atLeast"/>
        </w:trPr>
        <w:tc>
          <w:tcPr>
            <w:tcW w:w="983" w:type="dxa"/>
            <w:vAlign w:val="center"/>
          </w:tcPr>
          <w:p w14:paraId="060381E7">
            <w:pPr>
              <w:jc w:val="center"/>
              <w:rPr>
                <w:rFonts w:ascii="宋体" w:hAnsi="宋体" w:eastAsia="宋体"/>
                <w:sz w:val="21"/>
                <w:szCs w:val="21"/>
              </w:rPr>
            </w:pPr>
            <w:r>
              <w:rPr>
                <w:rFonts w:hint="eastAsia" w:ascii="宋体" w:hAnsi="宋体" w:eastAsia="宋体"/>
                <w:sz w:val="21"/>
                <w:szCs w:val="21"/>
              </w:rPr>
              <w:t>垄断协议的适用除外</w:t>
            </w:r>
          </w:p>
        </w:tc>
        <w:tc>
          <w:tcPr>
            <w:tcW w:w="7522" w:type="dxa"/>
          </w:tcPr>
          <w:p w14:paraId="4F9B2481">
            <w:pPr>
              <w:rPr>
                <w:rFonts w:ascii="宋体" w:hAnsi="宋体" w:eastAsia="宋体"/>
                <w:sz w:val="21"/>
                <w:szCs w:val="21"/>
              </w:rPr>
            </w:pPr>
            <w:r>
              <w:rPr>
                <w:rFonts w:hint="eastAsia" w:ascii="宋体" w:hAnsi="宋体" w:eastAsia="宋体"/>
                <w:sz w:val="21"/>
                <w:szCs w:val="21"/>
              </w:rPr>
              <w:t>我国《反垄断法》规定的除外行为包括</w:t>
            </w:r>
            <w:r>
              <w:rPr>
                <w:rFonts w:ascii="宋体" w:hAnsi="宋体" w:eastAsia="宋体"/>
                <w:sz w:val="21"/>
                <w:szCs w:val="21"/>
              </w:rPr>
              <w:t>：</w:t>
            </w:r>
          </w:p>
          <w:p w14:paraId="0DD43B70">
            <w:pPr>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w:t>
            </w:r>
            <w:r>
              <w:rPr>
                <w:rFonts w:hint="eastAsia" w:ascii="宋体" w:hAnsi="宋体" w:eastAsia="宋体"/>
                <w:sz w:val="21"/>
                <w:szCs w:val="21"/>
                <w:u w:val="wave"/>
              </w:rPr>
              <w:t>为改进技术、研究开发新产品的</w:t>
            </w:r>
            <w:r>
              <w:rPr>
                <w:rFonts w:ascii="宋体" w:hAnsi="宋体" w:eastAsia="宋体"/>
                <w:sz w:val="21"/>
                <w:szCs w:val="21"/>
              </w:rPr>
              <w:t>；</w:t>
            </w:r>
          </w:p>
          <w:p w14:paraId="21F8F19C">
            <w:pPr>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w:t>
            </w:r>
            <w:r>
              <w:rPr>
                <w:rFonts w:hint="eastAsia" w:ascii="宋体" w:hAnsi="宋体" w:eastAsia="宋体"/>
                <w:sz w:val="21"/>
                <w:szCs w:val="21"/>
              </w:rPr>
              <w:t>为提高产品质量、降低成本、增进效率</w:t>
            </w:r>
            <w:r>
              <w:rPr>
                <w:rFonts w:ascii="宋体" w:hAnsi="宋体" w:eastAsia="宋体"/>
                <w:sz w:val="21"/>
                <w:szCs w:val="21"/>
              </w:rPr>
              <w:t>，</w:t>
            </w:r>
            <w:r>
              <w:rPr>
                <w:rFonts w:hint="eastAsia" w:ascii="宋体" w:hAnsi="宋体" w:eastAsia="宋体"/>
                <w:sz w:val="21"/>
                <w:szCs w:val="21"/>
              </w:rPr>
              <w:t>统一产品规格、标准或者实行专业化分工的</w:t>
            </w:r>
            <w:r>
              <w:rPr>
                <w:rFonts w:ascii="宋体" w:hAnsi="宋体" w:eastAsia="宋体"/>
                <w:sz w:val="21"/>
                <w:szCs w:val="21"/>
              </w:rPr>
              <w:t>；</w:t>
            </w:r>
          </w:p>
          <w:p w14:paraId="6659B0CE">
            <w:pPr>
              <w:rPr>
                <w:rFonts w:ascii="宋体" w:hAnsi="宋体" w:eastAsia="宋体"/>
                <w:sz w:val="21"/>
                <w:szCs w:val="21"/>
              </w:rPr>
            </w:pPr>
            <w:r>
              <w:rPr>
                <w:rFonts w:hint="eastAsia" w:ascii="宋体" w:hAnsi="宋体" w:eastAsia="宋体"/>
                <w:sz w:val="21"/>
                <w:szCs w:val="21"/>
              </w:rPr>
              <w:t>3</w:t>
            </w:r>
            <w:r>
              <w:rPr>
                <w:rFonts w:ascii="宋体" w:hAnsi="宋体" w:eastAsia="宋体"/>
                <w:sz w:val="21"/>
                <w:szCs w:val="21"/>
              </w:rPr>
              <w:t>.</w:t>
            </w:r>
            <w:r>
              <w:rPr>
                <w:rFonts w:hint="eastAsia" w:ascii="宋体" w:hAnsi="宋体" w:eastAsia="宋体"/>
                <w:sz w:val="21"/>
                <w:szCs w:val="21"/>
              </w:rPr>
              <w:t>为提高中小经营者经营效率</w:t>
            </w:r>
            <w:r>
              <w:rPr>
                <w:rFonts w:ascii="宋体" w:hAnsi="宋体" w:eastAsia="宋体"/>
                <w:sz w:val="21"/>
                <w:szCs w:val="21"/>
              </w:rPr>
              <w:t>，</w:t>
            </w:r>
            <w:r>
              <w:rPr>
                <w:rFonts w:hint="eastAsia" w:ascii="宋体" w:hAnsi="宋体" w:eastAsia="宋体"/>
                <w:sz w:val="21"/>
                <w:szCs w:val="21"/>
              </w:rPr>
              <w:t>增强中小经营者竞争力的</w:t>
            </w:r>
            <w:r>
              <w:rPr>
                <w:rFonts w:ascii="宋体" w:hAnsi="宋体" w:eastAsia="宋体"/>
                <w:sz w:val="21"/>
                <w:szCs w:val="21"/>
              </w:rPr>
              <w:t>；</w:t>
            </w:r>
          </w:p>
          <w:p w14:paraId="19E0C573">
            <w:pPr>
              <w:rPr>
                <w:rFonts w:ascii="宋体" w:hAnsi="宋体" w:eastAsia="宋体"/>
                <w:sz w:val="21"/>
                <w:szCs w:val="21"/>
              </w:rPr>
            </w:pP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为实现节约能源、保护环境、救灾救助等社会公共利益的</w:t>
            </w:r>
            <w:r>
              <w:rPr>
                <w:rFonts w:ascii="宋体" w:hAnsi="宋体" w:eastAsia="宋体"/>
                <w:sz w:val="21"/>
                <w:szCs w:val="21"/>
              </w:rPr>
              <w:t>；</w:t>
            </w:r>
          </w:p>
          <w:p w14:paraId="5F0394DB">
            <w:pPr>
              <w:rPr>
                <w:rFonts w:ascii="宋体" w:hAnsi="宋体" w:eastAsia="宋体"/>
                <w:sz w:val="21"/>
                <w:szCs w:val="21"/>
              </w:rPr>
            </w:pPr>
            <w:r>
              <w:rPr>
                <w:rFonts w:hint="eastAsia" w:ascii="宋体" w:hAnsi="宋体" w:eastAsia="宋体"/>
                <w:sz w:val="21"/>
                <w:szCs w:val="21"/>
              </w:rPr>
              <w:t>5</w:t>
            </w:r>
            <w:r>
              <w:rPr>
                <w:rFonts w:ascii="宋体" w:hAnsi="宋体" w:eastAsia="宋体"/>
                <w:sz w:val="21"/>
                <w:szCs w:val="21"/>
              </w:rPr>
              <w:t>.</w:t>
            </w:r>
            <w:r>
              <w:rPr>
                <w:rFonts w:hint="eastAsia" w:ascii="宋体" w:hAnsi="宋体" w:eastAsia="宋体"/>
                <w:sz w:val="21"/>
                <w:szCs w:val="21"/>
                <w:u w:val="wave"/>
              </w:rPr>
              <w:t>因经济不景气</w:t>
            </w:r>
            <w:r>
              <w:rPr>
                <w:rFonts w:ascii="宋体" w:hAnsi="宋体" w:eastAsia="宋体"/>
                <w:sz w:val="21"/>
                <w:szCs w:val="21"/>
                <w:u w:val="wave"/>
              </w:rPr>
              <w:t>，</w:t>
            </w:r>
            <w:r>
              <w:rPr>
                <w:rFonts w:hint="eastAsia" w:ascii="宋体" w:hAnsi="宋体" w:eastAsia="宋体"/>
                <w:sz w:val="21"/>
                <w:szCs w:val="21"/>
                <w:u w:val="wave"/>
              </w:rPr>
              <w:t>为缓解销售量严重下降或者生产明显过剩的</w:t>
            </w:r>
            <w:r>
              <w:rPr>
                <w:rFonts w:ascii="宋体" w:hAnsi="宋体" w:eastAsia="宋体"/>
                <w:sz w:val="21"/>
                <w:szCs w:val="21"/>
              </w:rPr>
              <w:t>；</w:t>
            </w:r>
          </w:p>
          <w:p w14:paraId="27728BB9">
            <w:pPr>
              <w:rPr>
                <w:rFonts w:ascii="宋体" w:hAnsi="宋体" w:eastAsia="宋体"/>
                <w:sz w:val="21"/>
                <w:szCs w:val="21"/>
              </w:rPr>
            </w:pPr>
            <w:r>
              <w:rPr>
                <w:rFonts w:hint="eastAsia" w:ascii="宋体" w:hAnsi="宋体" w:eastAsia="宋体"/>
                <w:sz w:val="21"/>
                <w:szCs w:val="21"/>
              </w:rPr>
              <w:t>6</w:t>
            </w:r>
            <w:r>
              <w:rPr>
                <w:rFonts w:ascii="宋体" w:hAnsi="宋体" w:eastAsia="宋体"/>
                <w:sz w:val="21"/>
                <w:szCs w:val="21"/>
              </w:rPr>
              <w:t>.</w:t>
            </w:r>
            <w:r>
              <w:rPr>
                <w:rFonts w:hint="eastAsia" w:ascii="宋体" w:hAnsi="宋体" w:eastAsia="宋体"/>
                <w:sz w:val="21"/>
                <w:szCs w:val="21"/>
                <w:u w:val="wave"/>
              </w:rPr>
              <w:t>为保障对外贸易和对外经济合作中的正当利益的</w:t>
            </w:r>
            <w:r>
              <w:rPr>
                <w:rFonts w:ascii="宋体" w:hAnsi="宋体" w:eastAsia="宋体"/>
                <w:sz w:val="21"/>
                <w:szCs w:val="21"/>
              </w:rPr>
              <w:t>；</w:t>
            </w:r>
          </w:p>
          <w:p w14:paraId="7066FCD7">
            <w:pPr>
              <w:rPr>
                <w:rFonts w:ascii="宋体" w:hAnsi="宋体" w:eastAsia="宋体"/>
                <w:sz w:val="21"/>
                <w:szCs w:val="21"/>
              </w:rPr>
            </w:pPr>
            <w:r>
              <w:rPr>
                <w:rFonts w:hint="eastAsia" w:ascii="宋体" w:hAnsi="宋体" w:eastAsia="宋体"/>
                <w:sz w:val="21"/>
                <w:szCs w:val="21"/>
              </w:rPr>
              <w:t>7</w:t>
            </w:r>
            <w:r>
              <w:rPr>
                <w:rFonts w:ascii="宋体" w:hAnsi="宋体" w:eastAsia="宋体"/>
                <w:sz w:val="21"/>
                <w:szCs w:val="21"/>
              </w:rPr>
              <w:t>.</w:t>
            </w:r>
            <w:r>
              <w:rPr>
                <w:rFonts w:hint="eastAsia" w:ascii="宋体" w:hAnsi="宋体" w:eastAsia="宋体"/>
                <w:sz w:val="21"/>
                <w:szCs w:val="21"/>
              </w:rPr>
              <w:t>法律和国务院规定的其他情形。</w:t>
            </w:r>
          </w:p>
          <w:p w14:paraId="39FEACA2">
            <w:pPr>
              <w:rPr>
                <w:rFonts w:ascii="宋体" w:hAnsi="宋体" w:eastAsia="宋体"/>
                <w:sz w:val="21"/>
                <w:szCs w:val="21"/>
              </w:rPr>
            </w:pPr>
            <w:r>
              <w:rPr>
                <w:rFonts w:hint="eastAsia" w:ascii="宋体" w:hAnsi="宋体" w:eastAsia="宋体"/>
                <w:sz w:val="21"/>
                <w:szCs w:val="21"/>
              </w:rPr>
              <w:t>属于上述第1项至第5项情形</w:t>
            </w:r>
            <w:r>
              <w:rPr>
                <w:rFonts w:ascii="宋体" w:hAnsi="宋体" w:eastAsia="宋体"/>
                <w:sz w:val="21"/>
                <w:szCs w:val="21"/>
              </w:rPr>
              <w:t>，</w:t>
            </w:r>
            <w:r>
              <w:rPr>
                <w:rFonts w:hint="eastAsia" w:ascii="宋体" w:hAnsi="宋体" w:eastAsia="宋体"/>
                <w:sz w:val="21"/>
                <w:szCs w:val="21"/>
              </w:rPr>
              <w:t>经营者还</w:t>
            </w:r>
            <w:r>
              <w:rPr>
                <w:rFonts w:hint="eastAsia" w:ascii="宋体" w:hAnsi="宋体" w:eastAsia="宋体"/>
                <w:sz w:val="21"/>
                <w:szCs w:val="21"/>
                <w:u w:val="wave"/>
              </w:rPr>
              <w:t>应当证明所达成的协议不会严重限制相关市场的竞争</w:t>
            </w:r>
            <w:r>
              <w:rPr>
                <w:rFonts w:ascii="宋体" w:hAnsi="宋体" w:eastAsia="宋体"/>
                <w:sz w:val="21"/>
                <w:szCs w:val="21"/>
                <w:u w:val="wave"/>
              </w:rPr>
              <w:t>，</w:t>
            </w:r>
            <w:r>
              <w:rPr>
                <w:rFonts w:hint="eastAsia" w:ascii="宋体" w:hAnsi="宋体" w:eastAsia="宋体"/>
                <w:sz w:val="21"/>
                <w:szCs w:val="21"/>
                <w:u w:val="wave"/>
              </w:rPr>
              <w:t>并且能够使消费者分享由此产生的利益</w:t>
            </w:r>
            <w:r>
              <w:rPr>
                <w:rFonts w:ascii="宋体" w:hAnsi="宋体" w:eastAsia="宋体"/>
                <w:sz w:val="21"/>
                <w:szCs w:val="21"/>
                <w:u w:val="wave"/>
              </w:rPr>
              <w:t>，</w:t>
            </w:r>
            <w:r>
              <w:rPr>
                <w:rFonts w:hint="eastAsia" w:ascii="宋体" w:hAnsi="宋体" w:eastAsia="宋体"/>
                <w:sz w:val="21"/>
                <w:szCs w:val="21"/>
                <w:u w:val="wave"/>
              </w:rPr>
              <w:t>这样才可以免除法律责任</w:t>
            </w:r>
            <w:r>
              <w:rPr>
                <w:rFonts w:hint="eastAsia" w:ascii="宋体" w:hAnsi="宋体" w:eastAsia="宋体"/>
                <w:sz w:val="21"/>
                <w:szCs w:val="21"/>
              </w:rPr>
              <w:t>。</w:t>
            </w:r>
          </w:p>
          <w:p w14:paraId="7A31854F">
            <w:pPr>
              <w:rPr>
                <w:rFonts w:ascii="宋体" w:hAnsi="宋体" w:eastAsia="宋体"/>
                <w:kern w:val="0"/>
                <w:sz w:val="21"/>
                <w:szCs w:val="21"/>
              </w:rPr>
            </w:pPr>
            <w:r>
              <w:rPr>
                <w:rFonts w:ascii="宋体" w:hAnsi="宋体" w:eastAsia="宋体"/>
                <w:sz w:val="21"/>
                <w:szCs w:val="21"/>
              </w:rPr>
              <w:t>总结：</w:t>
            </w:r>
            <w:r>
              <w:rPr>
                <w:rFonts w:hint="eastAsia" w:ascii="宋体" w:hAnsi="宋体" w:eastAsia="宋体"/>
                <w:sz w:val="21"/>
                <w:szCs w:val="21"/>
                <w:u w:val="wave"/>
              </w:rPr>
              <w:t>对于第6项情形</w:t>
            </w:r>
            <w:r>
              <w:rPr>
                <w:rFonts w:ascii="宋体" w:hAnsi="宋体" w:eastAsia="宋体"/>
                <w:sz w:val="21"/>
                <w:szCs w:val="21"/>
                <w:u w:val="wave"/>
              </w:rPr>
              <w:t>，</w:t>
            </w:r>
            <w:r>
              <w:rPr>
                <w:rFonts w:hint="eastAsia" w:ascii="宋体" w:hAnsi="宋体" w:eastAsia="宋体"/>
                <w:sz w:val="21"/>
                <w:szCs w:val="21"/>
                <w:u w:val="wave"/>
              </w:rPr>
              <w:t>实施的是直接豁免</w:t>
            </w:r>
            <w:r>
              <w:rPr>
                <w:rFonts w:hint="eastAsia" w:ascii="宋体" w:hAnsi="宋体" w:eastAsia="宋体"/>
                <w:sz w:val="21"/>
                <w:szCs w:val="21"/>
              </w:rPr>
              <w:t>。</w:t>
            </w:r>
          </w:p>
        </w:tc>
      </w:tr>
    </w:tbl>
    <w:p w14:paraId="0EB8C743">
      <w:pPr>
        <w:numPr>
          <w:numId w:val="0"/>
        </w:numPr>
        <w:spacing w:line="360" w:lineRule="auto"/>
        <w:ind w:leftChars="0"/>
        <w:rPr>
          <w:rFonts w:hint="eastAsia"/>
          <w:b/>
          <w:bCs/>
          <w:sz w:val="24"/>
          <w:szCs w:val="24"/>
          <w:lang w:val="en-US" w:eastAsia="zh-CN"/>
        </w:rPr>
      </w:pPr>
    </w:p>
    <w:p w14:paraId="0A7E6D32">
      <w:pPr>
        <w:numPr>
          <w:numId w:val="0"/>
        </w:numPr>
        <w:spacing w:line="360" w:lineRule="auto"/>
        <w:ind w:leftChars="0"/>
        <w:rPr>
          <w:rFonts w:hint="default"/>
          <w:b/>
          <w:bCs/>
          <w:sz w:val="24"/>
          <w:szCs w:val="24"/>
          <w:lang w:val="en-US" w:eastAsia="zh-CN"/>
        </w:rPr>
      </w:pPr>
      <w:r>
        <w:rPr>
          <w:rFonts w:hint="eastAsia"/>
          <w:b/>
          <w:bCs/>
          <w:sz w:val="24"/>
          <w:szCs w:val="24"/>
          <w:lang w:val="en-US" w:eastAsia="zh-CN"/>
        </w:rPr>
        <w:t>不正当竞争行为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706"/>
      </w:tblGrid>
      <w:tr w14:paraId="10B5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5C0D31A">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混淆</w:t>
            </w:r>
          </w:p>
        </w:tc>
        <w:tc>
          <w:tcPr>
            <w:tcW w:w="7706" w:type="dxa"/>
          </w:tcPr>
          <w:p w14:paraId="50C30392">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（一）擅自使用与他人有</w:t>
            </w:r>
            <w:bookmarkStart w:id="0" w:name="_GoBack"/>
            <w:bookmarkEnd w:id="0"/>
            <w:r>
              <w:rPr>
                <w:rFonts w:hint="default"/>
                <w:sz w:val="24"/>
                <w:szCs w:val="24"/>
                <w:vertAlign w:val="baseline"/>
                <w:lang w:val="en-US" w:eastAsia="zh-CN"/>
              </w:rPr>
              <w:t>一定影响的商品名称、包装、装潢等相同或者近似的标识；</w:t>
            </w:r>
          </w:p>
          <w:p w14:paraId="0DD81181">
            <w:pPr>
              <w:numPr>
                <w:ilvl w:val="0"/>
                <w:numId w:val="0"/>
              </w:numPr>
              <w:spacing w:line="360" w:lineRule="auto"/>
              <w:rPr>
                <w:rFonts w:hint="default"/>
                <w:sz w:val="24"/>
                <w:szCs w:val="24"/>
                <w:vertAlign w:val="baseline"/>
                <w:lang w:val="en-US" w:eastAsia="zh-CN"/>
              </w:rPr>
            </w:pPr>
          </w:p>
          <w:p w14:paraId="41068518">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（二）擅自使用他人有一定影响的企业名称（包括简称、字号等）、社会组织名称（包括简称等）、姓名（包括笔名、艺名、译名等）；</w:t>
            </w:r>
          </w:p>
          <w:p w14:paraId="26DC2A85">
            <w:pPr>
              <w:numPr>
                <w:ilvl w:val="0"/>
                <w:numId w:val="0"/>
              </w:numPr>
              <w:spacing w:line="360" w:lineRule="auto"/>
              <w:rPr>
                <w:rFonts w:hint="default"/>
                <w:sz w:val="24"/>
                <w:szCs w:val="24"/>
                <w:vertAlign w:val="baseline"/>
                <w:lang w:val="en-US" w:eastAsia="zh-CN"/>
              </w:rPr>
            </w:pPr>
          </w:p>
          <w:p w14:paraId="566A25EA">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（三）擅自使用他人有一定影响的域名主体部分、网站名称、网页等；</w:t>
            </w:r>
          </w:p>
          <w:p w14:paraId="0F3F10CD">
            <w:pPr>
              <w:numPr>
                <w:ilvl w:val="0"/>
                <w:numId w:val="0"/>
              </w:numPr>
              <w:spacing w:line="360" w:lineRule="auto"/>
              <w:rPr>
                <w:rFonts w:hint="default"/>
                <w:sz w:val="24"/>
                <w:szCs w:val="24"/>
                <w:vertAlign w:val="baseline"/>
                <w:lang w:val="en-US" w:eastAsia="zh-CN"/>
              </w:rPr>
            </w:pPr>
          </w:p>
          <w:p w14:paraId="7719D779">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（四）其他足以引人误认为是他人商品或者与他人存在特定联系的混淆行为。</w:t>
            </w:r>
          </w:p>
        </w:tc>
      </w:tr>
      <w:tr w14:paraId="600C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149E592">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商业贿赂</w:t>
            </w:r>
          </w:p>
        </w:tc>
        <w:tc>
          <w:tcPr>
            <w:tcW w:w="7706" w:type="dxa"/>
          </w:tcPr>
          <w:p w14:paraId="1A33B7FF">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经营者在交易活动中，可以以明示方式向交易相对方支付折扣，或者向中间人支付佣金。经营者向交易相对方支付折扣、</w:t>
            </w:r>
            <w:r>
              <w:rPr>
                <w:rFonts w:hint="default"/>
                <w:b/>
                <w:bCs/>
                <w:sz w:val="24"/>
                <w:szCs w:val="24"/>
                <w:vertAlign w:val="baseline"/>
                <w:lang w:val="en-US" w:eastAsia="zh-CN"/>
              </w:rPr>
              <w:t>向中间人支付佣金的，应当如实入账。</w:t>
            </w:r>
            <w:r>
              <w:rPr>
                <w:rFonts w:hint="default"/>
                <w:sz w:val="24"/>
                <w:szCs w:val="24"/>
                <w:vertAlign w:val="baseline"/>
                <w:lang w:val="en-US" w:eastAsia="zh-CN"/>
              </w:rPr>
              <w:t>接受折扣、佣金的经营者也应当如实入账。</w:t>
            </w:r>
          </w:p>
          <w:p w14:paraId="34E6DDE8">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经营者的工作人员进行贿赂的，应当认定为经营者的行为；但是，经营者有证据证明该工作人员的行为与为经营者谋取交易机会或者竞争优势无关的除外。</w:t>
            </w:r>
          </w:p>
        </w:tc>
      </w:tr>
      <w:tr w14:paraId="5944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B674920">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虚假宣传</w:t>
            </w:r>
          </w:p>
        </w:tc>
        <w:tc>
          <w:tcPr>
            <w:tcW w:w="7706" w:type="dxa"/>
          </w:tcPr>
          <w:p w14:paraId="11C8DCB3">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经营者不得对其商品的性能、功能、质量、销售状况、用户评价、曾获荣誉等作</w:t>
            </w:r>
            <w:r>
              <w:rPr>
                <w:rFonts w:hint="default"/>
                <w:b/>
                <w:bCs/>
                <w:sz w:val="24"/>
                <w:szCs w:val="24"/>
                <w:vertAlign w:val="baseline"/>
                <w:lang w:val="en-US" w:eastAsia="zh-CN"/>
              </w:rPr>
              <w:t>虚假或者引人误解的商业宣传</w:t>
            </w:r>
            <w:r>
              <w:rPr>
                <w:rFonts w:hint="default"/>
                <w:sz w:val="24"/>
                <w:szCs w:val="24"/>
                <w:vertAlign w:val="baseline"/>
                <w:lang w:val="en-US" w:eastAsia="zh-CN"/>
              </w:rPr>
              <w:t>，欺骗、误导消费者。</w:t>
            </w:r>
          </w:p>
          <w:p w14:paraId="0C00BD05">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经营者不得通过组织虚假交易等方式，帮助其他经营者进行虚假或者引人误解的商业宣传</w:t>
            </w:r>
          </w:p>
        </w:tc>
      </w:tr>
      <w:tr w14:paraId="557F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752CD5A6">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侵犯商业秘密</w:t>
            </w:r>
          </w:p>
        </w:tc>
        <w:tc>
          <w:tcPr>
            <w:tcW w:w="7706" w:type="dxa"/>
          </w:tcPr>
          <w:p w14:paraId="1916DADE">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（一）以盗窃、贿赂、欺诈、胁迫、电子侵入或者其他不正当手段获取权利人的商业秘密；</w:t>
            </w:r>
          </w:p>
          <w:p w14:paraId="6FFC454C">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（二）披露、使用或者允许他人使用以前项手段获取的权利人的商业秘密；</w:t>
            </w:r>
          </w:p>
          <w:p w14:paraId="60E9F8B8">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（三）违反保密义务或者违反权利人有关保守商业秘密的要求，披露、使用或者允许他人使用其所掌握的商业秘密；</w:t>
            </w:r>
          </w:p>
          <w:p w14:paraId="2751EC6E">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（四）教唆、引诱、帮助他人违反保密义务或者违反权利人有关保守商业秘密的要求，获取、披露、使用或者允许他人使用权利人的商业秘密。</w:t>
            </w:r>
          </w:p>
        </w:tc>
      </w:tr>
      <w:tr w14:paraId="30C3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7C89CA94">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不当有奖销售</w:t>
            </w:r>
          </w:p>
        </w:tc>
        <w:tc>
          <w:tcPr>
            <w:tcW w:w="7706" w:type="dxa"/>
          </w:tcPr>
          <w:p w14:paraId="407E8382">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（一）所设奖的种类、兑奖条件、奖金金额或者奖品等有奖销售信息不明确，影响兑奖；</w:t>
            </w:r>
          </w:p>
          <w:p w14:paraId="27F2D40D">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（二）采用谎称有奖或者故意让内定人员中奖的欺骗方式进行有奖销售；</w:t>
            </w:r>
          </w:p>
          <w:p w14:paraId="0B0E494F">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（三）抽奖式的有奖销售，最高奖的金额超过五万元。</w:t>
            </w:r>
          </w:p>
        </w:tc>
      </w:tr>
      <w:tr w14:paraId="446B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73FB782">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诋毁商誉</w:t>
            </w:r>
          </w:p>
        </w:tc>
        <w:tc>
          <w:tcPr>
            <w:tcW w:w="7706" w:type="dxa"/>
          </w:tcPr>
          <w:p w14:paraId="45E9274C">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经营者不得编造、传播虚假信息或者误导性信息，损害竞争对手的商业信誉、商品声誉</w:t>
            </w:r>
          </w:p>
        </w:tc>
      </w:tr>
      <w:tr w14:paraId="7DDC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27D1DDC">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互联网不当竞争</w:t>
            </w:r>
          </w:p>
        </w:tc>
        <w:tc>
          <w:tcPr>
            <w:tcW w:w="7706" w:type="dxa"/>
          </w:tcPr>
          <w:p w14:paraId="4B1B3869">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（一）</w:t>
            </w:r>
            <w:r>
              <w:rPr>
                <w:rFonts w:hint="default"/>
                <w:b/>
                <w:bCs/>
                <w:sz w:val="24"/>
                <w:szCs w:val="24"/>
                <w:vertAlign w:val="baseline"/>
                <w:lang w:val="en-US" w:eastAsia="zh-CN"/>
              </w:rPr>
              <w:t>未经其他经营者同意，在其合法提供的网络产品或者服务中，插入链接、强制进行目标跳转</w:t>
            </w:r>
            <w:r>
              <w:rPr>
                <w:rFonts w:hint="default"/>
                <w:sz w:val="24"/>
                <w:szCs w:val="24"/>
                <w:vertAlign w:val="baseline"/>
                <w:lang w:val="en-US" w:eastAsia="zh-CN"/>
              </w:rPr>
              <w:t>；</w:t>
            </w:r>
          </w:p>
          <w:p w14:paraId="429DACA6">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（二）误导、欺骗、强迫用户修改、关闭、卸载其他经营者合法提供的网络产品或者服务；</w:t>
            </w:r>
          </w:p>
          <w:p w14:paraId="587E5FEF">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（三）恶意对其他经营者合法提供的网络产品或者服务实施不兼容；</w:t>
            </w:r>
          </w:p>
          <w:p w14:paraId="6FFB0118">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（四）其他妨碍、破坏其他经营者合法提供的网络产品或者服务正常运行的行为。</w:t>
            </w:r>
          </w:p>
        </w:tc>
      </w:tr>
    </w:tbl>
    <w:p w14:paraId="50C7D7E3">
      <w:pPr>
        <w:numPr>
          <w:numId w:val="0"/>
        </w:numPr>
        <w:spacing w:line="360" w:lineRule="auto"/>
        <w:ind w:leftChars="0"/>
        <w:rPr>
          <w:rFonts w:hint="eastAsia"/>
          <w:b/>
          <w:bCs/>
          <w:sz w:val="24"/>
          <w:szCs w:val="24"/>
          <w:lang w:val="en-US" w:eastAsia="zh-CN"/>
        </w:rPr>
      </w:pPr>
    </w:p>
    <w:p w14:paraId="309E04A2">
      <w:pPr>
        <w:numPr>
          <w:numId w:val="0"/>
        </w:numPr>
        <w:spacing w:line="360" w:lineRule="auto"/>
        <w:ind w:leftChars="0"/>
        <w:rPr>
          <w:rFonts w:hint="eastAsia"/>
          <w:b/>
          <w:bCs/>
          <w:sz w:val="24"/>
          <w:szCs w:val="24"/>
          <w:lang w:val="en-US" w:eastAsia="zh-CN"/>
        </w:rPr>
      </w:pPr>
      <w:r>
        <w:rPr>
          <w:rFonts w:hint="eastAsia"/>
          <w:b/>
          <w:bCs/>
          <w:sz w:val="24"/>
          <w:szCs w:val="24"/>
          <w:lang w:val="en-US" w:eastAsia="zh-CN"/>
        </w:rPr>
        <w:t>惩罚性赔偿</w:t>
      </w:r>
    </w:p>
    <w:p w14:paraId="04C9EE86">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1.《消法》第55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w:t>
      </w:r>
    </w:p>
    <w:p w14:paraId="0E50AA41">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2.经营者明知商品或者服务存在缺陷，仍然向消费者提供，造成消费者或者其他受害人死亡或者健康严重损害的，受害人有权要求经营者依照《消法》第49条（侵权赔偿）、第51条（精神损害赔偿）等法律规定赔偿损失，并有权要求所受损失2倍以下的惩罚性赔偿。</w:t>
      </w:r>
    </w:p>
    <w:p w14:paraId="1C812E47">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3.</w:t>
      </w:r>
      <w:r>
        <w:rPr>
          <w:rFonts w:hint="default"/>
          <w:sz w:val="24"/>
          <w:szCs w:val="24"/>
          <w:vertAlign w:val="baseline"/>
          <w:lang w:val="en-US" w:eastAsia="zh-CN"/>
        </w:rPr>
        <w:t>《食品安全法》第148条第2款规定：“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14:paraId="64DC20F4">
      <w:pPr>
        <w:numPr>
          <w:ilvl w:val="0"/>
          <w:numId w:val="0"/>
        </w:numPr>
        <w:spacing w:line="360" w:lineRule="auto"/>
        <w:rPr>
          <w:rFonts w:hint="eastAsia"/>
          <w:sz w:val="24"/>
          <w:szCs w:val="24"/>
          <w:vertAlign w:val="baseline"/>
          <w:lang w:val="en-US" w:eastAsia="zh-CN"/>
        </w:rPr>
      </w:pPr>
      <w:r>
        <w:rPr>
          <w:rFonts w:hint="eastAsia"/>
          <w:sz w:val="24"/>
          <w:szCs w:val="24"/>
          <w:vertAlign w:val="baseline"/>
          <w:lang w:val="en-US" w:eastAsia="zh-CN"/>
        </w:rPr>
        <w:t>4.《民法典》第1207条规定：“明知产品存在缺陷仍然生产、销售，或者没有依据前条规定采取有效补救措施，造成他人死亡或者健康严重损害的，被侵权人有权请求相应的惩罚性赔偿。”</w:t>
      </w:r>
    </w:p>
    <w:p w14:paraId="02B3E03C">
      <w:pPr>
        <w:numPr>
          <w:ilvl w:val="0"/>
          <w:numId w:val="0"/>
        </w:numPr>
        <w:spacing w:line="360" w:lineRule="auto"/>
        <w:rPr>
          <w:rFonts w:hint="eastAsia"/>
          <w:sz w:val="24"/>
          <w:szCs w:val="24"/>
          <w:vertAlign w:val="baseline"/>
          <w:lang w:val="en-US" w:eastAsia="zh-CN"/>
        </w:rPr>
      </w:pPr>
    </w:p>
    <w:p w14:paraId="38D9ED07">
      <w:pPr>
        <w:numPr>
          <w:ilvl w:val="0"/>
          <w:numId w:val="0"/>
        </w:numPr>
        <w:spacing w:line="360" w:lineRule="auto"/>
        <w:rPr>
          <w:rFonts w:hint="eastAsia"/>
          <w:sz w:val="24"/>
          <w:szCs w:val="24"/>
          <w:vertAlign w:val="baseline"/>
          <w:lang w:val="en-US" w:eastAsia="zh-CN"/>
        </w:rPr>
      </w:pPr>
      <w:r>
        <w:rPr>
          <w:rFonts w:hint="eastAsia"/>
          <w:sz w:val="24"/>
          <w:szCs w:val="24"/>
          <w:vertAlign w:val="baseline"/>
          <w:lang w:val="en-US" w:eastAsia="zh-CN"/>
        </w:rPr>
        <w:t>网络平台责任</w:t>
      </w:r>
    </w:p>
    <w:p w14:paraId="3E71C419">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网购平台</w:t>
      </w:r>
    </w:p>
    <w:p w14:paraId="68E056F4">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1.《消法》第44条规定：消费者通过网络交易平台购买商品或者接受服务，其合法权益受到损害的，可以向销售者或者服务者要求赔偿。网络交易平台提供者不能提供销售者或者服务者的真实名称、地址和有效联系方式的，消费者也可以向网络交易平台提供者要求赔偿。</w:t>
      </w:r>
    </w:p>
    <w:p w14:paraId="227B7E5E">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2.网络交易平台提供者明知或者应知销售者或者服务者利用其平台侵害消费者合法权益，未采取必要措施的，依法与该销售者或者服务者承担连带责任。</w:t>
      </w:r>
    </w:p>
    <w:p w14:paraId="00FFB573">
      <w:pPr>
        <w:numPr>
          <w:ilvl w:val="0"/>
          <w:numId w:val="0"/>
        </w:numPr>
        <w:spacing w:line="360" w:lineRule="auto"/>
        <w:rPr>
          <w:rFonts w:hint="default"/>
          <w:sz w:val="24"/>
          <w:szCs w:val="24"/>
          <w:vertAlign w:val="baseline"/>
          <w:lang w:val="en-US" w:eastAsia="zh-CN"/>
        </w:rPr>
      </w:pPr>
      <w:r>
        <w:rPr>
          <w:rFonts w:hint="default"/>
          <w:sz w:val="24"/>
          <w:szCs w:val="24"/>
          <w:vertAlign w:val="baseline"/>
          <w:lang w:val="en-US" w:eastAsia="zh-CN"/>
        </w:rPr>
        <w:t>3.网络交易平台提供者作出更有利于消费者的承诺的，应当履行承诺。赔偿后，可以向销售者或服务者追偿。</w:t>
      </w:r>
    </w:p>
    <w:p w14:paraId="18206E28">
      <w:pPr>
        <w:numPr>
          <w:numId w:val="0"/>
        </w:numPr>
        <w:spacing w:line="360" w:lineRule="auto"/>
        <w:ind w:leftChars="0"/>
        <w:rPr>
          <w:rFonts w:hint="default"/>
          <w:b/>
          <w:bCs/>
          <w:sz w:val="24"/>
          <w:szCs w:val="24"/>
          <w:lang w:val="en-US" w:eastAsia="zh-CN"/>
        </w:rPr>
      </w:pPr>
    </w:p>
    <w:p w14:paraId="543A9365">
      <w:pPr>
        <w:numPr>
          <w:numId w:val="0"/>
        </w:numPr>
        <w:spacing w:line="360" w:lineRule="auto"/>
        <w:ind w:leftChars="0"/>
        <w:rPr>
          <w:rFonts w:hint="eastAsia"/>
          <w:b/>
          <w:bCs/>
          <w:sz w:val="24"/>
          <w:szCs w:val="24"/>
          <w:lang w:val="en-US" w:eastAsia="zh-CN"/>
        </w:rPr>
      </w:pPr>
      <w:r>
        <w:rPr>
          <w:rFonts w:hint="eastAsia"/>
          <w:b/>
          <w:bCs/>
          <w:sz w:val="24"/>
          <w:szCs w:val="24"/>
          <w:lang w:val="en-US" w:eastAsia="zh-CN"/>
        </w:rPr>
        <w:t>广告责任</w:t>
      </w:r>
    </w:p>
    <w:p w14:paraId="713FF96D">
      <w:pPr>
        <w:numPr>
          <w:ilvl w:val="0"/>
          <w:numId w:val="0"/>
        </w:numPr>
        <w:spacing w:line="360" w:lineRule="auto"/>
        <w:ind w:leftChars="0"/>
        <w:rPr>
          <w:sz w:val="24"/>
          <w:szCs w:val="24"/>
        </w:rPr>
      </w:pPr>
      <w:r>
        <w:rPr>
          <w:sz w:val="24"/>
          <w:szCs w:val="24"/>
        </w:rPr>
        <w:t>关系消费者生命健康的商品或者服务的虚假广告，造成消费者损害的，其广告经营者、广告发布者、广告代言人应当与广告主承担连带责任。</w:t>
      </w:r>
    </w:p>
    <w:p w14:paraId="48403BFA">
      <w:pPr>
        <w:numPr>
          <w:ilvl w:val="0"/>
          <w:numId w:val="0"/>
        </w:numPr>
        <w:spacing w:line="360" w:lineRule="auto"/>
        <w:ind w:leftChars="0"/>
        <w:rPr>
          <w:rFonts w:hint="eastAsia"/>
          <w:sz w:val="24"/>
          <w:szCs w:val="24"/>
          <w:lang w:val="en-US" w:eastAsia="zh-CN"/>
        </w:rPr>
      </w:pPr>
      <w:r>
        <w:rPr>
          <w:sz w:val="24"/>
          <w:szCs w:val="24"/>
        </w:rPr>
        <w:t>前款规定以外的商品或者服务的虚假广告，造成消费者损害的，其广告经营者、广告发布者、广告代言人，</w:t>
      </w:r>
      <w:r>
        <w:rPr>
          <w:b/>
          <w:bCs/>
          <w:sz w:val="24"/>
          <w:szCs w:val="24"/>
        </w:rPr>
        <w:t>明知或者应知</w:t>
      </w:r>
      <w:r>
        <w:rPr>
          <w:sz w:val="24"/>
          <w:szCs w:val="24"/>
        </w:rPr>
        <w:t>广告虚假仍设计、制作、代理、发布或者作推荐、证明的，应当与广告主承担连带责任</w:t>
      </w:r>
      <w:r>
        <w:rPr>
          <w:rFonts w:hint="eastAsia"/>
          <w:sz w:val="24"/>
          <w:szCs w:val="24"/>
          <w:lang w:val="en-US" w:eastAsia="zh-CN"/>
        </w:rPr>
        <w:t>.</w:t>
      </w:r>
    </w:p>
    <w:p w14:paraId="3DA6D1C7">
      <w:pPr>
        <w:numPr>
          <w:ilvl w:val="0"/>
          <w:numId w:val="0"/>
        </w:numPr>
        <w:spacing w:line="360" w:lineRule="auto"/>
        <w:ind w:leftChars="0"/>
        <w:rPr>
          <w:rFonts w:hint="eastAsia"/>
          <w:sz w:val="24"/>
          <w:szCs w:val="24"/>
          <w:lang w:val="en-US" w:eastAsia="zh-CN"/>
        </w:rPr>
      </w:pPr>
    </w:p>
    <w:p w14:paraId="3929629D">
      <w:pPr>
        <w:numPr>
          <w:ilvl w:val="0"/>
          <w:numId w:val="0"/>
        </w:numPr>
        <w:spacing w:line="360" w:lineRule="auto"/>
        <w:ind w:leftChars="0"/>
        <w:rPr>
          <w:rFonts w:hint="default"/>
          <w:b/>
          <w:bCs/>
          <w:sz w:val="24"/>
          <w:szCs w:val="24"/>
          <w:lang w:val="en-US" w:eastAsia="zh-CN"/>
        </w:rPr>
      </w:pPr>
      <w:r>
        <w:rPr>
          <w:rFonts w:hint="eastAsia"/>
          <w:b/>
          <w:bCs/>
          <w:sz w:val="24"/>
          <w:szCs w:val="24"/>
          <w:lang w:val="en-US" w:eastAsia="zh-CN"/>
        </w:rPr>
        <w:t>银行监管</w:t>
      </w:r>
    </w:p>
    <w:p w14:paraId="410BA00C">
      <w:pPr>
        <w:numPr>
          <w:ilvl w:val="0"/>
          <w:numId w:val="0"/>
        </w:numPr>
        <w:spacing w:line="360" w:lineRule="auto"/>
        <w:ind w:leftChars="0"/>
        <w:rPr>
          <w:rFonts w:hint="eastAsia"/>
          <w:sz w:val="24"/>
          <w:szCs w:val="24"/>
          <w:lang w:val="en-US" w:eastAsia="zh-CN"/>
        </w:rPr>
      </w:pPr>
      <w:r>
        <w:rPr>
          <w:rFonts w:hint="eastAsia"/>
          <w:sz w:val="24"/>
          <w:szCs w:val="24"/>
          <w:lang w:val="en-US" w:eastAsia="zh-CN"/>
        </w:rPr>
        <w:t>国家金融监督管理总局（机构日常监管）：负责商业银行全流程经营合规监管；掌管机构设立/变更/终止、高管任职资格审查、业务准入、贷款合规、资本充足率、存款保险、接管、破产审批、日常经营违法行政处罚。</w:t>
      </w:r>
    </w:p>
    <w:p w14:paraId="0F60D9D2">
      <w:pPr>
        <w:numPr>
          <w:ilvl w:val="0"/>
          <w:numId w:val="0"/>
        </w:numPr>
        <w:spacing w:line="360" w:lineRule="auto"/>
        <w:ind w:leftChars="0"/>
        <w:rPr>
          <w:rFonts w:hint="eastAsia"/>
          <w:sz w:val="24"/>
          <w:szCs w:val="24"/>
          <w:lang w:val="en-US" w:eastAsia="zh-CN"/>
        </w:rPr>
      </w:pPr>
      <w:r>
        <w:rPr>
          <w:rFonts w:hint="eastAsia"/>
          <w:sz w:val="24"/>
          <w:szCs w:val="24"/>
          <w:lang w:val="en-US" w:eastAsia="zh-CN"/>
        </w:rPr>
        <w:t>中国人民银行（货币&amp;宏观审慎监管）：负责货币政策与金融宏观稳定；监管存款准备金、同业拆借、反洗钱、支付结算、征信管理、外汇业务；可查询银行账户、要求报送报表，无权直接接管银行。</w:t>
      </w:r>
    </w:p>
    <w:p w14:paraId="62562057">
      <w:pPr>
        <w:numPr>
          <w:ilvl w:val="0"/>
          <w:numId w:val="0"/>
        </w:numPr>
        <w:spacing w:line="360" w:lineRule="auto"/>
        <w:ind w:leftChars="0"/>
        <w:rPr>
          <w:rFonts w:hint="eastAsia"/>
          <w:sz w:val="24"/>
          <w:szCs w:val="24"/>
          <w:lang w:val="en-US" w:eastAsia="zh-CN"/>
        </w:rPr>
      </w:pPr>
    </w:p>
    <w:p w14:paraId="2EBC57EC">
      <w:pPr>
        <w:numPr>
          <w:ilvl w:val="0"/>
          <w:numId w:val="0"/>
        </w:numPr>
        <w:spacing w:line="360" w:lineRule="auto"/>
        <w:ind w:leftChars="0"/>
        <w:rPr>
          <w:rFonts w:hint="eastAsia"/>
          <w:sz w:val="24"/>
          <w:szCs w:val="24"/>
          <w:lang w:val="en-US" w:eastAsia="zh-CN"/>
        </w:rPr>
      </w:pPr>
      <w:r>
        <w:rPr>
          <w:rFonts w:hint="eastAsia"/>
          <w:sz w:val="24"/>
          <w:szCs w:val="24"/>
          <w:lang w:val="en-US" w:eastAsia="zh-CN"/>
        </w:rPr>
        <w:t>银行业金融机构违反审慎经营规则的，国务院银行业监督管理机构或者其省一级派出机构应当责令限期改正；逾期未改正的，或者其行为严重危及该银行业金融机构的稳健运行、损害存款人和其他客户合法权益的，经国务院银行业监督管理机构或者其省一级派出机构负责人批准，可以区别情形，采取下列措施：（一）责令暂停部分业务、停止批准开办新业务；（二）限制分配红利和其他收入；（三）限制资产转让；（四）责令控股股东转让股权或者限制有关股东的权利；（五）责令调整董事、高级管理人员或者限制其权利；（六）停止批准增设分支机构。</w:t>
      </w:r>
    </w:p>
    <w:p w14:paraId="68F42562">
      <w:pPr>
        <w:numPr>
          <w:ilvl w:val="0"/>
          <w:numId w:val="0"/>
        </w:numPr>
        <w:spacing w:line="360" w:lineRule="auto"/>
        <w:ind w:leftChars="0"/>
        <w:rPr>
          <w:rFonts w:hint="eastAsia"/>
          <w:sz w:val="24"/>
          <w:szCs w:val="24"/>
          <w:lang w:val="en-US" w:eastAsia="zh-CN"/>
        </w:rPr>
      </w:pPr>
    </w:p>
    <w:p w14:paraId="0342A2AB">
      <w:pPr>
        <w:numPr>
          <w:ilvl w:val="0"/>
          <w:numId w:val="0"/>
        </w:numPr>
        <w:spacing w:line="360" w:lineRule="auto"/>
        <w:ind w:leftChars="0"/>
        <w:rPr>
          <w:rFonts w:hint="eastAsia"/>
          <w:b/>
          <w:bCs/>
          <w:sz w:val="24"/>
          <w:szCs w:val="24"/>
          <w:lang w:val="en-US" w:eastAsia="zh-CN"/>
        </w:rPr>
      </w:pPr>
      <w:r>
        <w:rPr>
          <w:rFonts w:hint="eastAsia"/>
          <w:b/>
          <w:bCs/>
          <w:sz w:val="24"/>
          <w:szCs w:val="24"/>
          <w:lang w:val="en-US" w:eastAsia="zh-CN"/>
        </w:rPr>
        <w:t>个人所得税免征减征</w:t>
      </w:r>
    </w:p>
    <w:tbl>
      <w:tblPr>
        <w:tblStyle w:val="3"/>
        <w:tblW w:w="45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6277"/>
      </w:tblGrid>
      <w:tr w14:paraId="724B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1502" w:type="dxa"/>
            <w:vAlign w:val="center"/>
          </w:tcPr>
          <w:p w14:paraId="15DC94D6">
            <w:pPr>
              <w:jc w:val="center"/>
              <w:rPr>
                <w:rFonts w:ascii="宋体" w:hAnsi="宋体" w:eastAsia="宋体"/>
                <w:sz w:val="21"/>
                <w:szCs w:val="21"/>
              </w:rPr>
            </w:pPr>
            <w:r>
              <w:rPr>
                <w:rFonts w:hint="eastAsia" w:ascii="宋体" w:hAnsi="宋体" w:eastAsia="宋体"/>
                <w:sz w:val="21"/>
                <w:szCs w:val="21"/>
              </w:rPr>
              <w:t>免税对象</w:t>
            </w:r>
          </w:p>
          <w:p w14:paraId="4A46A53E">
            <w:pPr>
              <w:jc w:val="center"/>
              <w:rPr>
                <w:rFonts w:ascii="宋体" w:hAnsi="宋体" w:eastAsia="宋体"/>
                <w:kern w:val="0"/>
                <w:sz w:val="21"/>
                <w:szCs w:val="21"/>
              </w:rPr>
            </w:pPr>
          </w:p>
        </w:tc>
        <w:tc>
          <w:tcPr>
            <w:tcW w:w="6110" w:type="dxa"/>
            <w:vAlign w:val="center"/>
          </w:tcPr>
          <w:p w14:paraId="133E0AA7">
            <w:pPr>
              <w:rPr>
                <w:rFonts w:ascii="宋体" w:hAnsi="宋体" w:eastAsia="宋体"/>
                <w:sz w:val="21"/>
                <w:szCs w:val="21"/>
              </w:rPr>
            </w:pPr>
            <w:r>
              <w:rPr>
                <w:rFonts w:ascii="宋体" w:hAnsi="宋体" w:eastAsia="宋体"/>
                <w:sz w:val="21"/>
                <w:szCs w:val="21"/>
              </w:rPr>
              <w:t>1</w:t>
            </w:r>
            <w:r>
              <w:rPr>
                <w:rFonts w:hint="eastAsia" w:ascii="宋体" w:hAnsi="宋体" w:eastAsia="宋体"/>
                <w:sz w:val="21"/>
                <w:szCs w:val="21"/>
                <w:lang w:eastAsia="zh-Hans"/>
              </w:rPr>
              <w:t>.</w:t>
            </w:r>
            <w:r>
              <w:rPr>
                <w:rFonts w:hint="eastAsia" w:ascii="宋体" w:hAnsi="宋体" w:eastAsia="宋体"/>
                <w:b/>
                <w:bCs/>
                <w:color w:val="00B0F0"/>
                <w:sz w:val="21"/>
                <w:szCs w:val="21"/>
              </w:rPr>
              <w:t>省级</w:t>
            </w:r>
            <w:r>
              <w:rPr>
                <w:rFonts w:hint="eastAsia" w:ascii="宋体" w:hAnsi="宋体" w:eastAsia="宋体"/>
                <w:sz w:val="21"/>
                <w:szCs w:val="21"/>
              </w:rPr>
              <w:t>人民政府、国务院部委和中国人民解放军军以上单位，以及</w:t>
            </w:r>
            <w:r>
              <w:rPr>
                <w:rFonts w:hint="eastAsia" w:ascii="宋体" w:hAnsi="宋体" w:eastAsia="宋体"/>
                <w:b/>
                <w:color w:val="00B0F0"/>
                <w:sz w:val="21"/>
                <w:szCs w:val="21"/>
              </w:rPr>
              <w:t>外国组织、国际组织</w:t>
            </w:r>
            <w:r>
              <w:rPr>
                <w:rFonts w:hint="eastAsia" w:ascii="宋体" w:hAnsi="宋体" w:eastAsia="宋体"/>
                <w:sz w:val="21"/>
                <w:szCs w:val="21"/>
              </w:rPr>
              <w:t>颁发的</w:t>
            </w:r>
            <w:r>
              <w:rPr>
                <w:rFonts w:hint="eastAsia" w:ascii="宋体" w:hAnsi="宋体" w:eastAsia="宋体"/>
                <w:b/>
                <w:color w:val="00B0F0"/>
                <w:sz w:val="21"/>
                <w:szCs w:val="21"/>
              </w:rPr>
              <w:t>科学、教育、技术、文化、卫生、体育、环境保护</w:t>
            </w:r>
            <w:r>
              <w:rPr>
                <w:rFonts w:hint="eastAsia" w:ascii="宋体" w:hAnsi="宋体" w:eastAsia="宋体"/>
                <w:sz w:val="21"/>
                <w:szCs w:val="21"/>
              </w:rPr>
              <w:t>等方面的奖金；</w:t>
            </w:r>
          </w:p>
          <w:p w14:paraId="4E2B54F3">
            <w:pPr>
              <w:rPr>
                <w:rFonts w:ascii="宋体" w:hAnsi="宋体" w:eastAsia="宋体"/>
                <w:sz w:val="21"/>
                <w:szCs w:val="21"/>
              </w:rPr>
            </w:pPr>
            <w:r>
              <w:rPr>
                <w:rFonts w:ascii="宋体" w:hAnsi="宋体" w:eastAsia="宋体"/>
                <w:sz w:val="21"/>
                <w:szCs w:val="21"/>
              </w:rPr>
              <w:t>2</w:t>
            </w:r>
            <w:r>
              <w:rPr>
                <w:rFonts w:hint="eastAsia" w:ascii="宋体" w:hAnsi="宋体" w:eastAsia="宋体"/>
                <w:sz w:val="21"/>
                <w:szCs w:val="21"/>
                <w:lang w:eastAsia="zh-Hans"/>
              </w:rPr>
              <w:t>.</w:t>
            </w:r>
            <w:r>
              <w:rPr>
                <w:rFonts w:hint="eastAsia" w:ascii="宋体" w:hAnsi="宋体" w:eastAsia="宋体"/>
                <w:sz w:val="21"/>
                <w:szCs w:val="21"/>
              </w:rPr>
              <w:t>国债和国家发行的金融债券利息；</w:t>
            </w:r>
          </w:p>
          <w:p w14:paraId="6F66D587">
            <w:pPr>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lang w:eastAsia="zh-Hans"/>
              </w:rPr>
              <w:t>.</w:t>
            </w:r>
            <w:r>
              <w:rPr>
                <w:rFonts w:hint="eastAsia" w:ascii="宋体" w:hAnsi="宋体" w:eastAsia="宋体"/>
                <w:sz w:val="21"/>
                <w:szCs w:val="21"/>
              </w:rPr>
              <w:t>按照国家统一规定发给的补贴、</w:t>
            </w:r>
            <w:r>
              <w:rPr>
                <w:rFonts w:hint="eastAsia" w:ascii="宋体" w:hAnsi="宋体" w:eastAsia="宋体"/>
                <w:b/>
                <w:bCs/>
                <w:color w:val="00B0F0"/>
                <w:sz w:val="21"/>
                <w:szCs w:val="21"/>
              </w:rPr>
              <w:t>津贴</w:t>
            </w:r>
            <w:r>
              <w:rPr>
                <w:rFonts w:hint="eastAsia" w:ascii="宋体" w:hAnsi="宋体" w:eastAsia="宋体"/>
                <w:sz w:val="21"/>
                <w:szCs w:val="21"/>
              </w:rPr>
              <w:t>；</w:t>
            </w:r>
          </w:p>
          <w:p w14:paraId="571A816B">
            <w:pPr>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lang w:eastAsia="zh-Hans"/>
              </w:rPr>
              <w:t>.</w:t>
            </w:r>
            <w:r>
              <w:rPr>
                <w:rFonts w:hint="eastAsia" w:ascii="宋体" w:hAnsi="宋体" w:eastAsia="宋体"/>
                <w:sz w:val="21"/>
                <w:szCs w:val="21"/>
              </w:rPr>
              <w:t>福利费、</w:t>
            </w:r>
            <w:r>
              <w:rPr>
                <w:rFonts w:hint="eastAsia" w:ascii="宋体" w:hAnsi="宋体" w:eastAsia="宋体"/>
                <w:b/>
                <w:bCs/>
                <w:color w:val="00B0F0"/>
                <w:sz w:val="21"/>
                <w:szCs w:val="21"/>
              </w:rPr>
              <w:t>抚恤金</w:t>
            </w:r>
            <w:r>
              <w:rPr>
                <w:rFonts w:hint="eastAsia" w:ascii="宋体" w:hAnsi="宋体" w:eastAsia="宋体"/>
                <w:sz w:val="21"/>
                <w:szCs w:val="21"/>
              </w:rPr>
              <w:t>、救济金；</w:t>
            </w:r>
          </w:p>
          <w:p w14:paraId="2EE3DCEF">
            <w:pPr>
              <w:rPr>
                <w:rFonts w:ascii="宋体" w:hAnsi="宋体" w:eastAsia="宋体"/>
                <w:sz w:val="21"/>
                <w:szCs w:val="21"/>
              </w:rPr>
            </w:pPr>
            <w:r>
              <w:rPr>
                <w:rFonts w:ascii="宋体" w:hAnsi="宋体" w:eastAsia="宋体"/>
                <w:sz w:val="21"/>
                <w:szCs w:val="21"/>
              </w:rPr>
              <w:t>5</w:t>
            </w:r>
            <w:r>
              <w:rPr>
                <w:rFonts w:hint="eastAsia" w:ascii="宋体" w:hAnsi="宋体" w:eastAsia="宋体"/>
                <w:sz w:val="21"/>
                <w:szCs w:val="21"/>
                <w:lang w:eastAsia="zh-Hans"/>
              </w:rPr>
              <w:t>.</w:t>
            </w:r>
            <w:r>
              <w:rPr>
                <w:rFonts w:hint="eastAsia" w:ascii="宋体" w:hAnsi="宋体" w:eastAsia="宋体"/>
                <w:color w:val="00B0F0"/>
                <w:sz w:val="21"/>
                <w:szCs w:val="21"/>
              </w:rPr>
              <w:t>保险赔款</w:t>
            </w:r>
            <w:r>
              <w:rPr>
                <w:rFonts w:hint="eastAsia" w:ascii="宋体" w:hAnsi="宋体" w:eastAsia="宋体"/>
                <w:sz w:val="21"/>
                <w:szCs w:val="21"/>
              </w:rPr>
              <w:t>；</w:t>
            </w:r>
          </w:p>
          <w:p w14:paraId="769F8859">
            <w:pPr>
              <w:rPr>
                <w:rFonts w:ascii="宋体" w:hAnsi="宋体" w:eastAsia="宋体"/>
                <w:sz w:val="21"/>
                <w:szCs w:val="21"/>
              </w:rPr>
            </w:pPr>
            <w:r>
              <w:rPr>
                <w:rFonts w:ascii="宋体" w:hAnsi="宋体" w:eastAsia="宋体"/>
                <w:sz w:val="21"/>
                <w:szCs w:val="21"/>
              </w:rPr>
              <w:t>6</w:t>
            </w:r>
            <w:r>
              <w:rPr>
                <w:rFonts w:hint="eastAsia" w:ascii="宋体" w:hAnsi="宋体" w:eastAsia="宋体"/>
                <w:sz w:val="21"/>
                <w:szCs w:val="21"/>
                <w:lang w:eastAsia="zh-Hans"/>
              </w:rPr>
              <w:t>.</w:t>
            </w:r>
            <w:r>
              <w:rPr>
                <w:rFonts w:hint="eastAsia" w:ascii="宋体" w:hAnsi="宋体" w:eastAsia="宋体"/>
                <w:sz w:val="21"/>
                <w:szCs w:val="21"/>
              </w:rPr>
              <w:t>军人的转业费、复员费、退役金；</w:t>
            </w:r>
          </w:p>
          <w:p w14:paraId="613EC221">
            <w:pPr>
              <w:rPr>
                <w:rFonts w:ascii="宋体" w:hAnsi="宋体" w:eastAsia="宋体"/>
                <w:sz w:val="21"/>
                <w:szCs w:val="21"/>
              </w:rPr>
            </w:pPr>
            <w:r>
              <w:rPr>
                <w:rFonts w:ascii="宋体" w:hAnsi="宋体" w:eastAsia="宋体"/>
                <w:sz w:val="21"/>
                <w:szCs w:val="21"/>
              </w:rPr>
              <w:t>7</w:t>
            </w:r>
            <w:r>
              <w:rPr>
                <w:rFonts w:hint="eastAsia" w:ascii="宋体" w:hAnsi="宋体" w:eastAsia="宋体"/>
                <w:sz w:val="21"/>
                <w:szCs w:val="21"/>
                <w:lang w:eastAsia="zh-Hans"/>
              </w:rPr>
              <w:t>.</w:t>
            </w:r>
            <w:r>
              <w:rPr>
                <w:rFonts w:hint="eastAsia" w:ascii="宋体" w:hAnsi="宋体" w:eastAsia="宋体"/>
                <w:sz w:val="21"/>
                <w:szCs w:val="21"/>
              </w:rPr>
              <w:t>按照国家统一规定发给干部、职工的安家费、退职费、</w:t>
            </w:r>
            <w:r>
              <w:rPr>
                <w:rFonts w:hint="eastAsia" w:ascii="宋体" w:hAnsi="宋体" w:eastAsia="宋体"/>
                <w:b/>
                <w:bCs/>
                <w:color w:val="00B0F0"/>
                <w:sz w:val="21"/>
                <w:szCs w:val="21"/>
              </w:rPr>
              <w:t>基本养老金或者退休费、离休费</w:t>
            </w:r>
            <w:r>
              <w:rPr>
                <w:rFonts w:hint="eastAsia" w:ascii="宋体" w:hAnsi="宋体" w:eastAsia="宋体"/>
                <w:sz w:val="21"/>
                <w:szCs w:val="21"/>
              </w:rPr>
              <w:t>、离休生活补助费；</w:t>
            </w:r>
          </w:p>
          <w:p w14:paraId="3FAA594F">
            <w:pPr>
              <w:rPr>
                <w:rFonts w:ascii="宋体" w:hAnsi="宋体" w:eastAsia="宋体"/>
                <w:sz w:val="21"/>
                <w:szCs w:val="21"/>
              </w:rPr>
            </w:pPr>
            <w:r>
              <w:rPr>
                <w:rFonts w:ascii="宋体" w:hAnsi="宋体" w:eastAsia="宋体"/>
                <w:sz w:val="21"/>
                <w:szCs w:val="21"/>
              </w:rPr>
              <w:t>8</w:t>
            </w:r>
            <w:r>
              <w:rPr>
                <w:rFonts w:hint="eastAsia" w:ascii="宋体" w:hAnsi="宋体" w:eastAsia="宋体"/>
                <w:sz w:val="21"/>
                <w:szCs w:val="21"/>
                <w:lang w:eastAsia="zh-Hans"/>
              </w:rPr>
              <w:t>.</w:t>
            </w:r>
            <w:r>
              <w:rPr>
                <w:rFonts w:hint="eastAsia" w:ascii="宋体" w:hAnsi="宋体" w:eastAsia="宋体"/>
                <w:sz w:val="21"/>
                <w:szCs w:val="21"/>
              </w:rPr>
              <w:t>依照有关法律规定应予免税的各国驻华使馆、领事馆的外交代表、领事官员和其他人员的所得；</w:t>
            </w:r>
          </w:p>
          <w:p w14:paraId="05310611">
            <w:pPr>
              <w:rPr>
                <w:rFonts w:ascii="宋体" w:hAnsi="宋体" w:eastAsia="宋体"/>
                <w:sz w:val="21"/>
                <w:szCs w:val="21"/>
              </w:rPr>
            </w:pPr>
            <w:r>
              <w:rPr>
                <w:rFonts w:ascii="宋体" w:hAnsi="宋体" w:eastAsia="宋体"/>
                <w:sz w:val="21"/>
                <w:szCs w:val="21"/>
              </w:rPr>
              <w:t>9</w:t>
            </w:r>
            <w:r>
              <w:rPr>
                <w:rFonts w:hint="eastAsia" w:ascii="宋体" w:hAnsi="宋体" w:eastAsia="宋体"/>
                <w:sz w:val="21"/>
                <w:szCs w:val="21"/>
                <w:lang w:eastAsia="zh-Hans"/>
              </w:rPr>
              <w:t>.</w:t>
            </w:r>
            <w:r>
              <w:rPr>
                <w:rFonts w:hint="eastAsia" w:ascii="宋体" w:hAnsi="宋体" w:eastAsia="宋体"/>
                <w:sz w:val="21"/>
                <w:szCs w:val="21"/>
              </w:rPr>
              <w:t>中国政府参加的国际公约、签订的协议中规定免税的所得；</w:t>
            </w:r>
          </w:p>
          <w:p w14:paraId="44C26FE6">
            <w:pPr>
              <w:rPr>
                <w:rFonts w:ascii="宋体" w:hAnsi="宋体" w:eastAsia="宋体"/>
                <w:sz w:val="21"/>
                <w:szCs w:val="21"/>
              </w:rPr>
            </w:pPr>
            <w:r>
              <w:rPr>
                <w:rFonts w:ascii="宋体" w:hAnsi="宋体" w:eastAsia="宋体"/>
                <w:sz w:val="21"/>
                <w:szCs w:val="21"/>
              </w:rPr>
              <w:t>10</w:t>
            </w:r>
            <w:r>
              <w:rPr>
                <w:rFonts w:hint="eastAsia" w:ascii="宋体" w:hAnsi="宋体" w:eastAsia="宋体"/>
                <w:sz w:val="21"/>
                <w:szCs w:val="21"/>
                <w:lang w:eastAsia="zh-Hans"/>
              </w:rPr>
              <w:t>.</w:t>
            </w:r>
            <w:r>
              <w:rPr>
                <w:rFonts w:ascii="宋体" w:hAnsi="宋体" w:eastAsia="宋体"/>
                <w:sz w:val="21"/>
                <w:szCs w:val="21"/>
              </w:rPr>
              <w:t>国务院规定的其他免税所得</w:t>
            </w:r>
            <w:r>
              <w:rPr>
                <w:rFonts w:hint="eastAsia" w:ascii="宋体" w:hAnsi="宋体" w:eastAsia="宋体"/>
                <w:sz w:val="21"/>
                <w:szCs w:val="21"/>
              </w:rPr>
              <w:t>。</w:t>
            </w:r>
          </w:p>
        </w:tc>
      </w:tr>
      <w:tr w14:paraId="3B61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02" w:type="dxa"/>
            <w:vAlign w:val="center"/>
          </w:tcPr>
          <w:p w14:paraId="0E853096">
            <w:pPr>
              <w:jc w:val="center"/>
              <w:rPr>
                <w:rFonts w:ascii="宋体" w:hAnsi="宋体" w:eastAsia="宋体"/>
                <w:sz w:val="21"/>
                <w:szCs w:val="21"/>
              </w:rPr>
            </w:pPr>
            <w:r>
              <w:rPr>
                <w:rFonts w:hint="eastAsia" w:ascii="宋体" w:hAnsi="宋体" w:eastAsia="宋体"/>
                <w:sz w:val="21"/>
                <w:szCs w:val="21"/>
              </w:rPr>
              <w:t>减征</w:t>
            </w:r>
          </w:p>
        </w:tc>
        <w:tc>
          <w:tcPr>
            <w:tcW w:w="6110" w:type="dxa"/>
            <w:vAlign w:val="center"/>
          </w:tcPr>
          <w:p w14:paraId="48953CA1">
            <w:pPr>
              <w:rPr>
                <w:rFonts w:ascii="宋体" w:hAnsi="宋体" w:eastAsia="宋体"/>
                <w:sz w:val="21"/>
                <w:szCs w:val="21"/>
              </w:rPr>
            </w:pPr>
            <w:r>
              <w:rPr>
                <w:rFonts w:ascii="宋体" w:hAnsi="宋体" w:eastAsia="宋体"/>
                <w:sz w:val="21"/>
                <w:szCs w:val="21"/>
              </w:rPr>
              <w:t>1.</w:t>
            </w:r>
            <w:r>
              <w:rPr>
                <w:rFonts w:hint="eastAsia" w:ascii="宋体" w:hAnsi="宋体" w:eastAsia="宋体"/>
                <w:b/>
                <w:bCs/>
                <w:color w:val="00B0F0"/>
                <w:sz w:val="21"/>
                <w:szCs w:val="21"/>
              </w:rPr>
              <w:t>残疾、孤老人员和烈属</w:t>
            </w:r>
            <w:r>
              <w:rPr>
                <w:rFonts w:hint="eastAsia" w:ascii="宋体" w:hAnsi="宋体" w:eastAsia="宋体"/>
                <w:sz w:val="21"/>
                <w:szCs w:val="21"/>
              </w:rPr>
              <w:t>的所得</w:t>
            </w:r>
            <w:r>
              <w:rPr>
                <w:rFonts w:ascii="宋体" w:hAnsi="宋体" w:eastAsia="宋体"/>
                <w:sz w:val="21"/>
                <w:szCs w:val="21"/>
              </w:rPr>
              <w:t>；</w:t>
            </w:r>
          </w:p>
          <w:p w14:paraId="26A5A2C4">
            <w:pPr>
              <w:rPr>
                <w:rFonts w:ascii="宋体" w:hAnsi="宋体" w:eastAsia="宋体"/>
                <w:sz w:val="21"/>
                <w:szCs w:val="21"/>
              </w:rPr>
            </w:pPr>
            <w:r>
              <w:rPr>
                <w:rFonts w:ascii="宋体" w:hAnsi="宋体" w:eastAsia="宋体"/>
                <w:sz w:val="21"/>
                <w:szCs w:val="21"/>
              </w:rPr>
              <w:t>2.</w:t>
            </w:r>
            <w:r>
              <w:rPr>
                <w:rFonts w:hint="eastAsia" w:ascii="宋体" w:hAnsi="宋体" w:eastAsia="宋体"/>
                <w:sz w:val="21"/>
                <w:szCs w:val="21"/>
              </w:rPr>
              <w:t>因</w:t>
            </w:r>
            <w:r>
              <w:rPr>
                <w:rFonts w:hint="eastAsia" w:ascii="宋体" w:hAnsi="宋体" w:eastAsia="宋体"/>
                <w:b/>
                <w:bCs/>
                <w:color w:val="00B0F0"/>
                <w:sz w:val="21"/>
                <w:szCs w:val="21"/>
              </w:rPr>
              <w:t>自然灾害</w:t>
            </w:r>
            <w:r>
              <w:rPr>
                <w:rFonts w:hint="eastAsia" w:ascii="宋体" w:hAnsi="宋体" w:eastAsia="宋体"/>
                <w:sz w:val="21"/>
                <w:szCs w:val="21"/>
              </w:rPr>
              <w:t>遭受重大损失的。</w:t>
            </w:r>
          </w:p>
        </w:tc>
      </w:tr>
    </w:tbl>
    <w:p w14:paraId="161A3DA7">
      <w:pPr>
        <w:numPr>
          <w:ilvl w:val="0"/>
          <w:numId w:val="0"/>
        </w:numPr>
        <w:spacing w:line="360" w:lineRule="auto"/>
        <w:ind w:leftChars="0"/>
        <w:rPr>
          <w:rFonts w:hint="default"/>
          <w:sz w:val="24"/>
          <w:szCs w:val="24"/>
          <w:lang w:val="en-US" w:eastAsia="zh-CN"/>
        </w:rPr>
      </w:pPr>
    </w:p>
    <w:p w14:paraId="2DB1B0B8">
      <w:pPr>
        <w:numPr>
          <w:ilvl w:val="0"/>
          <w:numId w:val="0"/>
        </w:numPr>
        <w:spacing w:line="360" w:lineRule="auto"/>
        <w:ind w:leftChars="0"/>
        <w:rPr>
          <w:rFonts w:hint="default"/>
          <w:sz w:val="24"/>
          <w:szCs w:val="24"/>
          <w:lang w:val="en-US" w:eastAsia="zh-CN"/>
        </w:rPr>
      </w:pPr>
    </w:p>
    <w:p w14:paraId="04648E71">
      <w:pPr>
        <w:numPr>
          <w:ilvl w:val="0"/>
          <w:numId w:val="0"/>
        </w:numPr>
        <w:spacing w:line="360" w:lineRule="auto"/>
        <w:ind w:leftChars="0" w:firstLine="480" w:firstLineChars="200"/>
        <w:rPr>
          <w:rFonts w:hint="default"/>
          <w:sz w:val="24"/>
          <w:szCs w:val="24"/>
          <w:lang w:val="en-US" w:eastAsia="zh-CN"/>
        </w:rPr>
      </w:pPr>
      <w:r>
        <w:rPr>
          <w:rFonts w:hint="default"/>
          <w:sz w:val="24"/>
          <w:szCs w:val="24"/>
          <w:lang w:val="en-US" w:eastAsia="zh-CN"/>
        </w:rPr>
        <w:t>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前款规定的集体经营性建设用地出让、出租等，应当经本集体经济组织成员的村民会议三分之二以上成员或者三分之二以上村民代表的同意。通过出让等方式取得的集体经营性建设用地使用权可以转让、互换、出资、赠与或者抵押，但法律、行政法规另有规定或者土地所有权人、土地使用权人签订的书面合同另有约定的除外。</w:t>
      </w:r>
    </w:p>
    <w:p w14:paraId="225C3022">
      <w:pPr>
        <w:numPr>
          <w:ilvl w:val="0"/>
          <w:numId w:val="0"/>
        </w:numPr>
        <w:spacing w:line="360" w:lineRule="auto"/>
        <w:ind w:firstLine="480" w:firstLineChars="200"/>
        <w:rPr>
          <w:rFonts w:hint="default"/>
          <w:sz w:val="24"/>
          <w:szCs w:val="24"/>
          <w:lang w:val="en-US" w:eastAsia="zh-CN"/>
        </w:rPr>
      </w:pPr>
      <w:r>
        <w:rPr>
          <w:rFonts w:hint="default"/>
          <w:sz w:val="24"/>
          <w:szCs w:val="24"/>
          <w:lang w:val="en-US" w:eastAsia="zh-CN"/>
        </w:rPr>
        <w:t xml:space="preserve">征收下列土地的，由国务院批准： （一）永久基本农田； （二）永久基本农田以外的耕地超过三十五公顷的； （三）其他土地超过七十公顷的。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中黑简">
    <w:altName w:val="黑体"/>
    <w:panose1 w:val="02010609000101010101"/>
    <w:charset w:val="86"/>
    <w:family w:val="modern"/>
    <w:pitch w:val="default"/>
    <w:sig w:usb0="00000000" w:usb1="00000000" w:usb2="00000012" w:usb3="00000000" w:csb0="00040000" w:csb1="00000000"/>
  </w:font>
  <w:font w:name="汉仪书宋一简">
    <w:altName w:val="宋体"/>
    <w:panose1 w:val="02010609000101010101"/>
    <w:charset w:val="86"/>
    <w:family w:val="modern"/>
    <w:pitch w:val="default"/>
    <w:sig w:usb0="00000000" w:usb1="00000000" w:usb2="00000012"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汉仪书宋二简">
    <w:altName w:val="微软雅黑"/>
    <w:panose1 w:val="02010609000101010101"/>
    <w:charset w:val="86"/>
    <w:family w:val="modern"/>
    <w:pitch w:val="default"/>
    <w:sig w:usb0="00000000" w:usb1="00000000" w:usb2="00000012"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670AA"/>
    <w:rsid w:val="18991C01"/>
    <w:rsid w:val="1A1149FC"/>
    <w:rsid w:val="1C2344FA"/>
    <w:rsid w:val="266B0F60"/>
    <w:rsid w:val="27C70430"/>
    <w:rsid w:val="285F1FCC"/>
    <w:rsid w:val="2EA77489"/>
    <w:rsid w:val="302E528E"/>
    <w:rsid w:val="366B5955"/>
    <w:rsid w:val="384E30E3"/>
    <w:rsid w:val="38A15CBE"/>
    <w:rsid w:val="3A674709"/>
    <w:rsid w:val="3D1A7798"/>
    <w:rsid w:val="469814BD"/>
    <w:rsid w:val="5C0273AB"/>
    <w:rsid w:val="5F892E18"/>
    <w:rsid w:val="650A6078"/>
    <w:rsid w:val="6C3B6AE1"/>
    <w:rsid w:val="73FB261B"/>
    <w:rsid w:val="7D612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3315</Words>
  <Characters>3332</Characters>
  <Lines>0</Lines>
  <Paragraphs>0</Paragraphs>
  <TotalTime>0</TotalTime>
  <ScaleCrop>false</ScaleCrop>
  <LinksUpToDate>false</LinksUpToDate>
  <CharactersWithSpaces>3361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2025-08-17T10:41:00Z</dcterms:created>
  <dc:creator>cuplh</dc:creator>
  <cp:lastModifiedBy>韩富鹏</cp:lastModifiedBy>
  <dcterms:modified xsi:type="dcterms:W3CDTF">2026-08-11T14:15:55Z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eyJoZGlkIjoiYTM3M2ZhYWZjNDI5ZTY3YTNiNDE1YzAzNTk2YmIzYzYiLCJ1c2VySWQiOiI2MjgyMjQxMTMifQ==</vt:lpwstr>
  </property>
  <property fmtid="{D5CDD505-2E9C-101B-9397-08002B2CF9AE}" pid="4" name="ICV">
    <vt:lpwstr>F140D5D6F8B74BF38B7BBC66B546E06B_13</vt:lpwstr>
  </property>
</Properties>
</file>