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519C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sz w:val="21"/>
          <w:szCs w:val="21"/>
          <w:u w:val="none"/>
          <w:lang w:val="en-US" w:eastAsia="zh-CN"/>
        </w:rPr>
      </w:pPr>
      <w:r>
        <w:rPr>
          <w:rFonts w:hint="eastAsia"/>
          <w:b/>
          <w:bCs/>
          <w:sz w:val="28"/>
          <w:szCs w:val="28"/>
          <w:lang w:val="en-US" w:eastAsia="zh-CN"/>
        </w:rPr>
        <w:t>商法主观专题突破第三讲课堂笔记（专题6-7）</w:t>
      </w:r>
    </w:p>
    <w:p w14:paraId="014A772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p>
    <w:p w14:paraId="3D85765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21"/>
          <w:szCs w:val="21"/>
          <w:u w:val="none"/>
          <w:lang w:val="en-US" w:eastAsia="zh-CN"/>
        </w:rPr>
      </w:pPr>
      <w:r>
        <w:rPr>
          <w:rFonts w:hint="eastAsia" w:ascii="Times New Roman Regular" w:hAnsi="Times New Roman Regular" w:cs="Times New Roman Regular"/>
          <w:b/>
          <w:bCs/>
          <w:sz w:val="21"/>
          <w:szCs w:val="21"/>
          <w:u w:val="none"/>
          <w:lang w:val="en-US" w:eastAsia="zh-CN"/>
        </w:rPr>
        <w:t>【专题6:有限公司股东出资与股权转让】</w:t>
      </w:r>
    </w:p>
    <w:p w14:paraId="241A09D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一、瑕疵出资的法律责任</w:t>
      </w:r>
    </w:p>
    <w:p w14:paraId="550B593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1.股东应当按期足额缴纳公司章程规定的各自所认缴的出资额。股东未按期足额缴纳出资的，除应当向公司足额缴纳外，还应当对给公司造成的损失承担赔偿责任。</w:t>
      </w:r>
    </w:p>
    <w:p w14:paraId="3BB9744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2.有限责任公司设立时，股东未按照公司章程规定实际缴纳出资，或者实际出资的非货币财产的实际价额显著低于所认缴的出资额的，设立时的其他股东与该股东在出资不足的范围内承担连带责任。</w:t>
      </w:r>
    </w:p>
    <w:p w14:paraId="295C8B1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有限责任公司成立后，董事会应当对股东的出资情况进行核查，发现股东未按期足额缴纳公司章程规定的出资的，应当由公司向该股东发出书面催缴书，催缴出资。未及时履行前款规定的义务，给公司造成损失的，负有责任的董事应当承担赔偿责任。</w:t>
      </w:r>
    </w:p>
    <w:p w14:paraId="5E03DBE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二、股权的转让</w:t>
      </w:r>
    </w:p>
    <w:p w14:paraId="48123A6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（一）股权对内转让</w:t>
      </w:r>
    </w:p>
    <w:p w14:paraId="253678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有限责任公司的股东之间可以相互转让其全部或者部分股权，其他股东没有优先购买权。</w:t>
      </w:r>
    </w:p>
    <w:p w14:paraId="06EC69A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（二）股权对外转让</w:t>
      </w:r>
    </w:p>
    <w:p w14:paraId="3CB01F9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股东向股东以外的人转让股权的，应当将股权转让的数量、价格、支付方式和期限等事项书面通知其他股东，其他股东在同等条件下有优先购买权。</w:t>
      </w:r>
    </w:p>
    <w:p w14:paraId="44E572B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注意：无需经其他股东同意（新法重大修改！）</w:t>
      </w:r>
    </w:p>
    <w:p w14:paraId="4E889B1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股东自接到书面通知之日起三十日内未答复的，视为放弃优先购买权。</w:t>
      </w:r>
    </w:p>
    <w:p w14:paraId="75A57F2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两个以上股东行使优先购买权的，协商确定各自的购买比例；协商不成的，按照转让时各自的出资比例行使优先购买权。</w:t>
      </w:r>
    </w:p>
    <w:p w14:paraId="1C31AC4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公司章程对股权转让另有规定的，从其规定。</w:t>
      </w:r>
    </w:p>
    <w:p w14:paraId="636125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bookmarkStart w:id="0" w:name="_GoBack"/>
      <w:bookmarkEnd w:id="0"/>
      <w:r>
        <w:rPr>
          <w:rFonts w:hint="eastAsia" w:ascii="Times New Roman Regular" w:hAnsi="Times New Roman Regular" w:cs="Times New Roman Regular"/>
          <w:sz w:val="21"/>
          <w:szCs w:val="21"/>
          <w:u w:val="none"/>
          <w:lang w:val="en-US" w:eastAsia="zh-CN"/>
        </w:rPr>
        <w:t>三</w:t>
      </w:r>
      <w:r>
        <w:rPr>
          <w:rFonts w:hint="default" w:ascii="Times New Roman Regular" w:hAnsi="Times New Roman Regular" w:cs="Times New Roman Regular"/>
          <w:sz w:val="21"/>
          <w:szCs w:val="21"/>
          <w:u w:val="none"/>
          <w:lang w:val="en-US" w:eastAsia="zh-CN"/>
        </w:rPr>
        <w:t>、股权的证明</w:t>
      </w:r>
    </w:p>
    <w:p w14:paraId="5B973D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（一）证明文件</w:t>
      </w:r>
    </w:p>
    <w:p w14:paraId="092F1FC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有限责任公司成立后，应当向股东签发出资证明书。有限责任公司应当置备股东名册，记载于股东名册的股东，可以依股东名册主张行使股东权利。公司应当将股东的姓名或者名称及其出资额向公司登记机关登记；登记事项发生变更的，应当办理变更登记。未经登记或者变更登记的，不得对抗第三人。（还有公司章程）</w:t>
      </w:r>
    </w:p>
    <w:p w14:paraId="6DA1CF2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总结：股东名册是取得股权的生效要件，工商登记是取得股权的对抗要件。</w:t>
      </w:r>
    </w:p>
    <w:p w14:paraId="3D062DD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（二）代持股协议</w:t>
      </w:r>
    </w:p>
    <w:p w14:paraId="3ECDC9A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1.有限责任公司的实际出资人可以与名义出资人订立合同，约定由实际出资人出资并享有投资权益，以名义出资人为名义股东，公司股东名册记载、公司登记机关登记均不能推翻。</w:t>
      </w:r>
    </w:p>
    <w:p w14:paraId="5D9C964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2.股权代持</w:t>
      </w:r>
      <w:r>
        <w:rPr>
          <w:rFonts w:hint="eastAsia" w:ascii="Times New Roman Regular" w:hAnsi="Times New Roman Regular" w:cs="Times New Roman Regular"/>
          <w:sz w:val="21"/>
          <w:szCs w:val="21"/>
          <w:u w:val="none"/>
          <w:lang w:val="en-US" w:eastAsia="zh-CN"/>
        </w:rPr>
        <w:t>协议</w:t>
      </w:r>
      <w:r>
        <w:rPr>
          <w:rFonts w:hint="default" w:ascii="Times New Roman Regular" w:hAnsi="Times New Roman Regular" w:cs="Times New Roman Regular"/>
          <w:sz w:val="21"/>
          <w:szCs w:val="21"/>
          <w:u w:val="none"/>
          <w:lang w:val="en-US" w:eastAsia="zh-CN"/>
        </w:rPr>
        <w:t>的效力：一般有效，除非违反法律、行政法规的强制性规定。</w:t>
      </w:r>
    </w:p>
    <w:p w14:paraId="7C80501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3.名义股东处分股权的处理：是有权处分，受让人的权利参照《民法典》第311条关于善意取得的规定处理。</w:t>
      </w:r>
    </w:p>
    <w:p w14:paraId="01203BD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4.瑕疵出资问题：公司债权人以登记于公司登记机关的股东未履行出资义务为由，请求其对公司债务不能清偿的部分在未出资本息范围内承担补充赔偿责任，股东不能以其仅为名义股东而非实际出资人为由进行抗辩。就对外责任而言，名义股东应当先承担出资不足或者出资不实的赔偿责任。名义股东承担上述赔偿责任后，有权向实际出资人追偿。</w:t>
      </w:r>
    </w:p>
    <w:p w14:paraId="2DE91AE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（三）冒名股东</w:t>
      </w:r>
    </w:p>
    <w:p w14:paraId="3AAD282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1.冒名登记行为人是股东，应当承担相应责任。</w:t>
      </w:r>
    </w:p>
    <w:p w14:paraId="086D9AB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2.被冒名者不是公司股东，既不享有股东权利，也不承担股东责任。</w:t>
      </w:r>
    </w:p>
    <w:p w14:paraId="24DBB0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3.冒名股东与名义股东的主要区别在于：冒名股东的冒名登记行为未经被冒名人同意，名义股东则对登记行为是知情的</w:t>
      </w:r>
    </w:p>
    <w:p w14:paraId="555761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p>
    <w:p w14:paraId="44946D6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21"/>
          <w:szCs w:val="21"/>
          <w:u w:val="none"/>
          <w:lang w:val="en-US" w:eastAsia="zh-CN"/>
        </w:rPr>
      </w:pPr>
      <w:r>
        <w:rPr>
          <w:rFonts w:hint="eastAsia" w:ascii="Times New Roman Regular" w:hAnsi="Times New Roman Regular" w:cs="Times New Roman Regular"/>
          <w:b/>
          <w:bCs/>
          <w:sz w:val="21"/>
          <w:szCs w:val="21"/>
          <w:u w:val="none"/>
          <w:lang w:val="en-US" w:eastAsia="zh-CN"/>
        </w:rPr>
        <w:t>【专题7:破产法】</w:t>
      </w:r>
    </w:p>
    <w:p w14:paraId="19B3DA3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w:t>
      </w:r>
      <w:r>
        <w:rPr>
          <w:rFonts w:hint="eastAsia" w:ascii="Times New Roman Regular" w:hAnsi="Times New Roman Regular" w:cs="Times New Roman Regular"/>
          <w:sz w:val="21"/>
          <w:szCs w:val="21"/>
          <w:u w:val="none"/>
          <w:lang w:val="en-US" w:eastAsia="zh-CN"/>
        </w:rPr>
        <w:t>管理人撤销权</w:t>
      </w:r>
    </w:p>
    <w:p w14:paraId="30AF61E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法院受理破产申请前一年内，涉及债务人财产的下列行为，管理人有权请求法院予以撤销：①无偿转让财产的；②以明显不合理的价格进行交易的；③对没有财产担保的债务提供财产担保的；④对未到期的债务提前清偿的；⑤放弃债权的。</w:t>
      </w:r>
    </w:p>
    <w:p w14:paraId="609076A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2．法院受理破产申请前六个月内，债务人存在破产原因，仍对个别债权人进行清偿的，管理人有权请求法院予以撤销。</w:t>
      </w:r>
    </w:p>
    <w:p w14:paraId="3E6F428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注意1：《企业破产法司法解释（二）》第15条规定：债务人经诉讼、仲裁、执行程序对债权人进行的个别清偿，管理人依据《企业破产法》第32条的规定请求撤销的，人民法院不予支持。但是，债务人与债权人恶意串通损害其他债权人利益的除外。</w:t>
      </w:r>
    </w:p>
    <w:p w14:paraId="7D91F8C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注意2：根据《企业破产法司法解释（二）》第16条规定，债务人对债权人进行的以下个别清偿，管理人依据《企业破产法》第32条的规定请求撤销的，人民法院不予支持：</w:t>
      </w:r>
    </w:p>
    <w:p w14:paraId="63CB3AB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（1）债务人为维系基本生产需要而支付水费、电费等的；</w:t>
      </w:r>
    </w:p>
    <w:p w14:paraId="048137E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（2）债务人支付劳动报酬、人身损害赔偿金的；</w:t>
      </w:r>
    </w:p>
    <w:p w14:paraId="56E21C5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（3）使债务人财产受益的其他个别清偿。</w:t>
      </w:r>
    </w:p>
    <w:p w14:paraId="4447A42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二</w:t>
      </w:r>
      <w:r>
        <w:rPr>
          <w:rFonts w:hint="default" w:ascii="Times New Roman Regular" w:hAnsi="Times New Roman Regular" w:cs="Times New Roman Regular"/>
          <w:sz w:val="21"/>
          <w:szCs w:val="21"/>
          <w:u w:val="none"/>
          <w:lang w:val="en-US" w:eastAsia="zh-CN"/>
        </w:rPr>
        <w:t>、取回权</w:t>
      </w:r>
    </w:p>
    <w:p w14:paraId="3F7525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（一）一般取回权</w:t>
      </w:r>
    </w:p>
    <w:p w14:paraId="31E89E0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1．取回权是指管理人占有不属于破产财产的他人财产，该财产的权利人可以不经破产清算程序，而经管理人同意将其直接取回的权利。</w:t>
      </w:r>
    </w:p>
    <w:p w14:paraId="1828CEB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根据《企业破产法司法解释（二）》第26条规定：权利人依据《企业破产法》第38条的规定行使取回权，应当在破产财产变价方案或者和解协议、重整计划草案提交债权人会议表决前向管理人提出。权利人在上述期限后主张取回相关财产的，应当承担延迟行使取回权增加的相关费用。</w:t>
      </w:r>
    </w:p>
    <w:p w14:paraId="7CD9CE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企业破产法司法解释（二）》第32条规定：债务人占有的他人财产毁损、灭失，因此获得的保险金、赔偿金、代偿物尚未交付给债务人，或者代偿物虽已交付给债务人但能与债务人财产予以区分的，权利人主张取回就此获得的保险金、赔偿金、代偿物的，人民法院应予支持。保险金、赔偿金已经交付给债务人，或者代偿物已经交付给债务人且不能与债务人财产予以区分的，人民法院应当按照以下规定处理：财产毁损、灭失发生在破产申请受理前的，权利人因财产损失形成的债权，作为普通破产债权清偿；财产毁损、灭失发生在破产申请受理后的，因管理人或者相关人员执行职务导致权利人损害产生的债务，作为共益债务清偿。</w:t>
      </w:r>
    </w:p>
    <w:p w14:paraId="5033FEE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（二）特殊取回权</w:t>
      </w:r>
    </w:p>
    <w:p w14:paraId="6338D6E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法院受理破产申请时，出卖人已将买卖标的物向作为买受人的债务人发运，债务人尚未收到且未付清全部价款的，出卖人可以取回在运途中的标的物。但是，管理人可以支付全部价款，请求出卖人交付标的物。</w:t>
      </w:r>
    </w:p>
    <w:p w14:paraId="066B5A7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三、破产费用和共益债务</w:t>
      </w:r>
    </w:p>
    <w:p w14:paraId="798D24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（一）破产费用</w:t>
      </w:r>
    </w:p>
    <w:p w14:paraId="2A8DC2D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1.破产案件的诉讼费用；2.管理、变价和分配债务人财产的费用；3.管理人执行职务的费用、报酬和聘用工作人员的费用</w:t>
      </w:r>
    </w:p>
    <w:p w14:paraId="195835B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（二）共益债务</w:t>
      </w:r>
    </w:p>
    <w:p w14:paraId="6546C9E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法院受理破产申请后发生的下列债务，为共益债务：1.因管理人或者债务人请求对方当事人履行双方均未履行完毕的合同所产生的债务；2.债务人财产受无因管理所产生的债务；3.因债务人不当得利所产生的债务；4.为债务人继续营业而应支付的劳动报酬和社会保险费用以及由此产生的其他债务；5.管理人或者相关人员执行职务致人损害所产生的债务；6.债务人财产致人损害所产生的债务</w:t>
      </w:r>
    </w:p>
    <w:p w14:paraId="6C9C3D5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（三）清偿方法</w:t>
      </w:r>
    </w:p>
    <w:p w14:paraId="43B98AB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1．破产费用和共益债务由债务人财产随时清偿；</w:t>
      </w:r>
    </w:p>
    <w:p w14:paraId="535BCB1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2．债务人财产不足以清偿所有破产费用和共益债务的，先行清偿破产费用。债务人财产不足以清偿所有破产费用或者共益债务的，按照比例清偿；</w:t>
      </w:r>
    </w:p>
    <w:p w14:paraId="5E06778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3．债务人财产不足以清偿破产费用的，管理人应当提请法院终结破产程序。</w:t>
      </w:r>
    </w:p>
    <w:p w14:paraId="28C8F12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四</w:t>
      </w:r>
      <w:r>
        <w:rPr>
          <w:rFonts w:hint="default" w:ascii="Times New Roman Regular" w:hAnsi="Times New Roman Regular" w:cs="Times New Roman Regular"/>
          <w:sz w:val="21"/>
          <w:szCs w:val="21"/>
          <w:u w:val="none"/>
          <w:lang w:val="en-US" w:eastAsia="zh-CN"/>
        </w:rPr>
        <w:t>、重整程序</w:t>
      </w:r>
    </w:p>
    <w:p w14:paraId="43231AE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（一）重整申请</w:t>
      </w:r>
    </w:p>
    <w:p w14:paraId="5D65B21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1．如果债务人具有破产原因或者有明显丧失清偿能力可能的，可以依照破产法进行重整。</w:t>
      </w:r>
    </w:p>
    <w:p w14:paraId="017EB1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2．债权人申请对债务人进行破产清算的，在人民法院受理破产申请后、宣告债务人破产前，债务人可以向人民法院申请重整。</w:t>
      </w:r>
    </w:p>
    <w:p w14:paraId="0479426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3．债务人有权向法院申请重整，债权人可以向法院提出异议，由法院裁定，人民法院经审查认为重整申请符合本法规定的，应当裁定债务人重整。</w:t>
      </w:r>
    </w:p>
    <w:p w14:paraId="3CB488F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（二）重整期间</w:t>
      </w:r>
    </w:p>
    <w:p w14:paraId="4F4625D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自人民法院裁定债务人重整之日起至重整程序终止，为重整期间。（考点）</w:t>
      </w:r>
    </w:p>
    <w:p w14:paraId="7C89FCF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注意1：法院裁定批准重整计划草案则重整程序终止。</w:t>
      </w:r>
    </w:p>
    <w:p w14:paraId="0060871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注意2：在重整期间，债务人或者管理人为继续营业而借款的，可以为该借款设定担保</w:t>
      </w:r>
    </w:p>
    <w:p w14:paraId="2441C05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（三）重整计划</w:t>
      </w:r>
    </w:p>
    <w:p w14:paraId="282C21F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1．计划制定：</w:t>
      </w:r>
    </w:p>
    <w:p w14:paraId="3038DE7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债务人自行管理财产和营业事务的，由债务人制作重整计划草案。管理人负责管理财产和营业事务的，由管理人制作重整计划草案</w:t>
      </w:r>
    </w:p>
    <w:p w14:paraId="2244C9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2．计划表决：</w:t>
      </w:r>
    </w:p>
    <w:p w14:paraId="5A62E91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各类债权的债权人参加讨论重整计划草案的债权人会议，依照债权分类，分组对重整计划草案进行表决</w:t>
      </w:r>
    </w:p>
    <w:p w14:paraId="1357521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3．计划通过：</w:t>
      </w:r>
    </w:p>
    <w:p w14:paraId="1EDDC79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出席会议的同一表决组的债权人过半数同意重整计划草案之外，还需满足其所代表的债权额占该组债权总额的三分之二以上，该组重整计划草案方能通过</w:t>
      </w:r>
    </w:p>
    <w:p w14:paraId="21C6117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4．各表决组均通过重整计划草案时，重整计划即为通过。</w:t>
      </w:r>
    </w:p>
    <w:p w14:paraId="0F7968D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5．（1）债务人不能执行或者不执行重整计划的，法院经管理人或者利害关系人请求，应当裁定终止重整计划的执行，并宣告债务人破产。</w:t>
      </w:r>
    </w:p>
    <w:p w14:paraId="5EA480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（2）法院裁定终止重整计划执行的，债权人在重整计划中作出的债权调整的承诺失去效力。债权人因执行重整计划所受的清偿仍然有效。</w:t>
      </w:r>
    </w:p>
    <w:p w14:paraId="63D0A5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（3）经人民法院裁定批准的重整计划，对债务人和全体债权人均有约束力</w:t>
      </w:r>
    </w:p>
    <w:p w14:paraId="29862CB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五</w:t>
      </w:r>
      <w:r>
        <w:rPr>
          <w:rFonts w:hint="default" w:ascii="Times New Roman Regular" w:hAnsi="Times New Roman Regular" w:cs="Times New Roman Regular"/>
          <w:sz w:val="21"/>
          <w:szCs w:val="21"/>
          <w:u w:val="none"/>
          <w:lang w:val="en-US" w:eastAsia="zh-CN"/>
        </w:rPr>
        <w:t>、和解程序</w:t>
      </w:r>
    </w:p>
    <w:p w14:paraId="40BB97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（一）和解协议的表决</w:t>
      </w:r>
    </w:p>
    <w:p w14:paraId="08E049A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债权人会议通过和解协议的决议，由出席会议的有表决权的债权人过半数同意，并且其所代表的债权额占无财产担保债权总额的2/3以上。债权人会议通过和解协议的，由法院裁定认可，终止和解程序，并予以公告</w:t>
      </w:r>
    </w:p>
    <w:p w14:paraId="4E74BBD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2．和解协议草案经债权人会议表决未获得通过，或者已经债权人会议通过的和解协议未获得法院认可的，法院应当裁定终止和解程序，并宣告债务人破产</w:t>
      </w:r>
    </w:p>
    <w:p w14:paraId="2F64C4A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（二）和解协议的效力</w:t>
      </w:r>
    </w:p>
    <w:p w14:paraId="2A813CE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1．经法院裁定认可的和解协议，对债务人和全体和解债权人均有约束力。</w:t>
      </w:r>
    </w:p>
    <w:p w14:paraId="55C6BC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2．债务人不能执行或者不执行和解协议的，法院经和解债权人请求，应当裁定终止和解协议的执行，并宣告债务人破产。</w:t>
      </w:r>
    </w:p>
    <w:p w14:paraId="4C4A37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3．法院裁定终止和解协议执行的，和解债权人在和解协议中作出的债权调整的承诺失去效力。</w:t>
      </w:r>
    </w:p>
    <w:p w14:paraId="1D86C44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4．和解债权人因执行和解协议所受的清偿仍然有效</w:t>
      </w:r>
    </w:p>
    <w:p w14:paraId="0934D56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六</w:t>
      </w:r>
      <w:r>
        <w:rPr>
          <w:rFonts w:hint="default" w:ascii="Times New Roman Regular" w:hAnsi="Times New Roman Regular" w:cs="Times New Roman Regular"/>
          <w:sz w:val="21"/>
          <w:szCs w:val="21"/>
          <w:u w:val="none"/>
          <w:lang w:val="en-US" w:eastAsia="zh-CN"/>
        </w:rPr>
        <w:t>、清算程序</w:t>
      </w:r>
    </w:p>
    <w:p w14:paraId="3F8F6D9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（一）破产宣告</w:t>
      </w:r>
    </w:p>
    <w:p w14:paraId="74B1F0C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债务人一旦被宣告破产，则不可能再进入重整或者和解程序</w:t>
      </w:r>
    </w:p>
    <w:p w14:paraId="0F05BBA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（二）别除权</w:t>
      </w:r>
    </w:p>
    <w:p w14:paraId="4ABEBA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1．对破产人的特定财产享有担保权的权利人，对该特定财产享有优先受偿的权利。</w:t>
      </w:r>
    </w:p>
    <w:p w14:paraId="1A4A4AB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2．当别除权标的物不足清偿被担保的全部债务时，别除权人不得就未足额清偿部分请求由破产财产获得优先清偿，而只能作为普通破产债权参加集体清偿</w:t>
      </w:r>
    </w:p>
    <w:p w14:paraId="1808049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（三）清偿顺序</w:t>
      </w:r>
    </w:p>
    <w:p w14:paraId="2791DEC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破产财产在优先清偿破产费用和共益债务后，依照下列顺序清偿：</w:t>
      </w:r>
    </w:p>
    <w:p w14:paraId="23DC2C4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1．破产人所欠职工的工资和医疗、伤残补助、抚恤费用，所欠的应当划入职工个人账户的基本养老保险、基本医疗保险费用，以及法律、行政法规规定应当支付给职工的补偿金；</w:t>
      </w:r>
    </w:p>
    <w:p w14:paraId="573C99B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2．破产人欠缴的除前项规定以外的社会保险费用和破产人所欠税款；</w:t>
      </w:r>
    </w:p>
    <w:p w14:paraId="0E32A97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3．普通破产债权。</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D9A55A2"/>
    <w:rsid w:val="13EF1752"/>
    <w:rsid w:val="16EFD392"/>
    <w:rsid w:val="177DA370"/>
    <w:rsid w:val="17DFFA75"/>
    <w:rsid w:val="18BFC09B"/>
    <w:rsid w:val="1BC8E4F3"/>
    <w:rsid w:val="1BEF9C01"/>
    <w:rsid w:val="1BFB8A79"/>
    <w:rsid w:val="1C5D3137"/>
    <w:rsid w:val="1FFBBE3B"/>
    <w:rsid w:val="1FFDE82A"/>
    <w:rsid w:val="1FFE3DC8"/>
    <w:rsid w:val="1FFF9676"/>
    <w:rsid w:val="25E4E361"/>
    <w:rsid w:val="26F6FA36"/>
    <w:rsid w:val="27FBB615"/>
    <w:rsid w:val="2FD9B963"/>
    <w:rsid w:val="2FF57ABD"/>
    <w:rsid w:val="33FD09F3"/>
    <w:rsid w:val="37F9300F"/>
    <w:rsid w:val="396C1DDF"/>
    <w:rsid w:val="39BBEE6C"/>
    <w:rsid w:val="39CD9E08"/>
    <w:rsid w:val="3AA211B0"/>
    <w:rsid w:val="3D758D90"/>
    <w:rsid w:val="3DBE1238"/>
    <w:rsid w:val="3DDD8785"/>
    <w:rsid w:val="3DEE2497"/>
    <w:rsid w:val="3EFF2196"/>
    <w:rsid w:val="3EFFCDE3"/>
    <w:rsid w:val="3F362571"/>
    <w:rsid w:val="3F7D6D90"/>
    <w:rsid w:val="3FDF38B5"/>
    <w:rsid w:val="4B7F9327"/>
    <w:rsid w:val="4BFDC25C"/>
    <w:rsid w:val="4D7AF3B1"/>
    <w:rsid w:val="4F7E5D39"/>
    <w:rsid w:val="4FEF7A7F"/>
    <w:rsid w:val="5BF630B3"/>
    <w:rsid w:val="5D1E5E35"/>
    <w:rsid w:val="5D2F548A"/>
    <w:rsid w:val="5D9CC53C"/>
    <w:rsid w:val="5DBFD756"/>
    <w:rsid w:val="5E976ACE"/>
    <w:rsid w:val="5EF589B3"/>
    <w:rsid w:val="5F2FB4C6"/>
    <w:rsid w:val="5F67BE34"/>
    <w:rsid w:val="5F9FED60"/>
    <w:rsid w:val="5FDFC522"/>
    <w:rsid w:val="5FF291E1"/>
    <w:rsid w:val="63F79634"/>
    <w:rsid w:val="676B1FCF"/>
    <w:rsid w:val="6BBF548D"/>
    <w:rsid w:val="6BEE3C17"/>
    <w:rsid w:val="6CFC5835"/>
    <w:rsid w:val="6EBB24DA"/>
    <w:rsid w:val="6EBFFE06"/>
    <w:rsid w:val="6EDC6954"/>
    <w:rsid w:val="6F7FD66B"/>
    <w:rsid w:val="6FA20FB1"/>
    <w:rsid w:val="6FC75035"/>
    <w:rsid w:val="6FE9DFA5"/>
    <w:rsid w:val="6FF6B73E"/>
    <w:rsid w:val="6FF7B5C8"/>
    <w:rsid w:val="72B16660"/>
    <w:rsid w:val="72FEDFAF"/>
    <w:rsid w:val="74EF0DAF"/>
    <w:rsid w:val="75FFDC8C"/>
    <w:rsid w:val="76576194"/>
    <w:rsid w:val="777E0985"/>
    <w:rsid w:val="77BFCCB0"/>
    <w:rsid w:val="78FF9F1C"/>
    <w:rsid w:val="79B72732"/>
    <w:rsid w:val="7A8FECFA"/>
    <w:rsid w:val="7AF326B4"/>
    <w:rsid w:val="7B6D3C00"/>
    <w:rsid w:val="7B75E9C3"/>
    <w:rsid w:val="7B77E946"/>
    <w:rsid w:val="7B9D44AF"/>
    <w:rsid w:val="7BAF28C8"/>
    <w:rsid w:val="7BFFD2F7"/>
    <w:rsid w:val="7C7DDD51"/>
    <w:rsid w:val="7C9D61C3"/>
    <w:rsid w:val="7D473A11"/>
    <w:rsid w:val="7D6FDA1F"/>
    <w:rsid w:val="7D7FD33D"/>
    <w:rsid w:val="7DBDD90E"/>
    <w:rsid w:val="7DBFEFAD"/>
    <w:rsid w:val="7DE7821D"/>
    <w:rsid w:val="7DF9200D"/>
    <w:rsid w:val="7E3F6002"/>
    <w:rsid w:val="7EFF1AA0"/>
    <w:rsid w:val="7EFFC158"/>
    <w:rsid w:val="7F398CB3"/>
    <w:rsid w:val="7F3B9F4C"/>
    <w:rsid w:val="7F3C3286"/>
    <w:rsid w:val="7F695405"/>
    <w:rsid w:val="7F6B748A"/>
    <w:rsid w:val="7F7A0ADA"/>
    <w:rsid w:val="7FB49696"/>
    <w:rsid w:val="7FB797CE"/>
    <w:rsid w:val="7FBF0F91"/>
    <w:rsid w:val="7FE7235C"/>
    <w:rsid w:val="7FF72ECF"/>
    <w:rsid w:val="7FFCE884"/>
    <w:rsid w:val="8ABEE47C"/>
    <w:rsid w:val="8BFB340A"/>
    <w:rsid w:val="957F8B5D"/>
    <w:rsid w:val="99FF3808"/>
    <w:rsid w:val="AEAF67DC"/>
    <w:rsid w:val="AECFAD74"/>
    <w:rsid w:val="AED07A5A"/>
    <w:rsid w:val="AEFFF231"/>
    <w:rsid w:val="AF7349BF"/>
    <w:rsid w:val="B1FDE468"/>
    <w:rsid w:val="B3EEDF3F"/>
    <w:rsid w:val="B3FEA9EF"/>
    <w:rsid w:val="B61785CE"/>
    <w:rsid w:val="B7FEF551"/>
    <w:rsid w:val="BBD68691"/>
    <w:rsid w:val="BDE3808C"/>
    <w:rsid w:val="BE470E73"/>
    <w:rsid w:val="BFD7C2A8"/>
    <w:rsid w:val="BFDBD4BC"/>
    <w:rsid w:val="BFDF5E9D"/>
    <w:rsid w:val="BFFD2C1F"/>
    <w:rsid w:val="BFFFC478"/>
    <w:rsid w:val="C2FF7057"/>
    <w:rsid w:val="CBDA46FA"/>
    <w:rsid w:val="CDF9AD73"/>
    <w:rsid w:val="CEAF22DB"/>
    <w:rsid w:val="CFABA3EB"/>
    <w:rsid w:val="CFBDAEF9"/>
    <w:rsid w:val="CFFF1593"/>
    <w:rsid w:val="D7F8DDAE"/>
    <w:rsid w:val="D99D7B6E"/>
    <w:rsid w:val="DBF64670"/>
    <w:rsid w:val="DE4FF25C"/>
    <w:rsid w:val="DE5EFF5E"/>
    <w:rsid w:val="DFDD6831"/>
    <w:rsid w:val="E5718167"/>
    <w:rsid w:val="E59B90E9"/>
    <w:rsid w:val="E5AB3AAB"/>
    <w:rsid w:val="E5DD9418"/>
    <w:rsid w:val="E787CCF8"/>
    <w:rsid w:val="E7BFCB01"/>
    <w:rsid w:val="E7EF776D"/>
    <w:rsid w:val="E9F63188"/>
    <w:rsid w:val="EA3CD53D"/>
    <w:rsid w:val="EB6E8309"/>
    <w:rsid w:val="EBD730EB"/>
    <w:rsid w:val="EC2D9E1A"/>
    <w:rsid w:val="EECA7655"/>
    <w:rsid w:val="EF06E542"/>
    <w:rsid w:val="EF73E6F1"/>
    <w:rsid w:val="EF7FB042"/>
    <w:rsid w:val="EFB7ADF2"/>
    <w:rsid w:val="EFCFFD3A"/>
    <w:rsid w:val="EFDF470A"/>
    <w:rsid w:val="EFDFF3E6"/>
    <w:rsid w:val="EFE712E6"/>
    <w:rsid w:val="EFE74EAF"/>
    <w:rsid w:val="EFF7C6A6"/>
    <w:rsid w:val="F0D7EC59"/>
    <w:rsid w:val="F0DE3C2E"/>
    <w:rsid w:val="F1B927A4"/>
    <w:rsid w:val="F3FF92B4"/>
    <w:rsid w:val="F54E1163"/>
    <w:rsid w:val="F56E2A6E"/>
    <w:rsid w:val="F5EEDA60"/>
    <w:rsid w:val="F5EFB180"/>
    <w:rsid w:val="F6DFFC0C"/>
    <w:rsid w:val="F73F225B"/>
    <w:rsid w:val="FABE4737"/>
    <w:rsid w:val="FAFD0978"/>
    <w:rsid w:val="FB3760F9"/>
    <w:rsid w:val="FB3FDD72"/>
    <w:rsid w:val="FBDF91EB"/>
    <w:rsid w:val="FBDF9839"/>
    <w:rsid w:val="FBFB9313"/>
    <w:rsid w:val="FBFF7EF4"/>
    <w:rsid w:val="FCEF4E65"/>
    <w:rsid w:val="FD375179"/>
    <w:rsid w:val="FD6C9E97"/>
    <w:rsid w:val="FD6EB3EE"/>
    <w:rsid w:val="FDBDD900"/>
    <w:rsid w:val="FDF59568"/>
    <w:rsid w:val="FE7F8EB7"/>
    <w:rsid w:val="FEA64923"/>
    <w:rsid w:val="FED731CE"/>
    <w:rsid w:val="FED769C8"/>
    <w:rsid w:val="FEFE8315"/>
    <w:rsid w:val="FF3362C6"/>
    <w:rsid w:val="FF6F6FFE"/>
    <w:rsid w:val="FF7BF13D"/>
    <w:rsid w:val="FF943FE1"/>
    <w:rsid w:val="FF9F8E8F"/>
    <w:rsid w:val="FFABDFB3"/>
    <w:rsid w:val="FFEFF665"/>
    <w:rsid w:val="FFF72BE1"/>
    <w:rsid w:val="FFF7A85E"/>
    <w:rsid w:val="FFFBE5A1"/>
    <w:rsid w:val="FFFD413B"/>
    <w:rsid w:val="FFFF283E"/>
    <w:rsid w:val="FFFF3C31"/>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2026-02-08T08:22:00Z</dcterms:created>
  <dc:creator>Arthur (Xiao) Dong</dc:creator>
  <cp:lastModifiedBy>Arthur (Xiao) Dong</cp:lastModifiedBy>
  <dcterms:modified xsi:type="dcterms:W3CDTF">2026-08-10T22:39:22Z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3A31E5C62E8666FD53247769E1688135_41</vt:lpwstr>
  </property>
</Properties>
</file>