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4AEA8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Regular" w:hAnsi="Times New Roman Regular" w:cs="Times New Roman Regular"/>
          <w:b/>
          <w:bCs/>
          <w:sz w:val="24"/>
          <w:szCs w:val="24"/>
          <w:u w:val="none"/>
          <w:lang w:val="en-US" w:eastAsia="zh-CN"/>
        </w:rPr>
      </w:pPr>
      <w:r>
        <w:rPr>
          <w:rFonts w:hint="eastAsia"/>
          <w:b/>
          <w:bCs/>
          <w:sz w:val="28"/>
          <w:szCs w:val="28"/>
          <w:lang w:val="en-US" w:eastAsia="zh-CN"/>
        </w:rPr>
        <w:t>商法主观专题突破第二讲课堂笔记（专题3-5）</w:t>
      </w:r>
      <w:bookmarkStart w:id="0" w:name="_GoBack"/>
      <w:bookmarkEnd w:id="0"/>
    </w:p>
    <w:p w14:paraId="218304B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Regular" w:hAnsi="Times New Roman Regular" w:cs="Times New Roman Regular"/>
          <w:b/>
          <w:bCs/>
          <w:sz w:val="24"/>
          <w:szCs w:val="24"/>
          <w:u w:val="none"/>
          <w:lang w:val="en-US" w:eastAsia="zh-CN"/>
        </w:rPr>
      </w:pPr>
    </w:p>
    <w:p w14:paraId="7751FE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【专题3:公司的资本与财务制度】</w:t>
      </w:r>
    </w:p>
    <w:p w14:paraId="732B13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一、资本确定原则</w:t>
      </w:r>
    </w:p>
    <w:p w14:paraId="53BC5B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是指公司设立时应在章程中载明公司资本总额，并由发起人认足或缴足，否则公司不能成立</w:t>
      </w:r>
    </w:p>
    <w:p w14:paraId="3BBAAB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二、资本维持原则</w:t>
      </w:r>
    </w:p>
    <w:p w14:paraId="216B0A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是指公司在其存续过程中，应当经常保持与其资本额相当的财产。该原则具体体现在下列制度上：</w:t>
      </w:r>
    </w:p>
    <w:p w14:paraId="7B4F8A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（一）股东在公司登记成立后不得抽逃出资；</w:t>
      </w:r>
    </w:p>
    <w:p w14:paraId="1F1488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1.表现形式：</w:t>
      </w:r>
    </w:p>
    <w:p w14:paraId="3A3EC0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（1）制作虚假财务会计报表虚增利润进行分配（做假账）</w:t>
      </w:r>
    </w:p>
    <w:p w14:paraId="548ECF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（2）通过虚构债权债务关系将出资转出（做假合同）</w:t>
      </w:r>
    </w:p>
    <w:p w14:paraId="221B4E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（3）利用关联交易将出资转出</w:t>
      </w:r>
    </w:p>
    <w:p w14:paraId="5866E7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（4）其他未经法定程序将出资抽回的行为。</w:t>
      </w:r>
    </w:p>
    <w:p w14:paraId="6DAE16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违反前款规定的，股东应当返还抽逃的出资；给公司造成损失的，负有责任的董事、监事、高级管理人员应当与该股东承担连带赔偿责任。</w:t>
      </w:r>
    </w:p>
    <w:p w14:paraId="3C8544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2.法律责任：</w:t>
      </w:r>
    </w:p>
    <w:p w14:paraId="29C15F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（1）股东抽逃出资，公司或者其他股东请求其向公司返还出资本息、协助抽逃出资的其他股东、董事、高级管理人员或者实际控制人对此承担连带责任的，人民法院应予支持</w:t>
      </w:r>
    </w:p>
    <w:p w14:paraId="4520E3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公司债权人请求抽逃出资的股东在抽逃出资本息范围内对公司债务不能清偿的部分承担补充赔偿责任、协助抽逃出资的其他股东、董事、高级管理人员或者实际控制人对此承担连带责任的，人民法院应予支持</w:t>
      </w:r>
    </w:p>
    <w:p w14:paraId="6D1D2D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（二）限制回购股份</w:t>
      </w:r>
    </w:p>
    <w:p w14:paraId="44416A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股份公司不得收购本公司的股份，但是，有下列情形之一的除外：</w:t>
      </w:r>
    </w:p>
    <w:p w14:paraId="51E524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（1）减少公司注册资本</w:t>
      </w:r>
    </w:p>
    <w:p w14:paraId="5DCEFE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（2）与持有本公司股份的其他公司合并</w:t>
      </w:r>
    </w:p>
    <w:p w14:paraId="4BCBCB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（3）将股份用于员工持股计划或者股权激励</w:t>
      </w:r>
    </w:p>
    <w:p w14:paraId="4DB731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（4）股东因对股东会作出的公司合并、分立决议持异议，要求公司收购其股份</w:t>
      </w:r>
    </w:p>
    <w:p w14:paraId="4D887E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（5）将股份用于转换上市公司发行的可转换为股票的公司债券</w:t>
      </w:r>
    </w:p>
    <w:p w14:paraId="4F0AC5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（6）上市公司为维护公司价值及股东权益所必需。</w:t>
      </w:r>
    </w:p>
    <w:p w14:paraId="07AA70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因前款第（1）项、第（2）项规定的情形收购本公司股份的，应当经股东会决议；公司因前款第（3）项、第（5）项、第（6）项规定的情形收购本公司股份的，可以依照公司章程或者股东会的授权，经三分之二以上董事出席的董事会会议决议。</w:t>
      </w:r>
    </w:p>
    <w:p w14:paraId="41A547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注意：（4）需由股东会决议，（3）、（5）、（6）在没有章程和股东会的授权的情况下，仍然是由股东会决议。</w:t>
      </w:r>
    </w:p>
    <w:p w14:paraId="172B17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依照本条第一款规定收购本公司股份后，属于第（1）项情形的，应当自收购之日起十日内注销；属于第（2）项、第（4）项情形的，应当在六个月内转让或者注销；属于第（3）项、第（5）项、第（6）项情形的，公司合计持有的本公司股份数不得超过本公司已发行股份总额的百分之十，并应当在三年内转让或者注销。</w:t>
      </w:r>
    </w:p>
    <w:p w14:paraId="779320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上市公司收购本公司股份的，应当通过公开的集中交易方式进行</w:t>
      </w:r>
    </w:p>
    <w:p w14:paraId="107C2C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w:t>
      </w:r>
      <w:r>
        <w:rPr>
          <w:rFonts w:hint="default" w:ascii="Times New Roman Regular" w:hAnsi="Times New Roman Regular" w:cs="Times New Roman Regular"/>
          <w:sz w:val="21"/>
          <w:szCs w:val="21"/>
          <w:u w:val="none"/>
          <w:lang w:val="en-US" w:eastAsia="zh-CN"/>
        </w:rPr>
        <w:t>资本不变原则</w:t>
      </w:r>
    </w:p>
    <w:p w14:paraId="4DBB1D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是指公司资本总额一旦确定，非经法定程序，不得任意变动。公司增加注册资本实行股东自治，公司减少注册资本实行严格的限制</w:t>
      </w:r>
    </w:p>
    <w:p w14:paraId="6F8047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四</w:t>
      </w:r>
      <w:r>
        <w:rPr>
          <w:rFonts w:hint="default" w:ascii="Times New Roman Regular" w:hAnsi="Times New Roman Regular" w:cs="Times New Roman Regular"/>
          <w:sz w:val="21"/>
          <w:szCs w:val="21"/>
          <w:u w:val="none"/>
          <w:lang w:val="en-US" w:eastAsia="zh-CN"/>
        </w:rPr>
        <w:t>、公积金</w:t>
      </w:r>
    </w:p>
    <w:p w14:paraId="773E15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（一）提取</w:t>
      </w:r>
    </w:p>
    <w:p w14:paraId="37092A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1．公司分配当年税后利润时，应当提取利润的10%列入公司法定公积金</w:t>
      </w:r>
    </w:p>
    <w:p w14:paraId="53F0AC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2．公司法定公积金累计额为公司注册资本的50%以上的，可以不再提取</w:t>
      </w:r>
    </w:p>
    <w:p w14:paraId="3E489C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3．法定公积金转为注册资本时，所留存的该项公积金不得少于转增前公司注册资本的25%</w:t>
      </w:r>
    </w:p>
    <w:p w14:paraId="738F2E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（二）使用</w:t>
      </w:r>
    </w:p>
    <w:p w14:paraId="603ED5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1.公积金用于弥补公司的亏损、扩大公司生产经营或者转为增加公司资本。</w:t>
      </w:r>
    </w:p>
    <w:p w14:paraId="62EFFF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2.公积金弥补公司亏损，应当先使用任意公积金和法定公积金；仍不能弥补的，可以按照规定使用资本公积金</w:t>
      </w:r>
    </w:p>
    <w:p w14:paraId="5E23E1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五、</w:t>
      </w:r>
      <w:r>
        <w:rPr>
          <w:rFonts w:hint="default" w:ascii="Times New Roman Regular" w:hAnsi="Times New Roman Regular" w:cs="Times New Roman Regular"/>
          <w:sz w:val="21"/>
          <w:szCs w:val="21"/>
          <w:u w:val="none"/>
          <w:lang w:val="en-US" w:eastAsia="zh-CN"/>
        </w:rPr>
        <w:t>公司收益分配顺序</w:t>
      </w:r>
    </w:p>
    <w:p w14:paraId="0C588E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弥补亏损→提取法定公积金→提取任意公积金→向股东支付股利</w:t>
      </w:r>
    </w:p>
    <w:p w14:paraId="30FAB9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1．公司的法定公积金不足以弥补以前年度亏损的，在依照上述规定提取法定公积金之前，应当先用当年利润弥补亏损</w:t>
      </w:r>
    </w:p>
    <w:p w14:paraId="58F4CA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2．公司从税后利润中提取法定公积金后，经股东会决议，还可以从税后利润中提取任意公积金</w:t>
      </w:r>
    </w:p>
    <w:p w14:paraId="382E43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3．公司弥补亏损和提取公积金后所余税后利润，有限责任公司按照股东实缴的出资比例分配利润，全体股东约定不按照出资比例分配利润的除外</w:t>
      </w:r>
    </w:p>
    <w:p w14:paraId="3A8CC9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4．公司违反本法规定向股东分配利润的，股东应当将违反规定分配的利润退还公司；给公司造成损失的，股东及负有责任的董事、监事、高级管理人员应当承担赔偿责任</w:t>
      </w:r>
    </w:p>
    <w:p w14:paraId="30BB385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5．股东会作出分配利润的决议的，董事会应当在股东会决议作出之日起六个月内进行分配</w:t>
      </w:r>
    </w:p>
    <w:p w14:paraId="72FD67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p w14:paraId="267FA2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【专题4:公司治理结构】</w:t>
      </w:r>
    </w:p>
    <w:p w14:paraId="784F6B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w:t>
      </w:r>
      <w:r>
        <w:rPr>
          <w:rFonts w:hint="eastAsia" w:ascii="Times New Roman Regular" w:hAnsi="Times New Roman Regular" w:cs="Times New Roman Regular"/>
          <w:sz w:val="21"/>
          <w:szCs w:val="21"/>
          <w:u w:val="none"/>
          <w:lang w:val="en-US" w:eastAsia="zh-CN"/>
        </w:rPr>
        <w:t>董监高的任职资格</w:t>
      </w:r>
    </w:p>
    <w:p w14:paraId="7E51B4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（一）任职资格禁止性规定</w:t>
      </w:r>
    </w:p>
    <w:p w14:paraId="4BE100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1．无民事行为能力或者限制民事行为能力</w:t>
      </w:r>
    </w:p>
    <w:p w14:paraId="3D7DDA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2．因贪污、贿赂、侵占财产、挪用财产或者破坏社会主义市场经济秩序，被判处刑罚，执行期满未逾五年，或者因犯罪被剥夺政治权利，执行期满未逾五年，被宣告缓刑的，自缓刑考验期满之日起未逾二年</w:t>
      </w:r>
    </w:p>
    <w:p w14:paraId="6EABC9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3．担任破产清算的公司、企业的董事或者厂长、经理，对该公司、企业的破产负有个人责任的，自该公司、企业破产清算完结之日起未逾三年</w:t>
      </w:r>
    </w:p>
    <w:p w14:paraId="2FD1B3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4．担任因违法被吊销营业执照、责令关闭的公司、企业的法定代表人，并负有个人责任的，自该公司、企业被吊销营业执照之日起未逾三年</w:t>
      </w:r>
    </w:p>
    <w:p w14:paraId="214918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5．个人因所负数额较大债务到期未清偿被人民法院列为失信被执行人</w:t>
      </w:r>
    </w:p>
    <w:p w14:paraId="140A5E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（二）后果</w:t>
      </w:r>
    </w:p>
    <w:p w14:paraId="2D9DAC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1．公司违反前款规定选举、委派董事、监事或者聘任高级管理人员的，该选举、委派或者聘任无效（担任之前）</w:t>
      </w:r>
    </w:p>
    <w:p w14:paraId="7424C6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2．委任之后上述人员在任职期间出现上述情形的，公司应当解除其职务</w:t>
      </w:r>
    </w:p>
    <w:p w14:paraId="4CFD72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二、决议效力瑕疵</w:t>
      </w:r>
    </w:p>
    <w:p w14:paraId="56E93C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（一）</w:t>
      </w:r>
      <w:r>
        <w:rPr>
          <w:rFonts w:hint="default" w:ascii="Times New Roman Regular" w:hAnsi="Times New Roman Regular" w:cs="Times New Roman Regular"/>
          <w:sz w:val="21"/>
          <w:szCs w:val="21"/>
          <w:u w:val="none"/>
          <w:lang w:val="en-US" w:eastAsia="zh-CN"/>
        </w:rPr>
        <w:t>公司决议不成立</w:t>
      </w:r>
    </w:p>
    <w:p w14:paraId="2E4C86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有下列情形之一的，公司股东会、董事会的决议不成立：</w:t>
      </w:r>
    </w:p>
    <w:p w14:paraId="13D9BD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1．未召开股东会、董事会会议作出决议；（没开会）</w:t>
      </w:r>
    </w:p>
    <w:p w14:paraId="5C371D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2．股东会、董事会会议未对决议事项进行表决；（没表决）</w:t>
      </w:r>
    </w:p>
    <w:p w14:paraId="508702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3．出席会议的人数或者所持表决权数未达到本法或者公司章程规定的人数或者所持表决权数；（开会的人不够）</w:t>
      </w:r>
    </w:p>
    <w:p w14:paraId="790230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4．同意决议事项的人数或者所持表决权数未达到公司法或者公司章程规定的人数或者所持表决权数。（赞成的人不够）</w:t>
      </w:r>
    </w:p>
    <w:p w14:paraId="63EDE3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w:t>
      </w:r>
      <w:r>
        <w:rPr>
          <w:rFonts w:hint="default" w:ascii="Times New Roman Regular" w:hAnsi="Times New Roman Regular" w:cs="Times New Roman Regular"/>
          <w:sz w:val="21"/>
          <w:szCs w:val="21"/>
          <w:u w:val="none"/>
          <w:lang w:val="en-US" w:eastAsia="zh-CN"/>
        </w:rPr>
        <w:t>公司决议的无效</w:t>
      </w:r>
    </w:p>
    <w:p w14:paraId="4D685C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公司股东会、董事会的决议内容违反法律、行政法规的无效。</w:t>
      </w:r>
    </w:p>
    <w:p w14:paraId="15A5F4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w:t>
      </w:r>
      <w:r>
        <w:rPr>
          <w:rFonts w:hint="default" w:ascii="Times New Roman Regular" w:hAnsi="Times New Roman Regular" w:cs="Times New Roman Regular"/>
          <w:sz w:val="21"/>
          <w:szCs w:val="21"/>
          <w:u w:val="none"/>
          <w:lang w:val="en-US" w:eastAsia="zh-CN"/>
        </w:rPr>
        <w:t>公司决议的撤销</w:t>
      </w:r>
    </w:p>
    <w:p w14:paraId="4B8F7A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1.事由总结：程序、方式违法违章；内容违章。</w:t>
      </w:r>
    </w:p>
    <w:p w14:paraId="6C0D9A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2.未被通知参加股东会会议的股东自知道或者应当知道股东会决议作出之日起六十日内，可以请求法院撤销；自决议作出之日起一年内没有行使撤销权的，撤销权消灭</w:t>
      </w:r>
    </w:p>
    <w:p w14:paraId="1AE2C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3.诉讼安排：股东为原告；公司为被告；诉讼时间60日，1年为除斥期间。</w:t>
      </w:r>
    </w:p>
    <w:p w14:paraId="189541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w:t>
      </w:r>
      <w:r>
        <w:rPr>
          <w:rFonts w:hint="default" w:ascii="Times New Roman Regular" w:hAnsi="Times New Roman Regular" w:cs="Times New Roman Regular"/>
          <w:sz w:val="21"/>
          <w:szCs w:val="21"/>
          <w:u w:val="none"/>
          <w:lang w:val="en-US" w:eastAsia="zh-CN"/>
        </w:rPr>
        <w:t>、</w:t>
      </w:r>
      <w:r>
        <w:rPr>
          <w:rFonts w:hint="eastAsia" w:ascii="Times New Roman Regular" w:hAnsi="Times New Roman Regular" w:cs="Times New Roman Regular"/>
          <w:sz w:val="21"/>
          <w:szCs w:val="21"/>
          <w:u w:val="none"/>
          <w:lang w:val="en-US" w:eastAsia="zh-CN"/>
        </w:rPr>
        <w:t>董事的忠实义务与归入权</w:t>
      </w:r>
    </w:p>
    <w:p w14:paraId="2FD5E1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根据《公司法》第186条，董事、监事、高级管理人员违反本法第181条至第184条规定所得的收入应当归公司所有。归入权是公司的法定权利，不以造成实际损失为前提。例如，董事违反竞业禁止义务经营同类业务，其所获得的全部利润，无论公司是否遭受损失，都可以主张归入。</w:t>
      </w:r>
    </w:p>
    <w:p w14:paraId="4010CE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p w14:paraId="484E0A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21"/>
          <w:szCs w:val="21"/>
          <w:u w:val="none"/>
          <w:lang w:val="en-US" w:eastAsia="zh-CN"/>
        </w:rPr>
      </w:pPr>
      <w:r>
        <w:rPr>
          <w:rFonts w:hint="eastAsia" w:ascii="Times New Roman Regular" w:hAnsi="Times New Roman Regular" w:cs="Times New Roman Regular"/>
          <w:b/>
          <w:bCs/>
          <w:sz w:val="21"/>
          <w:szCs w:val="21"/>
          <w:u w:val="none"/>
          <w:lang w:val="en-US" w:eastAsia="zh-CN"/>
        </w:rPr>
        <w:t>【专题5:股东权利与诉讼保护】</w:t>
      </w:r>
    </w:p>
    <w:p w14:paraId="054130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一、知情权</w:t>
      </w:r>
    </w:p>
    <w:p w14:paraId="2D68E8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1．内容：</w:t>
      </w:r>
    </w:p>
    <w:p w14:paraId="76183F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有限责任公司的股东有权查阅、复制公司章程、股东名册、股东会会议记录、董事会会议决议、监事会会议决议和财务会计报告。股东可以要求查阅公司会计账簿、会计凭证。</w:t>
      </w:r>
    </w:p>
    <w:p w14:paraId="616DCF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股份有限公司的</w:t>
      </w:r>
      <w:r>
        <w:rPr>
          <w:rFonts w:hint="default" w:ascii="Times New Roman Regular" w:hAnsi="Times New Roman Regular" w:cs="Times New Roman Regular"/>
          <w:sz w:val="21"/>
          <w:szCs w:val="21"/>
          <w:u w:val="none"/>
          <w:lang w:val="en-US" w:eastAsia="zh-CN"/>
        </w:rPr>
        <w:t>原告资格：连续一百八十日以上单独或者合计持有公司百分之三以上股份的股东</w:t>
      </w:r>
    </w:p>
    <w:p w14:paraId="3D136D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2．流程：</w:t>
      </w:r>
    </w:p>
    <w:p w14:paraId="22F3BB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股东要求查阅公司会计账簿、会计凭证的，应当向公司提出书面请求，说明目的。公司有合理根据认为股东查阅会计账簿、会计凭证有不正当目的，可能损害公司合法利益的，可以拒绝提供查阅，并应当自股东提出书面请求之日起15日内书面答复股东并说明理由。公司拒绝提供查阅的，股东可以向法院提起诉讼。</w:t>
      </w:r>
    </w:p>
    <w:p w14:paraId="7F1B7A6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3．机构：</w:t>
      </w:r>
    </w:p>
    <w:p w14:paraId="7A547C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股东查阅前款规定的材料，可以委托会计师事务所、律师事务所等中介机构进行。股东及其委托的会计师事务所、律师事务所等中介机构查阅、复制有关材料，应当遵守有关保护国家秘密、商业秘密、个人隐私、个人信息等法律、行政法规的规定。</w:t>
      </w:r>
    </w:p>
    <w:p w14:paraId="0DD3DC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二</w:t>
      </w:r>
      <w:r>
        <w:rPr>
          <w:rFonts w:hint="default" w:ascii="Times New Roman Regular" w:hAnsi="Times New Roman Regular" w:cs="Times New Roman Regular"/>
          <w:sz w:val="21"/>
          <w:szCs w:val="21"/>
          <w:u w:val="none"/>
          <w:lang w:val="en-US" w:eastAsia="zh-CN"/>
        </w:rPr>
        <w:t>、股东代表诉讼</w:t>
      </w:r>
    </w:p>
    <w:p w14:paraId="06F4B3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交叉请求：董事、高级管理人员执行公司职务时违反法律、行政法规或者公司章程的规定，给公司造成损失的，有限责任公司的股东、股份有限公司连续180日以上单独或者合计持有公司1%以上股份的股东，可以书面请求监事会向法院提起诉讼；监事有该种情形的，前述股东可以书面请求董事会向法院提起诉讼。</w:t>
      </w:r>
    </w:p>
    <w:p w14:paraId="238274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监事会或者董事会收到上述规定的股东书面请求后拒绝提起诉讼，或者自收到请求之日起30内未提起诉讼，或者情况紧急、不立即提起诉讼将会使公司利益受到难以弥补的损害的，上述规定的股东有权为了公司的利益以自己的名义直接向法院提起诉讼。</w:t>
      </w:r>
    </w:p>
    <w:p w14:paraId="368988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3．他人侵犯公司合法权益，给公司造成损失的，上述股东可以依照前述规定向法院提起诉讼。</w:t>
      </w:r>
    </w:p>
    <w:p w14:paraId="695736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4．公司全资子公司的董事、监事、高级管理人员有前条规定情形，或者他人侵犯公司全资子公司合法权益造成损失的，有限责任公司的股东、股份有限公司连续一百八十日以上单独或者合计持有公司百分之一以上股份的股东，可以依照前三款规定书面请求全资子公司的监事会、董事会向人民法院提起诉讼或者以自己的名义直接向人民法院提起诉讼。</w:t>
      </w:r>
    </w:p>
    <w:p w14:paraId="1CB41BE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eastAsia" w:ascii="Times New Roman Regular" w:hAnsi="Times New Roman Regular" w:cs="Times New Roman Regular"/>
          <w:sz w:val="21"/>
          <w:szCs w:val="21"/>
          <w:u w:val="none"/>
          <w:lang w:val="en-US" w:eastAsia="zh-CN"/>
        </w:rPr>
        <w:t>三</w:t>
      </w:r>
      <w:r>
        <w:rPr>
          <w:rFonts w:hint="default" w:ascii="Times New Roman Regular" w:hAnsi="Times New Roman Regular" w:cs="Times New Roman Regular"/>
          <w:sz w:val="21"/>
          <w:szCs w:val="21"/>
          <w:u w:val="none"/>
          <w:lang w:val="en-US" w:eastAsia="zh-CN"/>
        </w:rPr>
        <w:t>、股东的退出机制（异议股东回购请求权）</w:t>
      </w:r>
    </w:p>
    <w:p w14:paraId="7E398F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有下列情形之一的，对股东会该项决议投反对票的股东可以请求公司按照合理的价格收购其股权：</w:t>
      </w:r>
    </w:p>
    <w:p w14:paraId="323F4E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（1）公司连续五年不向股东分配利润，而公司该五年连续盈利，并且符合本法规定的分配利润条件的；</w:t>
      </w:r>
    </w:p>
    <w:p w14:paraId="0CDEAC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（2）公司合并、分立、转让主要财产的；</w:t>
      </w:r>
    </w:p>
    <w:p w14:paraId="2D487E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（3）公司章程规定的营业期限届满或者章程规定的其他解散事由出现，股东会会议通过决议修改章程使公司存续的。</w:t>
      </w:r>
    </w:p>
    <w:p w14:paraId="1A396F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r>
        <w:rPr>
          <w:rFonts w:hint="default" w:ascii="Times New Roman Regular" w:hAnsi="Times New Roman Regular" w:cs="Times New Roman Regular"/>
          <w:sz w:val="21"/>
          <w:szCs w:val="21"/>
          <w:u w:val="none"/>
          <w:lang w:val="en-US" w:eastAsia="zh-CN"/>
        </w:rPr>
        <w:t>注意：公司的控股股东滥用股东权利，严重损害公司或者其他股东利益的，其他股东有权请求公司按照合理的价格收购其股权</w:t>
      </w:r>
    </w:p>
    <w:p w14:paraId="65098F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21"/>
          <w:szCs w:val="21"/>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C8E4F3"/>
    <w:rsid w:val="1BEF9C01"/>
    <w:rsid w:val="1BFB8A79"/>
    <w:rsid w:val="1C5D3137"/>
    <w:rsid w:val="1FFBBE3B"/>
    <w:rsid w:val="1FFDE82A"/>
    <w:rsid w:val="1FFE3DC8"/>
    <w:rsid w:val="1FFF9676"/>
    <w:rsid w:val="25E4E361"/>
    <w:rsid w:val="26F6FA36"/>
    <w:rsid w:val="27FBB615"/>
    <w:rsid w:val="2FD9B963"/>
    <w:rsid w:val="2FF57ABD"/>
    <w:rsid w:val="33FD09F3"/>
    <w:rsid w:val="37F9300F"/>
    <w:rsid w:val="396C1DDF"/>
    <w:rsid w:val="39BBEE6C"/>
    <w:rsid w:val="39CD9E08"/>
    <w:rsid w:val="3AA211B0"/>
    <w:rsid w:val="3D758D90"/>
    <w:rsid w:val="3DBE1238"/>
    <w:rsid w:val="3DDD8785"/>
    <w:rsid w:val="3DEE2497"/>
    <w:rsid w:val="3EFF2196"/>
    <w:rsid w:val="3EFFCDE3"/>
    <w:rsid w:val="3F362571"/>
    <w:rsid w:val="3F7D6D90"/>
    <w:rsid w:val="3FDF38B5"/>
    <w:rsid w:val="42FF2451"/>
    <w:rsid w:val="4B7F9327"/>
    <w:rsid w:val="4BFDC25C"/>
    <w:rsid w:val="4D7AF3B1"/>
    <w:rsid w:val="4F7E5D39"/>
    <w:rsid w:val="4FEF7A7F"/>
    <w:rsid w:val="5BF630B3"/>
    <w:rsid w:val="5D1E5E35"/>
    <w:rsid w:val="5D2F548A"/>
    <w:rsid w:val="5D9CC53C"/>
    <w:rsid w:val="5DBFD756"/>
    <w:rsid w:val="5E976ACE"/>
    <w:rsid w:val="5EF589B3"/>
    <w:rsid w:val="5F2FB4C6"/>
    <w:rsid w:val="5F67BE34"/>
    <w:rsid w:val="5F9FED60"/>
    <w:rsid w:val="5FDFC522"/>
    <w:rsid w:val="5FF291E1"/>
    <w:rsid w:val="63F79634"/>
    <w:rsid w:val="676B1FCF"/>
    <w:rsid w:val="6BBF548D"/>
    <w:rsid w:val="6BEE3C17"/>
    <w:rsid w:val="6CFC5835"/>
    <w:rsid w:val="6EBB24DA"/>
    <w:rsid w:val="6EBFFE06"/>
    <w:rsid w:val="6EDC6954"/>
    <w:rsid w:val="6F7FD66B"/>
    <w:rsid w:val="6FA20FB1"/>
    <w:rsid w:val="6FC75035"/>
    <w:rsid w:val="6FE9DFA5"/>
    <w:rsid w:val="6FF6B73E"/>
    <w:rsid w:val="6FF7B5C8"/>
    <w:rsid w:val="72B16660"/>
    <w:rsid w:val="72FEDFAF"/>
    <w:rsid w:val="74EF0DAF"/>
    <w:rsid w:val="75FFDC8C"/>
    <w:rsid w:val="76576194"/>
    <w:rsid w:val="777E0985"/>
    <w:rsid w:val="77BFCCB0"/>
    <w:rsid w:val="78FF9F1C"/>
    <w:rsid w:val="79B72732"/>
    <w:rsid w:val="7A8FECFA"/>
    <w:rsid w:val="7AF326B4"/>
    <w:rsid w:val="7B6D3C00"/>
    <w:rsid w:val="7B75E9C3"/>
    <w:rsid w:val="7B77E946"/>
    <w:rsid w:val="7B9D44AF"/>
    <w:rsid w:val="7BAF28C8"/>
    <w:rsid w:val="7BFFD2F7"/>
    <w:rsid w:val="7C7DDD51"/>
    <w:rsid w:val="7C9D61C3"/>
    <w:rsid w:val="7D473A11"/>
    <w:rsid w:val="7D6FDA1F"/>
    <w:rsid w:val="7D7FD33D"/>
    <w:rsid w:val="7DBDD90E"/>
    <w:rsid w:val="7DBFEFAD"/>
    <w:rsid w:val="7DE7821D"/>
    <w:rsid w:val="7DF9200D"/>
    <w:rsid w:val="7E3F6002"/>
    <w:rsid w:val="7EFF1AA0"/>
    <w:rsid w:val="7EFFC158"/>
    <w:rsid w:val="7F398CB3"/>
    <w:rsid w:val="7F3B9F4C"/>
    <w:rsid w:val="7F3C3286"/>
    <w:rsid w:val="7F695405"/>
    <w:rsid w:val="7F6B748A"/>
    <w:rsid w:val="7F7A0ADA"/>
    <w:rsid w:val="7FB49696"/>
    <w:rsid w:val="7FB797CE"/>
    <w:rsid w:val="7FBF0F91"/>
    <w:rsid w:val="7FE7235C"/>
    <w:rsid w:val="7FF72ECF"/>
    <w:rsid w:val="7FFCE884"/>
    <w:rsid w:val="8ABEE47C"/>
    <w:rsid w:val="8BFB340A"/>
    <w:rsid w:val="956F2544"/>
    <w:rsid w:val="957F8B5D"/>
    <w:rsid w:val="99FF3808"/>
    <w:rsid w:val="AEAF67DC"/>
    <w:rsid w:val="AECFAD74"/>
    <w:rsid w:val="AED07A5A"/>
    <w:rsid w:val="AEFFF231"/>
    <w:rsid w:val="AF7349BF"/>
    <w:rsid w:val="B1FDE468"/>
    <w:rsid w:val="B3EEDF3F"/>
    <w:rsid w:val="B3FEA9EF"/>
    <w:rsid w:val="B61785CE"/>
    <w:rsid w:val="B7FEF551"/>
    <w:rsid w:val="BBD68691"/>
    <w:rsid w:val="BDE3808C"/>
    <w:rsid w:val="BE470E73"/>
    <w:rsid w:val="BFD7C2A8"/>
    <w:rsid w:val="BFDF5E9D"/>
    <w:rsid w:val="BFFFC478"/>
    <w:rsid w:val="C2FF7057"/>
    <w:rsid w:val="CBDA46FA"/>
    <w:rsid w:val="CDF9AD73"/>
    <w:rsid w:val="CEAF22DB"/>
    <w:rsid w:val="CFABA3EB"/>
    <w:rsid w:val="CFBDAEF9"/>
    <w:rsid w:val="CFFF1593"/>
    <w:rsid w:val="D7F8DDAE"/>
    <w:rsid w:val="D99D7B6E"/>
    <w:rsid w:val="DBF64670"/>
    <w:rsid w:val="DE4FF25C"/>
    <w:rsid w:val="DE5EFF5E"/>
    <w:rsid w:val="DFDD6831"/>
    <w:rsid w:val="E5718167"/>
    <w:rsid w:val="E59B90E9"/>
    <w:rsid w:val="E5AB3AAB"/>
    <w:rsid w:val="E5DD9418"/>
    <w:rsid w:val="E787CCF8"/>
    <w:rsid w:val="E7BFCB01"/>
    <w:rsid w:val="E7EF776D"/>
    <w:rsid w:val="E9F63188"/>
    <w:rsid w:val="EA3CD53D"/>
    <w:rsid w:val="EB6E8309"/>
    <w:rsid w:val="EBD730EB"/>
    <w:rsid w:val="EC2D9E1A"/>
    <w:rsid w:val="EECA7655"/>
    <w:rsid w:val="EF06E542"/>
    <w:rsid w:val="EF73E6F1"/>
    <w:rsid w:val="EF7FB042"/>
    <w:rsid w:val="EFB7ADF2"/>
    <w:rsid w:val="EFCFFD3A"/>
    <w:rsid w:val="EFDF470A"/>
    <w:rsid w:val="EFDFF3E6"/>
    <w:rsid w:val="EFE712E6"/>
    <w:rsid w:val="EFE74EAF"/>
    <w:rsid w:val="EFF7C6A6"/>
    <w:rsid w:val="F0D7EC59"/>
    <w:rsid w:val="F0DE3C2E"/>
    <w:rsid w:val="F1B927A4"/>
    <w:rsid w:val="F3FF92B4"/>
    <w:rsid w:val="F54E1163"/>
    <w:rsid w:val="F56E2A6E"/>
    <w:rsid w:val="F5EEDA60"/>
    <w:rsid w:val="F5EFB180"/>
    <w:rsid w:val="F6DFFC0C"/>
    <w:rsid w:val="F73F225B"/>
    <w:rsid w:val="FABE4737"/>
    <w:rsid w:val="FAFD0978"/>
    <w:rsid w:val="FB3760F9"/>
    <w:rsid w:val="FB3FDD72"/>
    <w:rsid w:val="FBDF91EB"/>
    <w:rsid w:val="FBDF9839"/>
    <w:rsid w:val="FBFB9313"/>
    <w:rsid w:val="FBFF7EF4"/>
    <w:rsid w:val="FCEF4E65"/>
    <w:rsid w:val="FD375179"/>
    <w:rsid w:val="FD6C9E97"/>
    <w:rsid w:val="FD6EB3EE"/>
    <w:rsid w:val="FDBDD900"/>
    <w:rsid w:val="FDF59568"/>
    <w:rsid w:val="FE7F8EB7"/>
    <w:rsid w:val="FEA64923"/>
    <w:rsid w:val="FED731CE"/>
    <w:rsid w:val="FED769C8"/>
    <w:rsid w:val="FEFE8315"/>
    <w:rsid w:val="FF3362C6"/>
    <w:rsid w:val="FF6F6FFE"/>
    <w:rsid w:val="FF7BF13D"/>
    <w:rsid w:val="FF943FE1"/>
    <w:rsid w:val="FF9F8E8F"/>
    <w:rsid w:val="FFABDFB3"/>
    <w:rsid w:val="FFEFF665"/>
    <w:rsid w:val="FFF72BE1"/>
    <w:rsid w:val="FFF7A85E"/>
    <w:rsid w:val="FFFBE5A1"/>
    <w:rsid w:val="FFFD413B"/>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2026-02-08T08:22:00Z</dcterms:created>
  <dc:creator>Arthur (Xiao) Dong</dc:creator>
  <cp:lastModifiedBy>Arthur (Xiao) Dong</cp:lastModifiedBy>
  <dcterms:modified xsi:type="dcterms:W3CDTF">2026-08-08T22:31:52Z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