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19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Regular" w:hAnsi="Times New Roman Regular" w:cs="Times New Roman Regular"/>
          <w:sz w:val="21"/>
          <w:szCs w:val="21"/>
          <w:u w:val="none"/>
          <w:lang w:val="en-US" w:eastAsia="zh-CN"/>
        </w:rPr>
      </w:pPr>
      <w:r>
        <w:rPr>
          <w:rFonts w:hint="eastAsia"/>
          <w:b/>
          <w:bCs/>
          <w:sz w:val="28"/>
          <w:szCs w:val="28"/>
          <w:lang w:val="en-US" w:eastAsia="zh-CN"/>
        </w:rPr>
        <w:t>商法主观专题突破第一讲课堂笔记（专题1-2）</w:t>
      </w:r>
    </w:p>
    <w:p w14:paraId="624AEA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4"/>
          <w:szCs w:val="24"/>
          <w:u w:val="none"/>
          <w:lang w:val="en-US" w:eastAsia="zh-CN"/>
        </w:rPr>
      </w:pPr>
    </w:p>
    <w:p w14:paraId="70C369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24"/>
          <w:szCs w:val="24"/>
          <w:u w:val="none"/>
          <w:lang w:val="en-US" w:eastAsia="zh-CN"/>
        </w:rPr>
      </w:pPr>
      <w:bookmarkStart w:id="0" w:name="_GoBack"/>
      <w:bookmarkEnd w:id="0"/>
      <w:r>
        <w:rPr>
          <w:rFonts w:hint="eastAsia" w:ascii="Times New Roman Regular" w:hAnsi="Times New Roman Regular" w:cs="Times New Roman Regular"/>
          <w:b/>
          <w:bCs/>
          <w:sz w:val="24"/>
          <w:szCs w:val="24"/>
          <w:u w:val="none"/>
          <w:lang w:val="en-US" w:eastAsia="zh-CN"/>
        </w:rPr>
        <w:t>【专题1:公司独立人格与公司外观主义】</w:t>
      </w:r>
    </w:p>
    <w:p w14:paraId="00867A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w:t>
      </w:r>
      <w:r>
        <w:rPr>
          <w:rFonts w:hint="eastAsia" w:ascii="Times New Roman Regular" w:hAnsi="Times New Roman Regular" w:cs="Times New Roman Regular"/>
          <w:sz w:val="21"/>
          <w:szCs w:val="21"/>
          <w:u w:val="none"/>
          <w:lang w:val="en-US" w:eastAsia="zh-CN"/>
        </w:rPr>
        <w:t>法人人格否认制度</w:t>
      </w:r>
    </w:p>
    <w:p w14:paraId="630CE6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w:t>
      </w:r>
      <w:r>
        <w:rPr>
          <w:rFonts w:hint="default" w:ascii="Times New Roman Regular" w:hAnsi="Times New Roman Regular" w:cs="Times New Roman Regular"/>
          <w:sz w:val="21"/>
          <w:szCs w:val="21"/>
          <w:u w:val="none"/>
          <w:lang w:val="en-US" w:eastAsia="zh-CN"/>
        </w:rPr>
        <w:t>法律规定</w:t>
      </w:r>
    </w:p>
    <w:p w14:paraId="12D88B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公司法人人格否认制度，是指在特定的法律关系中，如果公司股东滥用公司法人独立地位和股东有限责任，逃避债务，严重损害公司债权人利益的，应当对公司债务承担连带责任（纵向否认）</w:t>
      </w:r>
    </w:p>
    <w:p w14:paraId="46CCAB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股东利用其控制的两个以上公司实施前款规定行为的，各公司应当对任一公司的债务承担连带责任（横向否认）</w:t>
      </w:r>
    </w:p>
    <w:p w14:paraId="181719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只有一个股东的公司，股东不能证明公司财产独立于股东自己的财产的，应当对公司债务承担连带责任</w:t>
      </w:r>
    </w:p>
    <w:p w14:paraId="373D09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主要考查情形</w:t>
      </w:r>
    </w:p>
    <w:p w14:paraId="2B9A5F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1．抽逃出资；2．股东未出资或者未足额出资；3．母公司对子公司的无度操纵、干预；4．股东对公司财产混同、业务混同造成的人格混同</w:t>
      </w:r>
    </w:p>
    <w:p w14:paraId="345243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二、公司对外担保的效力认定</w:t>
      </w:r>
    </w:p>
    <w:p w14:paraId="7E1B12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1．权限审查：</w:t>
      </w:r>
    </w:p>
    <w:p w14:paraId="2390F3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（1）非关联担保（为他人）：根据章程，由董事会或股东会决议。</w:t>
      </w:r>
    </w:p>
    <w:p w14:paraId="632D03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（2）关联担保（为股东或实际控制人）：必须经股东会决议，且关联股东回避表决，由“出席会议的其他股东所持表决权的过半数通过”。</w:t>
      </w:r>
    </w:p>
    <w:p w14:paraId="338912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2．效力认定：</w:t>
      </w:r>
    </w:p>
    <w:p w14:paraId="20A04C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若决议机关正确、决议合法有效，则担保有效。</w:t>
      </w:r>
    </w:p>
    <w:p w14:paraId="2DE13F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若法定代表人越权担保，则根据相对人是否“善意”认定合同效力。</w:t>
      </w:r>
    </w:p>
    <w:p w14:paraId="230F06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善意：相对人在订立担保合同时，对公司决议进行了合理审查（形式审查，如同意决议的人数及签字人员是否符合章程），则担保合同对公司发生效力。</w:t>
      </w:r>
    </w:p>
    <w:p w14:paraId="7E8157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恶意：相对人知道或应当知道越权，担保合同对公司不发生效力，公司不承担担保责任。</w:t>
      </w:r>
    </w:p>
    <w:p w14:paraId="032FA8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3．无须决议的例外情形：</w:t>
      </w:r>
    </w:p>
    <w:p w14:paraId="2F9D26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（1）金融机构开立保函或担保公司提供担保。</w:t>
      </w:r>
    </w:p>
    <w:p w14:paraId="63444D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（2）公司为其全资子公司开展经营活动提供担保。</w:t>
      </w:r>
    </w:p>
    <w:p w14:paraId="286F5C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（3）担保合同系由单独或共同持有公司三分之二以上对担保事项有表决权的股东签字同意。</w:t>
      </w:r>
    </w:p>
    <w:p w14:paraId="56D400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（4）一人有限责任公司为其股东提供担保。</w:t>
      </w:r>
    </w:p>
    <w:p w14:paraId="35802D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三、董事、监事、高级管理人员的信义义务</w:t>
      </w:r>
    </w:p>
    <w:p w14:paraId="08EF3F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董监高的信义义务包括忠实义务与勤勉义务，是公司内部治理的核心。</w:t>
      </w:r>
    </w:p>
    <w:p w14:paraId="7803AB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1．忠实义务（避免利益冲突）</w:t>
      </w:r>
    </w:p>
    <w:p w14:paraId="6908D7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自我交易与关联交易：董监高或其关联人与本公司订立合同或进行交易，必须向董事会或股东会报告，并经决议通过。否则，公司享有归入权，即其因此所得的收入应当归公司所有。</w:t>
      </w:r>
    </w:p>
    <w:p w14:paraId="285482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篡夺公司机会：不得利用职务便利为自己或他人谋取属于公司的商业机会，除非向公司报告并经决议通过，或公司依法不能利用该机会。</w:t>
      </w:r>
    </w:p>
    <w:p w14:paraId="5132D5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竞业禁止：未经法定程序，不得自营或为他人经营与其任职公司同类的业务。</w:t>
      </w:r>
    </w:p>
    <w:p w14:paraId="718411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2．勤勉义务（积极履职）</w:t>
      </w:r>
    </w:p>
    <w:p w14:paraId="7C664B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董监高执行职务应当为公司的最大利益尽到管理者通常应有的合理注意。具体表现为核查股东出资、催缴出资、避免公司违法经营等。</w:t>
      </w:r>
    </w:p>
    <w:p w14:paraId="796ECD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3．法律责任</w:t>
      </w:r>
    </w:p>
    <w:p w14:paraId="5C5307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董监高执行职务违反法律、行政法规或章程规定，给公司造成损失的，应当承担赔偿责任。控股股东、实际控制人指示董监高从事损害公司或股东利益行为的，与该董监高承担连带责任。</w:t>
      </w:r>
    </w:p>
    <w:p w14:paraId="2966AF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四、法定代表人的表见代表制度</w:t>
      </w:r>
    </w:p>
    <w:p w14:paraId="55FBA0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法定代表人以公司名义从事的民事活动，其法律后果由公司承受。这是法定的、概括的代表权。公司章程或股东会对法定代表人职权的限制，不得对抗善意相对人。</w:t>
      </w:r>
    </w:p>
    <w:p w14:paraId="202E03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613366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【专题2:公司的设立、变更与终止】</w:t>
      </w:r>
    </w:p>
    <w:p w14:paraId="64D004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一、发起人责任</w:t>
      </w:r>
    </w:p>
    <w:p w14:paraId="3689E8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有限责任公司设立时的股东为设立公司从事的民事活动，其法律后果由公司承受。</w:t>
      </w:r>
    </w:p>
    <w:p w14:paraId="776C4B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公司未成立的，其法律后果由公司设立时的股东承受；设立时的股东为二人以上的，享有连带债权，承担连带债务。</w:t>
      </w:r>
    </w:p>
    <w:p w14:paraId="322656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设立时的股东为设立公司以自己的名义从事民事活动产生的民事责任，第三人有权选择请求公司或者公司设立时的股东承担。（此处指的是公司成立后）</w:t>
      </w:r>
    </w:p>
    <w:p w14:paraId="7BEAB3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设立时的股东因履行公司设立职责造成他人损害的，公司或者无过错的股东承担赔偿责任后，可以向有过错的股东追偿。</w:t>
      </w:r>
    </w:p>
    <w:p w14:paraId="5961F4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二、公司的合并与分立</w:t>
      </w:r>
    </w:p>
    <w:p w14:paraId="1A82B5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（一）合并</w:t>
      </w:r>
    </w:p>
    <w:p w14:paraId="4FFE05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公司合并，应当由合并各方签订合并协议，并编制资产负债表及财产清单。公司应当自作出合并决议之日起10日内通知债权人，并于30日内在报纸上或者国家企业信用信息公示系统公告。债权人自接到通知书之日起30日内，未接到通知书的自公告之日起45日内，可以要求公司清偿债务或者提供相应的担保</w:t>
      </w:r>
    </w:p>
    <w:p w14:paraId="4B11B5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（二）分立</w:t>
      </w:r>
    </w:p>
    <w:p w14:paraId="4B4EF3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公司分立，应当编制资产负债表及财产清单。公司应当自作出分立决议之日起10日内通知债权人，并于30日内在报纸上或者国家企业信用信息公示系统公告。公司分立前的债务由分立后的公司承担连带责任；但是，公司在分立前与债权人就债务清偿达成的书面协议另有约定的除外</w:t>
      </w:r>
    </w:p>
    <w:p w14:paraId="2D2F62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、公司的增资、减资</w:t>
      </w:r>
    </w:p>
    <w:p w14:paraId="43081F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（一）增资</w:t>
      </w:r>
    </w:p>
    <w:p w14:paraId="44038F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公司增资时，应当做到三点：</w:t>
      </w:r>
    </w:p>
    <w:p w14:paraId="111AF7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1．由董事会制定方案，提交股东会决议</w:t>
      </w:r>
    </w:p>
    <w:p w14:paraId="35D2B4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2．修改公司章程</w:t>
      </w:r>
    </w:p>
    <w:p w14:paraId="630874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3．向公司登记机关办理注册资本的变更登记</w:t>
      </w:r>
    </w:p>
    <w:p w14:paraId="5C68DD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有限责任公司增加注册资本时，股东在同等条件下有权优先按照实缴的出资比例认缴出资。但是，全体股东约定不按照出资比例优先认缴出资的除外</w:t>
      </w:r>
    </w:p>
    <w:p w14:paraId="32B144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（二）减资</w:t>
      </w:r>
    </w:p>
    <w:p w14:paraId="465324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1．准备：公司减少注册资本，应当编制资产负债表及财产清单</w:t>
      </w:r>
    </w:p>
    <w:p w14:paraId="517F3E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流程：公司应当自股东会作出减少注册资本决议之日起10日内通知债权人，并于30内在报纸上或者国家企业信用信息公示系统公告。债权人自接到通知之日起30日内，未接到通知的自公告之日起45日内，有权要求公司清偿债务或者提供相应的担保（形式减资除外）</w:t>
      </w:r>
    </w:p>
    <w:p w14:paraId="045D57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3．限制：公司依照形式减资的规定减少注册资本后，在法定公积金和任意公积金累计额达到公司注册资本百分之五十前，不得分配利润</w:t>
      </w:r>
    </w:p>
    <w:p w14:paraId="13BEE9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4．法律责任：违反公司法规定减少注册资本的，股东应当退还其收到的资金，减免股东出资的应当恢复原状；给公司造成损失的，股东及负有责任的董事、监事、高级管理人员应当承担赔偿责任</w:t>
      </w:r>
    </w:p>
    <w:p w14:paraId="466B97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四</w:t>
      </w:r>
      <w:r>
        <w:rPr>
          <w:rFonts w:hint="default" w:ascii="Times New Roman Regular" w:hAnsi="Times New Roman Regular" w:cs="Times New Roman Regular"/>
          <w:sz w:val="21"/>
          <w:szCs w:val="21"/>
          <w:u w:val="none"/>
          <w:lang w:val="en-US" w:eastAsia="zh-CN"/>
        </w:rPr>
        <w:t>、公司的解散</w:t>
      </w:r>
    </w:p>
    <w:p w14:paraId="537160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（一）自愿解散</w:t>
      </w:r>
    </w:p>
    <w:p w14:paraId="690380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1．公司章程规定的营业期限届满或者公司章程规定的其他解散事由出现</w:t>
      </w:r>
    </w:p>
    <w:p w14:paraId="19D4EC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2．股东会决议解散（提前解散）</w:t>
      </w:r>
    </w:p>
    <w:p w14:paraId="67E953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3．因公司合并或者分立需要解散（法定解散）</w:t>
      </w:r>
    </w:p>
    <w:p w14:paraId="40234B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（二）强制解散</w:t>
      </w:r>
    </w:p>
    <w:p w14:paraId="0583CD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依法被主管机关或人民法院吊销营业执照、责令关闭或者撤销（违法解散）</w:t>
      </w:r>
    </w:p>
    <w:p w14:paraId="3735CF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（三）司法解散</w:t>
      </w:r>
    </w:p>
    <w:p w14:paraId="6F9F88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1.条件：公司经营管理发生严重困难，继续存续会使股东利益受到重大损失，通过其他途径不能解决的（即用尽内部救济），持有公司百分之十以上表决权的股东，可以请求人民法院解散公司</w:t>
      </w:r>
    </w:p>
    <w:p w14:paraId="57D8E1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2.限制：股东以知情权、利润分配请求权等权益受到损害，或者公司亏损、财产不足以偿还全部债务，以及公司被吊销企业法人营业执照未进行清算等为由，提起解散公司诉讼的，人民法院不予受理</w:t>
      </w:r>
    </w:p>
    <w:p w14:paraId="3EEB1A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顺序：股东提起解散公司诉讼，同时又申请人民法院对公司进行清算的，人民法院对其提出的清算申请不予受理。人民法院可以告知原告，在人民法院判决解散公司后，自行组织清算或者另行申请人民法院对公司进行清算</w:t>
      </w:r>
    </w:p>
    <w:p w14:paraId="4589DF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4.效力：根据《公司法解释（二）》第6条规定，人民法院关于解散公司诉讼作出的判决，对公司全体股东具有法律约束力</w:t>
      </w:r>
    </w:p>
    <w:p w14:paraId="251049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五</w:t>
      </w:r>
      <w:r>
        <w:rPr>
          <w:rFonts w:hint="default" w:ascii="Times New Roman Regular" w:hAnsi="Times New Roman Regular" w:cs="Times New Roman Regular"/>
          <w:sz w:val="21"/>
          <w:szCs w:val="21"/>
          <w:u w:val="none"/>
          <w:lang w:val="en-US" w:eastAsia="zh-CN"/>
        </w:rPr>
        <w:t>、公司的清算</w:t>
      </w:r>
    </w:p>
    <w:p w14:paraId="2A6071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（一）自行清算</w:t>
      </w:r>
    </w:p>
    <w:p w14:paraId="7AB006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董事为公司清算义务人，应当在解散事由出现之日起十五日内组成清算组进行清算。</w:t>
      </w:r>
    </w:p>
    <w:p w14:paraId="4CDE6F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清算组由董事组成，但是公司章程另有规定或者股东会决议另选他人的除外。</w:t>
      </w:r>
    </w:p>
    <w:p w14:paraId="7FCB65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清算义务人未及时履行清算义务，给公司或者债权人造成损失的，应当承担赔偿责任</w:t>
      </w:r>
    </w:p>
    <w:p w14:paraId="279693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（二）指定清算</w:t>
      </w:r>
    </w:p>
    <w:p w14:paraId="65840F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1．怠于清算：公司应当清算，逾期不成立清算组进行清算或者成立清算组后不清算的，利害关系人可以申请人民法院指定有关人员组成清算组进行清算。人民法院应当受理该申请，并及时组织清算组进行清算</w:t>
      </w:r>
    </w:p>
    <w:p w14:paraId="26E067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2．指定清算组：公司因公司法第二百二十九条第一款第四项的规定而解散的，作出吊销营业执照、责令关闭或者撤销决定的部门或者公司登记机关，可以申请人民法院指定有关人员组成清算组进行清算。</w:t>
      </w:r>
    </w:p>
    <w:p w14:paraId="7067CF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清算组成员可以从下列人员或者机构中产生：</w:t>
      </w:r>
    </w:p>
    <w:p w14:paraId="40DD4F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（1）公司股东、董事、监事、高级管理人员</w:t>
      </w:r>
    </w:p>
    <w:p w14:paraId="03CEFC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（2）依法设立的律师事务所、会计师事务所、破产清算事务所等社会中介机构</w:t>
      </w:r>
    </w:p>
    <w:p w14:paraId="4D26C1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（3）依法设立的律师事务所、会计师事务所、破产清算事务所等社会中介机构中具备相关专业知识并取得执业资格的人员</w:t>
      </w:r>
    </w:p>
    <w:p w14:paraId="261996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（三）清算组的职权</w:t>
      </w:r>
    </w:p>
    <w:p w14:paraId="3C9C3F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1．清理公司财产，分别编制资产负债表和财产清单</w:t>
      </w:r>
    </w:p>
    <w:p w14:paraId="0D87D5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2．通知、公告债权人</w:t>
      </w:r>
    </w:p>
    <w:p w14:paraId="3B92EE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3．处理与清算有关的公司未了结的业务</w:t>
      </w:r>
    </w:p>
    <w:p w14:paraId="6C16D6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4．清缴所欠税款以及清算过程中产生的税款</w:t>
      </w:r>
    </w:p>
    <w:p w14:paraId="257ECE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5．清理债权、债务</w:t>
      </w:r>
    </w:p>
    <w:p w14:paraId="17C814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6．分配公司清偿债务后的剩余财产</w:t>
      </w:r>
    </w:p>
    <w:p w14:paraId="11F861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7．代表公司参与民事诉讼活动。</w:t>
      </w:r>
    </w:p>
    <w:p w14:paraId="2839A1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清算组应当自成立之日起十日内通知债权人，并于六十日内在报纸上或者国家企业信用信息公示系统公告。债权人应当自接到通知之日起三十日内，未接到通知的自公告之日起四十五日内，向清算组申报其债权</w:t>
      </w:r>
    </w:p>
    <w:p w14:paraId="1F6453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（四）限制</w:t>
      </w:r>
    </w:p>
    <w:p w14:paraId="06358D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1．清算期间，公司存续，但不得开展与清算无关的经营活动</w:t>
      </w:r>
    </w:p>
    <w:p w14:paraId="6FB278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2．在申报债权期间，清算组不得对债权人进行个别清偿</w:t>
      </w:r>
    </w:p>
    <w:p w14:paraId="26413B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3．公司财产分别支付清算费用、职工的工资、社会保险费用和法定补偿金，缴纳所欠税款，清偿公司债务后的剩余财产，有限责任公司按照股东的出资比例分配，股份有限公司按照股东持有的股份比例分配</w:t>
      </w:r>
    </w:p>
    <w:p w14:paraId="7A885E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（五）其他规定</w:t>
      </w:r>
    </w:p>
    <w:p w14:paraId="788561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1．清算组成员履行清算职责，负有忠实义务和勤勉义务。</w:t>
      </w:r>
    </w:p>
    <w:p w14:paraId="53F437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清算组成员怠于履行清算职责，给公司造成损失的，应当承担赔偿责任；因故意或者重大过失给债权人造成损失的，应当承担赔偿责任</w:t>
      </w:r>
    </w:p>
    <w:p w14:paraId="3F5F2C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2．公司清算结束后，清算组应当制作清算报告，报股东会或者法院确认，并报送公司登记机关，申请注销公司登记</w:t>
      </w:r>
    </w:p>
    <w:p w14:paraId="59C539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3．公司在存续期间未产生债务，或者已清偿全部债务的，经全体股东承诺，可以按照规定通过简易程序注销公司登记。</w:t>
      </w:r>
    </w:p>
    <w:p w14:paraId="76C172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通过简易程序注销公司登记，应当通过国家企业信用信息公示系统予以公告，公告期限不少于二十日。公告期限届满后，未有异议的，公司可以在二十日内向公司登记机关申请注销公司登记。</w:t>
      </w:r>
    </w:p>
    <w:p w14:paraId="5635DF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公司通过简易程序注销公司登记，股东承诺不实的，应当对注销登记前的债务承担连带责任</w:t>
      </w:r>
    </w:p>
    <w:p w14:paraId="33A200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公司被吊销营业执照、责令关闭或者被撤销，满三年未向公司登记机关申请注销公司登记的，公司登记机关可以通过国家企业信用信息公示系统予以公告，公告期限不少于六十日。公告期限届满后，未有异议的，公司登记机关可以注销公司登记。</w:t>
      </w:r>
    </w:p>
    <w:p w14:paraId="72AEB9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依照前款规定注销公司登记的，原公司股东、清算义务人的责任不受影响</w:t>
      </w:r>
    </w:p>
    <w:p w14:paraId="1F417A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0E32A9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C8E4F3"/>
    <w:rsid w:val="1BEF9C01"/>
    <w:rsid w:val="1BFB8A79"/>
    <w:rsid w:val="1C5D3137"/>
    <w:rsid w:val="1FFBBE3B"/>
    <w:rsid w:val="1FFDE82A"/>
    <w:rsid w:val="1FFE3DC8"/>
    <w:rsid w:val="1FFF9676"/>
    <w:rsid w:val="25E4E361"/>
    <w:rsid w:val="26F6FA36"/>
    <w:rsid w:val="27FBB615"/>
    <w:rsid w:val="2FD9B963"/>
    <w:rsid w:val="2FF57ABD"/>
    <w:rsid w:val="33FD09F3"/>
    <w:rsid w:val="37F9300F"/>
    <w:rsid w:val="396C1DDF"/>
    <w:rsid w:val="39BBEE6C"/>
    <w:rsid w:val="39CD9E08"/>
    <w:rsid w:val="3AA211B0"/>
    <w:rsid w:val="3D758D90"/>
    <w:rsid w:val="3DBE1238"/>
    <w:rsid w:val="3DDD8785"/>
    <w:rsid w:val="3DEE2497"/>
    <w:rsid w:val="3EFF2196"/>
    <w:rsid w:val="3EFFCDE3"/>
    <w:rsid w:val="3F362571"/>
    <w:rsid w:val="3F7D6D90"/>
    <w:rsid w:val="3FDF38B5"/>
    <w:rsid w:val="4B7F9327"/>
    <w:rsid w:val="4BFDC25C"/>
    <w:rsid w:val="4D7AF3B1"/>
    <w:rsid w:val="4F7E5D39"/>
    <w:rsid w:val="4FEF7A7F"/>
    <w:rsid w:val="5BF630B3"/>
    <w:rsid w:val="5D1E5E35"/>
    <w:rsid w:val="5D2F548A"/>
    <w:rsid w:val="5D9CC53C"/>
    <w:rsid w:val="5DBFD756"/>
    <w:rsid w:val="5E976ACE"/>
    <w:rsid w:val="5EF589B3"/>
    <w:rsid w:val="5F2FB4C6"/>
    <w:rsid w:val="5F67BE34"/>
    <w:rsid w:val="5F9FED60"/>
    <w:rsid w:val="5FDFC522"/>
    <w:rsid w:val="5FF291E1"/>
    <w:rsid w:val="63F79634"/>
    <w:rsid w:val="676B1FCF"/>
    <w:rsid w:val="6BBF548D"/>
    <w:rsid w:val="6BEE3C17"/>
    <w:rsid w:val="6CFC5835"/>
    <w:rsid w:val="6EBB24DA"/>
    <w:rsid w:val="6EBFFE06"/>
    <w:rsid w:val="6EDC6954"/>
    <w:rsid w:val="6F7FD66B"/>
    <w:rsid w:val="6FA20FB1"/>
    <w:rsid w:val="6FC75035"/>
    <w:rsid w:val="6FE9DFA5"/>
    <w:rsid w:val="6FF6B73E"/>
    <w:rsid w:val="6FF7B5C8"/>
    <w:rsid w:val="72B16660"/>
    <w:rsid w:val="72FEDFAF"/>
    <w:rsid w:val="74EF0DAF"/>
    <w:rsid w:val="75FFDC8C"/>
    <w:rsid w:val="76576194"/>
    <w:rsid w:val="777E0985"/>
    <w:rsid w:val="77BFCCB0"/>
    <w:rsid w:val="78FF9F1C"/>
    <w:rsid w:val="79B72732"/>
    <w:rsid w:val="7A8FECFA"/>
    <w:rsid w:val="7AF326B4"/>
    <w:rsid w:val="7B6D3C00"/>
    <w:rsid w:val="7B75E9C3"/>
    <w:rsid w:val="7B77E946"/>
    <w:rsid w:val="7B9D44AF"/>
    <w:rsid w:val="7BAF28C8"/>
    <w:rsid w:val="7BFFD2F7"/>
    <w:rsid w:val="7C7DDD51"/>
    <w:rsid w:val="7C9D61C3"/>
    <w:rsid w:val="7D473A11"/>
    <w:rsid w:val="7D6FDA1F"/>
    <w:rsid w:val="7D7FD33D"/>
    <w:rsid w:val="7DBDD90E"/>
    <w:rsid w:val="7DBFEFAD"/>
    <w:rsid w:val="7DE7821D"/>
    <w:rsid w:val="7DF9200D"/>
    <w:rsid w:val="7E3F6002"/>
    <w:rsid w:val="7EFF1AA0"/>
    <w:rsid w:val="7EFFC158"/>
    <w:rsid w:val="7F398CB3"/>
    <w:rsid w:val="7F3B9F4C"/>
    <w:rsid w:val="7F3C3286"/>
    <w:rsid w:val="7F695405"/>
    <w:rsid w:val="7F6B748A"/>
    <w:rsid w:val="7F7A0ADA"/>
    <w:rsid w:val="7FB49696"/>
    <w:rsid w:val="7FB797CE"/>
    <w:rsid w:val="7FBF0F91"/>
    <w:rsid w:val="7FE7235C"/>
    <w:rsid w:val="7FF72ECF"/>
    <w:rsid w:val="7FFCE884"/>
    <w:rsid w:val="8ABEE47C"/>
    <w:rsid w:val="8BFB340A"/>
    <w:rsid w:val="956F2544"/>
    <w:rsid w:val="957F8B5D"/>
    <w:rsid w:val="99FF3808"/>
    <w:rsid w:val="AEAF67DC"/>
    <w:rsid w:val="AECFAD74"/>
    <w:rsid w:val="AED07A5A"/>
    <w:rsid w:val="AEFFF231"/>
    <w:rsid w:val="AF7349BF"/>
    <w:rsid w:val="B1FDE468"/>
    <w:rsid w:val="B3EEDF3F"/>
    <w:rsid w:val="B3FEA9EF"/>
    <w:rsid w:val="B61785CE"/>
    <w:rsid w:val="B7FEF551"/>
    <w:rsid w:val="BBD68691"/>
    <w:rsid w:val="BDE3808C"/>
    <w:rsid w:val="BE470E73"/>
    <w:rsid w:val="BFD7C2A8"/>
    <w:rsid w:val="BFDF5E9D"/>
    <w:rsid w:val="BFFFC478"/>
    <w:rsid w:val="C2FF7057"/>
    <w:rsid w:val="CBDA46FA"/>
    <w:rsid w:val="CDF9AD73"/>
    <w:rsid w:val="CEAF22DB"/>
    <w:rsid w:val="CFABA3EB"/>
    <w:rsid w:val="CFBDAEF9"/>
    <w:rsid w:val="CFFF1593"/>
    <w:rsid w:val="D7F8DDAE"/>
    <w:rsid w:val="D99D7B6E"/>
    <w:rsid w:val="DBF64670"/>
    <w:rsid w:val="DE4FF25C"/>
    <w:rsid w:val="DE5EFF5E"/>
    <w:rsid w:val="DFDD6831"/>
    <w:rsid w:val="E5718167"/>
    <w:rsid w:val="E59B90E9"/>
    <w:rsid w:val="E5AB3AAB"/>
    <w:rsid w:val="E5DD9418"/>
    <w:rsid w:val="E787CCF8"/>
    <w:rsid w:val="E7BFCB01"/>
    <w:rsid w:val="E7EF776D"/>
    <w:rsid w:val="E9F63188"/>
    <w:rsid w:val="EA3CD53D"/>
    <w:rsid w:val="EB6E8309"/>
    <w:rsid w:val="EBD730EB"/>
    <w:rsid w:val="EC2D9E1A"/>
    <w:rsid w:val="EECA7655"/>
    <w:rsid w:val="EF06E542"/>
    <w:rsid w:val="EF73E6F1"/>
    <w:rsid w:val="EF7FB042"/>
    <w:rsid w:val="EFB7ADF2"/>
    <w:rsid w:val="EFCFFD3A"/>
    <w:rsid w:val="EFDF470A"/>
    <w:rsid w:val="EFDFF3E6"/>
    <w:rsid w:val="EFE712E6"/>
    <w:rsid w:val="EFE74EAF"/>
    <w:rsid w:val="EFF7C6A6"/>
    <w:rsid w:val="F0D7EC59"/>
    <w:rsid w:val="F0DE3C2E"/>
    <w:rsid w:val="F1B927A4"/>
    <w:rsid w:val="F3FF92B4"/>
    <w:rsid w:val="F54E1163"/>
    <w:rsid w:val="F56E2A6E"/>
    <w:rsid w:val="F5EEDA60"/>
    <w:rsid w:val="F5EFB180"/>
    <w:rsid w:val="F6DFFC0C"/>
    <w:rsid w:val="F73F225B"/>
    <w:rsid w:val="FABE4737"/>
    <w:rsid w:val="FAFD0978"/>
    <w:rsid w:val="FB3760F9"/>
    <w:rsid w:val="FB3FDD72"/>
    <w:rsid w:val="FBDF91EB"/>
    <w:rsid w:val="FBDF9839"/>
    <w:rsid w:val="FBFB9313"/>
    <w:rsid w:val="FBFF7EF4"/>
    <w:rsid w:val="FCEF4E65"/>
    <w:rsid w:val="FD375179"/>
    <w:rsid w:val="FD6C9E97"/>
    <w:rsid w:val="FD6EB3EE"/>
    <w:rsid w:val="FDBDD900"/>
    <w:rsid w:val="FDF59568"/>
    <w:rsid w:val="FE7F8EB7"/>
    <w:rsid w:val="FEA64923"/>
    <w:rsid w:val="FED731CE"/>
    <w:rsid w:val="FED769C8"/>
    <w:rsid w:val="FEFE8315"/>
    <w:rsid w:val="FF3362C6"/>
    <w:rsid w:val="FF6F6FFE"/>
    <w:rsid w:val="FF7BF13D"/>
    <w:rsid w:val="FF943FE1"/>
    <w:rsid w:val="FF9F8E8F"/>
    <w:rsid w:val="FFABDFB3"/>
    <w:rsid w:val="FFEFF665"/>
    <w:rsid w:val="FFF72BE1"/>
    <w:rsid w:val="FFF7A85E"/>
    <w:rsid w:val="FFFBE5A1"/>
    <w:rsid w:val="FFFD413B"/>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2026-02-08T00:22:00Z</dcterms:created>
  <dc:creator>Arthur (Xiao) Dong</dc:creator>
  <cp:lastModifiedBy>Arthur (Xiao) Dong</cp:lastModifiedBy>
  <dcterms:modified xsi:type="dcterms:W3CDTF">2026-08-07T22:24:29Z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