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90A6" w14:textId="2FE938A4" w:rsidR="0028408B" w:rsidRPr="00E61F8B" w:rsidRDefault="0028408B" w:rsidP="009C70C2">
      <w:pPr>
        <w:pStyle w:val="1"/>
        <w:spacing w:before="0" w:after="0" w:line="240" w:lineRule="exact"/>
        <w:contextualSpacing/>
        <w:jc w:val="center"/>
        <w:rPr>
          <w:rFonts w:ascii="宋体" w:hAnsi="宋体" w:cs="汉仪大宋简" w:hint="eastAsia"/>
          <w:sz w:val="21"/>
          <w:szCs w:val="21"/>
        </w:rPr>
      </w:pPr>
      <w:bookmarkStart w:id="0" w:name="_Toc4844152"/>
      <w:bookmarkStart w:id="1" w:name="_Toc781"/>
      <w:bookmarkStart w:id="2" w:name="_Toc137116766"/>
      <w:bookmarkStart w:id="3" w:name="_Toc4844158"/>
      <w:bookmarkStart w:id="4" w:name="_Toc17246"/>
      <w:bookmarkStart w:id="5" w:name="_Toc137116767"/>
      <w:r w:rsidRPr="00E61F8B">
        <w:rPr>
          <w:rFonts w:ascii="宋体" w:hAnsi="宋体" w:cs="汉仪大宋简" w:hint="eastAsia"/>
          <w:sz w:val="21"/>
          <w:szCs w:val="21"/>
        </w:rPr>
        <w:t>专题七</w:t>
      </w:r>
      <w:r w:rsidRPr="00E61F8B">
        <w:rPr>
          <w:rFonts w:ascii="宋体" w:hAnsi="宋体" w:cs="汉仪大宋简"/>
          <w:sz w:val="21"/>
          <w:szCs w:val="21"/>
        </w:rPr>
        <w:t xml:space="preserve">  </w:t>
      </w:r>
      <w:r w:rsidRPr="00E61F8B">
        <w:rPr>
          <w:rFonts w:ascii="宋体" w:hAnsi="宋体" w:cs="汉仪大宋简" w:hint="eastAsia"/>
          <w:sz w:val="21"/>
          <w:szCs w:val="21"/>
        </w:rPr>
        <w:t>认罪认罚从宽制度、速裁程序与简易程序剩余内容（</w:t>
      </w:r>
      <w:r w:rsidR="00841D5E" w:rsidRPr="00E61F8B">
        <w:rPr>
          <w:rFonts w:ascii="宋体" w:hAnsi="宋体" w:cs="汉仪大宋简" w:hint="eastAsia"/>
          <w:sz w:val="21"/>
          <w:szCs w:val="21"/>
        </w:rPr>
        <w:t>19</w:t>
      </w:r>
      <w:r w:rsidRPr="00E61F8B">
        <w:rPr>
          <w:rFonts w:ascii="宋体" w:hAnsi="宋体" w:cs="汉仪大宋简"/>
          <w:sz w:val="21"/>
          <w:szCs w:val="21"/>
        </w:rPr>
        <w:t>:</w:t>
      </w:r>
      <w:r w:rsidR="00841D5E" w:rsidRPr="00E61F8B">
        <w:rPr>
          <w:rFonts w:ascii="宋体" w:hAnsi="宋体" w:cs="汉仪大宋简" w:hint="eastAsia"/>
          <w:sz w:val="21"/>
          <w:szCs w:val="21"/>
        </w:rPr>
        <w:t>30</w:t>
      </w:r>
      <w:r w:rsidRPr="00E61F8B">
        <w:rPr>
          <w:rFonts w:ascii="宋体" w:hAnsi="宋体" w:cs="汉仪大宋简"/>
          <w:sz w:val="21"/>
          <w:szCs w:val="21"/>
        </w:rPr>
        <w:t>:00-</w:t>
      </w:r>
      <w:r w:rsidR="009F607B" w:rsidRPr="00E61F8B">
        <w:rPr>
          <w:rFonts w:ascii="宋体" w:hAnsi="宋体" w:cs="汉仪大宋简" w:hint="eastAsia"/>
          <w:sz w:val="21"/>
          <w:szCs w:val="21"/>
        </w:rPr>
        <w:t>20</w:t>
      </w:r>
      <w:r w:rsidRPr="00E61F8B">
        <w:rPr>
          <w:rFonts w:ascii="宋体" w:hAnsi="宋体" w:cs="汉仪大宋简"/>
          <w:sz w:val="21"/>
          <w:szCs w:val="21"/>
        </w:rPr>
        <w:t>:</w:t>
      </w:r>
      <w:r w:rsidR="009F607B" w:rsidRPr="00E61F8B">
        <w:rPr>
          <w:rFonts w:ascii="宋体" w:hAnsi="宋体" w:cs="汉仪大宋简" w:hint="eastAsia"/>
          <w:sz w:val="21"/>
          <w:szCs w:val="21"/>
        </w:rPr>
        <w:t>2</w:t>
      </w:r>
      <w:r w:rsidRPr="00E61F8B">
        <w:rPr>
          <w:rFonts w:ascii="宋体" w:hAnsi="宋体" w:cs="汉仪大宋简" w:hint="eastAsia"/>
          <w:sz w:val="21"/>
          <w:szCs w:val="21"/>
        </w:rPr>
        <w:t>3</w:t>
      </w:r>
      <w:r w:rsidRPr="00E61F8B">
        <w:rPr>
          <w:rFonts w:ascii="宋体" w:hAnsi="宋体" w:cs="汉仪大宋简"/>
          <w:sz w:val="21"/>
          <w:szCs w:val="21"/>
        </w:rPr>
        <w:t>:00）</w:t>
      </w:r>
    </w:p>
    <w:p w14:paraId="0A63198F" w14:textId="73958A67" w:rsidR="0028408B" w:rsidRPr="00E61F8B" w:rsidRDefault="007631F3" w:rsidP="009C70C2">
      <w:pPr>
        <w:spacing w:line="240" w:lineRule="exact"/>
        <w:ind w:firstLineChars="200" w:firstLine="420"/>
        <w:contextualSpacing/>
        <w:jc w:val="left"/>
        <w:rPr>
          <w:rFonts w:cs="汉仪大宋简" w:hint="eastAsia"/>
          <w:bCs/>
          <w:color w:val="auto"/>
        </w:rPr>
      </w:pPr>
      <w:r w:rsidRPr="00E61F8B">
        <w:rPr>
          <w:rFonts w:cs="汉仪大宋简" w:hint="eastAsia"/>
          <w:bCs/>
          <w:color w:val="auto"/>
        </w:rPr>
        <w:t>二</w:t>
      </w:r>
      <w:r w:rsidR="0028408B" w:rsidRPr="00E61F8B">
        <w:rPr>
          <w:rFonts w:cs="汉仪大宋简" w:hint="eastAsia"/>
          <w:bCs/>
          <w:color w:val="auto"/>
        </w:rPr>
        <w:t>、速裁程序的适用</w:t>
      </w:r>
    </w:p>
    <w:p w14:paraId="16D836A7" w14:textId="77777777" w:rsidR="0028408B" w:rsidRPr="00E61F8B" w:rsidRDefault="0028408B" w:rsidP="009C70C2">
      <w:pPr>
        <w:spacing w:line="240" w:lineRule="exact"/>
        <w:ind w:firstLineChars="200" w:firstLine="420"/>
        <w:contextualSpacing/>
        <w:rPr>
          <w:rFonts w:cs="汉仪大宋简" w:hint="eastAsia"/>
          <w:bCs/>
          <w:color w:val="auto"/>
        </w:rPr>
      </w:pPr>
      <w:r w:rsidRPr="00E61F8B">
        <w:rPr>
          <w:rFonts w:cs="汉仪大宋简" w:hint="eastAsia"/>
          <w:bCs/>
          <w:color w:val="auto"/>
        </w:rPr>
        <w:t>（一）</w:t>
      </w:r>
      <w:r w:rsidRPr="00E61F8B">
        <w:rPr>
          <w:rFonts w:cs="汉仪大宋简"/>
          <w:bCs/>
          <w:color w:val="auto"/>
        </w:rPr>
        <w:t>速裁程序的适用</w:t>
      </w:r>
      <w:r w:rsidRPr="00E61F8B">
        <w:rPr>
          <w:rFonts w:cs="汉仪大宋简" w:hint="eastAsia"/>
          <w:bCs/>
          <w:color w:val="auto"/>
        </w:rPr>
        <w:t>范围：</w:t>
      </w:r>
      <w:r w:rsidRPr="00E61F8B">
        <w:rPr>
          <w:rFonts w:cs="Times New Roman"/>
          <w:color w:val="B00824"/>
        </w:rPr>
        <w:t>基层人民法院管辖的可能判处三年有期徒刑以下刑罚的案件，案件事实清楚，证据确实、充分，被告人认罪认罚并同意适用速裁程序的，可以适用速裁程序，由审判员一人独任审判</w:t>
      </w:r>
      <w:r w:rsidRPr="00E61F8B">
        <w:rPr>
          <w:rFonts w:cs="Times New Roman"/>
        </w:rPr>
        <w:t>。人民检察院提起公诉时，可以建议人民法院适用速裁程序。</w:t>
      </w:r>
      <w:r w:rsidRPr="00E61F8B">
        <w:rPr>
          <w:rFonts w:cs="Times New Roman"/>
          <w:color w:val="B00824"/>
        </w:rPr>
        <w:t>有下列情形之一的，不适用速裁程序办理</w:t>
      </w:r>
      <w:r w:rsidRPr="00E61F8B">
        <w:rPr>
          <w:rFonts w:cs="Times New Roman"/>
        </w:rPr>
        <w:t>：</w:t>
      </w:r>
      <w:r w:rsidRPr="00E61F8B">
        <w:rPr>
          <w:rFonts w:hint="eastAsia"/>
          <w:color w:val="auto"/>
        </w:rPr>
        <w:t>1．</w:t>
      </w:r>
      <w:r w:rsidRPr="00E61F8B">
        <w:rPr>
          <w:color w:val="auto"/>
        </w:rPr>
        <w:t>被告人是盲、聋、哑人，或者是尚未完全丧失辨认或者控制自己行为能力的精神病人的</w:t>
      </w:r>
      <w:r w:rsidRPr="00E61F8B">
        <w:rPr>
          <w:rFonts w:hint="eastAsia"/>
          <w:color w:val="auto"/>
        </w:rPr>
        <w:t>；2．</w:t>
      </w:r>
      <w:r w:rsidRPr="00E61F8B">
        <w:rPr>
          <w:color w:val="auto"/>
        </w:rPr>
        <w:t>被告人是未成年人的</w:t>
      </w:r>
      <w:r w:rsidRPr="00E61F8B">
        <w:rPr>
          <w:rFonts w:hint="eastAsia"/>
          <w:color w:val="auto"/>
        </w:rPr>
        <w:t>；3．</w:t>
      </w:r>
      <w:r w:rsidRPr="00E61F8B">
        <w:rPr>
          <w:color w:val="auto"/>
        </w:rPr>
        <w:t>案件有重大社会影响的</w:t>
      </w:r>
      <w:r w:rsidRPr="00E61F8B">
        <w:rPr>
          <w:rFonts w:hint="eastAsia"/>
          <w:color w:val="auto"/>
        </w:rPr>
        <w:t>；4．</w:t>
      </w:r>
      <w:r w:rsidRPr="00E61F8B">
        <w:rPr>
          <w:color w:val="auto"/>
        </w:rPr>
        <w:t>共同犯罪案件中部分被告人对指控的犯罪事实、罪名、量刑建议或者适用速裁程序有异议的</w:t>
      </w:r>
      <w:r w:rsidRPr="00E61F8B">
        <w:rPr>
          <w:rFonts w:hint="eastAsia"/>
          <w:color w:val="auto"/>
        </w:rPr>
        <w:t>；5．</w:t>
      </w:r>
      <w:r w:rsidRPr="00E61F8B">
        <w:rPr>
          <w:color w:val="auto"/>
        </w:rPr>
        <w:t>被告人与被害人或者其法定代理人没有就附带民事诉讼赔偿等事项达成调解或者和解协议的</w:t>
      </w:r>
      <w:r w:rsidRPr="00E61F8B">
        <w:rPr>
          <w:rFonts w:hint="eastAsia"/>
          <w:color w:val="auto"/>
        </w:rPr>
        <w:t>；6．辩护人作无罪辩护的</w:t>
      </w:r>
    </w:p>
    <w:p w14:paraId="7FB564E1" w14:textId="77777777" w:rsidR="0028408B" w:rsidRPr="00E61F8B" w:rsidRDefault="0028408B" w:rsidP="009C70C2">
      <w:pPr>
        <w:spacing w:line="240" w:lineRule="exact"/>
        <w:ind w:firstLineChars="200" w:firstLine="420"/>
        <w:contextualSpacing/>
        <w:rPr>
          <w:rFonts w:cs="汉仪大宋简" w:hint="eastAsia"/>
          <w:bCs/>
          <w:color w:val="auto"/>
        </w:rPr>
      </w:pPr>
      <w:r w:rsidRPr="00E61F8B">
        <w:rPr>
          <w:rFonts w:cs="汉仪大宋简" w:hint="eastAsia"/>
          <w:bCs/>
          <w:color w:val="auto"/>
        </w:rPr>
        <w:t>（二）速裁程序的启动：</w:t>
      </w:r>
      <w:r w:rsidRPr="00E61F8B">
        <w:rPr>
          <w:rFonts w:cs="Times New Roman" w:hint="eastAsia"/>
        </w:rPr>
        <w:t>对人民检察院</w:t>
      </w:r>
      <w:r w:rsidRPr="00E61F8B">
        <w:rPr>
          <w:rFonts w:cs="Times New Roman" w:hint="eastAsia"/>
          <w:color w:val="B00824"/>
        </w:rPr>
        <w:t>未建议适用速裁程序的案件</w:t>
      </w:r>
      <w:r w:rsidRPr="00E61F8B">
        <w:rPr>
          <w:rFonts w:cs="Times New Roman" w:hint="eastAsia"/>
        </w:rPr>
        <w:t>，人民法院经审查认为符合速裁程序适用条件的，</w:t>
      </w:r>
      <w:r w:rsidRPr="00E61F8B">
        <w:rPr>
          <w:rFonts w:cs="Times New Roman" w:hint="eastAsia"/>
          <w:color w:val="B00824"/>
        </w:rPr>
        <w:t>可以决定适用速裁程序</w:t>
      </w:r>
      <w:r w:rsidRPr="00E61F8B">
        <w:rPr>
          <w:rFonts w:cs="Times New Roman" w:hint="eastAsia"/>
        </w:rPr>
        <w:t>，并在开庭前通知人民检察院和辩护人。被告人及其辩护人</w:t>
      </w:r>
      <w:r w:rsidRPr="00E61F8B">
        <w:rPr>
          <w:rFonts w:cs="Times New Roman" w:hint="eastAsia"/>
          <w:color w:val="B00824"/>
        </w:rPr>
        <w:t>可以向人民法院提出适用速裁</w:t>
      </w:r>
      <w:r w:rsidRPr="00E61F8B">
        <w:rPr>
          <w:rFonts w:cs="Times New Roman" w:hint="eastAsia"/>
        </w:rPr>
        <w:t>程序的申请。</w:t>
      </w:r>
    </w:p>
    <w:p w14:paraId="6CEBFF20" w14:textId="77777777" w:rsidR="0028408B" w:rsidRPr="00E61F8B" w:rsidRDefault="0028408B" w:rsidP="009C70C2">
      <w:pPr>
        <w:spacing w:line="240" w:lineRule="exact"/>
        <w:ind w:firstLineChars="200" w:firstLine="420"/>
        <w:contextualSpacing/>
        <w:rPr>
          <w:rFonts w:cs="汉仪大宋简" w:hint="eastAsia"/>
          <w:bCs/>
          <w:color w:val="auto"/>
        </w:rPr>
      </w:pPr>
      <w:r w:rsidRPr="00E61F8B">
        <w:rPr>
          <w:rFonts w:cs="汉仪大宋简" w:hint="eastAsia"/>
          <w:bCs/>
          <w:color w:val="auto"/>
        </w:rPr>
        <w:t>（三）</w:t>
      </w:r>
      <w:r w:rsidRPr="00E61F8B">
        <w:rPr>
          <w:rFonts w:cs="汉仪大宋简"/>
          <w:bCs/>
          <w:color w:val="auto"/>
        </w:rPr>
        <w:t>速裁程序的审理期限</w:t>
      </w:r>
      <w:r w:rsidRPr="00E61F8B">
        <w:rPr>
          <w:rFonts w:cs="汉仪大宋简" w:hint="eastAsia"/>
          <w:bCs/>
          <w:color w:val="auto"/>
        </w:rPr>
        <w:t>：</w:t>
      </w:r>
      <w:r w:rsidRPr="00E61F8B">
        <w:rPr>
          <w:rFonts w:cs="Times New Roman"/>
          <w:color w:val="B00824"/>
        </w:rPr>
        <w:t>受理后十日以内审结</w:t>
      </w:r>
      <w:r w:rsidRPr="00E61F8B">
        <w:rPr>
          <w:rFonts w:cs="Times New Roman" w:hint="eastAsia"/>
        </w:rPr>
        <w:t>；</w:t>
      </w:r>
      <w:r w:rsidRPr="00E61F8B">
        <w:rPr>
          <w:rFonts w:cs="Times New Roman"/>
        </w:rPr>
        <w:t>对可能判处的有期徒刑超过一年的，</w:t>
      </w:r>
      <w:r w:rsidRPr="00E61F8B">
        <w:rPr>
          <w:rFonts w:cs="Times New Roman"/>
          <w:color w:val="B00824"/>
        </w:rPr>
        <w:t>应当在十五日以内审结</w:t>
      </w:r>
      <w:r w:rsidRPr="00E61F8B">
        <w:rPr>
          <w:rFonts w:cs="Times New Roman"/>
        </w:rPr>
        <w:t>。</w:t>
      </w:r>
    </w:p>
    <w:p w14:paraId="34A76457" w14:textId="77777777" w:rsidR="0028408B" w:rsidRPr="00E61F8B" w:rsidRDefault="0028408B" w:rsidP="009C70C2">
      <w:pPr>
        <w:spacing w:line="240" w:lineRule="exact"/>
        <w:ind w:firstLineChars="200" w:firstLine="420"/>
        <w:contextualSpacing/>
        <w:rPr>
          <w:rFonts w:cs="汉仪大宋简" w:hint="eastAsia"/>
          <w:bCs/>
          <w:color w:val="auto"/>
        </w:rPr>
      </w:pPr>
      <w:r w:rsidRPr="00E61F8B">
        <w:rPr>
          <w:rFonts w:cs="汉仪大宋简" w:hint="eastAsia"/>
          <w:bCs/>
          <w:color w:val="auto"/>
        </w:rPr>
        <w:t>（四）</w:t>
      </w:r>
      <w:r w:rsidRPr="00E61F8B">
        <w:rPr>
          <w:rFonts w:cs="汉仪大宋简"/>
          <w:bCs/>
          <w:color w:val="auto"/>
        </w:rPr>
        <w:t>速裁案件的审理程序</w:t>
      </w:r>
      <w:r w:rsidRPr="00E61F8B">
        <w:rPr>
          <w:rFonts w:cs="汉仪大宋简" w:hint="eastAsia"/>
          <w:bCs/>
          <w:color w:val="auto"/>
        </w:rPr>
        <w:t>：</w:t>
      </w:r>
      <w:r w:rsidRPr="00E61F8B">
        <w:rPr>
          <w:rFonts w:cs="Times New Roman"/>
          <w:color w:val="B00824"/>
        </w:rPr>
        <w:t>不受刑事诉讼法规定的送达期限的限制，一般不进行法庭调查、法庭辩论</w:t>
      </w:r>
      <w:r w:rsidRPr="00E61F8B">
        <w:rPr>
          <w:rFonts w:cs="Times New Roman"/>
        </w:rPr>
        <w:t>，但在</w:t>
      </w:r>
      <w:r w:rsidRPr="00E61F8B">
        <w:rPr>
          <w:rFonts w:cs="Times New Roman"/>
          <w:color w:val="B00824"/>
        </w:rPr>
        <w:t>判决宣告前应当听取辩护人的意见和被告人的最后陈述意见</w:t>
      </w:r>
      <w:r w:rsidRPr="00E61F8B">
        <w:rPr>
          <w:rFonts w:cs="Times New Roman"/>
        </w:rPr>
        <w:t>。</w:t>
      </w:r>
      <w:r w:rsidRPr="00E61F8B">
        <w:rPr>
          <w:rFonts w:cs="Times New Roman"/>
          <w:color w:val="B00824"/>
        </w:rPr>
        <w:t>可以集中开庭，逐案审理</w:t>
      </w:r>
      <w:r w:rsidRPr="00E61F8B">
        <w:rPr>
          <w:rFonts w:cs="Times New Roman"/>
        </w:rPr>
        <w:t>。</w:t>
      </w:r>
      <w:r w:rsidRPr="00E61F8B">
        <w:rPr>
          <w:rFonts w:cs="Times New Roman"/>
          <w:color w:val="B00824"/>
        </w:rPr>
        <w:t>应当当庭宣判</w:t>
      </w:r>
      <w:r w:rsidRPr="00E61F8B">
        <w:rPr>
          <w:rFonts w:cs="Times New Roman"/>
        </w:rPr>
        <w:t>。</w:t>
      </w:r>
      <w:r w:rsidRPr="00E61F8B">
        <w:rPr>
          <w:rFonts w:cs="Times New Roman"/>
          <w:color w:val="B00824"/>
        </w:rPr>
        <w:t>集中审理的，可以集中当庭宣判</w:t>
      </w:r>
      <w:r w:rsidRPr="00E61F8B">
        <w:rPr>
          <w:rFonts w:cs="Times New Roman"/>
        </w:rPr>
        <w:t>。</w:t>
      </w:r>
    </w:p>
    <w:p w14:paraId="14C11EDF" w14:textId="77777777" w:rsidR="0028408B" w:rsidRPr="00E61F8B" w:rsidRDefault="0028408B" w:rsidP="009C70C2">
      <w:pPr>
        <w:spacing w:line="240" w:lineRule="exact"/>
        <w:ind w:firstLineChars="200" w:firstLine="420"/>
        <w:contextualSpacing/>
        <w:rPr>
          <w:rFonts w:cs="汉仪大宋简" w:hint="eastAsia"/>
          <w:bCs/>
          <w:color w:val="auto"/>
        </w:rPr>
      </w:pPr>
      <w:r w:rsidRPr="00E61F8B">
        <w:rPr>
          <w:rFonts w:cs="汉仪大宋简" w:hint="eastAsia"/>
          <w:bCs/>
          <w:color w:val="auto"/>
        </w:rPr>
        <w:t>（五）</w:t>
      </w:r>
      <w:r w:rsidRPr="00E61F8B">
        <w:rPr>
          <w:rFonts w:cs="汉仪大宋简"/>
          <w:bCs/>
          <w:color w:val="auto"/>
        </w:rPr>
        <w:t>速裁案件的二审程序</w:t>
      </w:r>
    </w:p>
    <w:p w14:paraId="4FCA0C81" w14:textId="77777777" w:rsidR="0028408B" w:rsidRPr="00E61F8B" w:rsidRDefault="0028408B" w:rsidP="009C70C2">
      <w:pPr>
        <w:spacing w:line="240" w:lineRule="exact"/>
        <w:ind w:firstLineChars="200" w:firstLine="420"/>
        <w:contextualSpacing/>
        <w:rPr>
          <w:rFonts w:cs="Times New Roman" w:hint="eastAsia"/>
          <w:color w:val="auto"/>
        </w:rPr>
      </w:pPr>
      <w:r w:rsidRPr="00E61F8B">
        <w:rPr>
          <w:rFonts w:cs="Times New Roman"/>
        </w:rPr>
        <w:t>被告人不服适用速裁程序作出的第一审判决提出上诉的案件，</w:t>
      </w:r>
      <w:r w:rsidRPr="00E61F8B">
        <w:rPr>
          <w:rFonts w:cs="Times New Roman"/>
          <w:color w:val="B00824"/>
        </w:rPr>
        <w:t>可以不开庭审理</w:t>
      </w:r>
      <w:r w:rsidRPr="00E61F8B">
        <w:rPr>
          <w:rFonts w:cs="Times New Roman"/>
        </w:rPr>
        <w:t>。第二审人民法院审查后，按照下列情形分别处理：</w:t>
      </w:r>
      <w:r w:rsidRPr="00E61F8B">
        <w:rPr>
          <w:rFonts w:hint="eastAsia"/>
          <w:color w:val="auto"/>
        </w:rPr>
        <w:t>1．</w:t>
      </w:r>
      <w:r w:rsidRPr="00E61F8B">
        <w:rPr>
          <w:color w:val="auto"/>
        </w:rPr>
        <w:t>发现被告人以事实不清、证据不足为由提出上诉的，应当裁定撤销原判，发回原审人民法院适用普通程序重新审理，不再按认罪认罚案件从宽处罚</w:t>
      </w:r>
      <w:r w:rsidRPr="00E61F8B">
        <w:rPr>
          <w:rFonts w:hint="eastAsia"/>
          <w:color w:val="auto"/>
        </w:rPr>
        <w:t>；2．</w:t>
      </w:r>
      <w:r w:rsidRPr="00E61F8B">
        <w:rPr>
          <w:color w:val="auto"/>
        </w:rPr>
        <w:t>发现被告人以量刑不当为由提出上诉的，原判量刑适当的，应当裁定驳回上诉，维持原判</w:t>
      </w:r>
      <w:r w:rsidRPr="00E61F8B">
        <w:rPr>
          <w:rFonts w:hint="eastAsia"/>
          <w:color w:val="auto"/>
        </w:rPr>
        <w:t>；</w:t>
      </w:r>
      <w:r w:rsidRPr="00E61F8B">
        <w:rPr>
          <w:color w:val="auto"/>
        </w:rPr>
        <w:t>原判量刑不当的，经审理后依法改判。</w:t>
      </w:r>
    </w:p>
    <w:p w14:paraId="154E933F" w14:textId="77777777" w:rsidR="0028408B" w:rsidRPr="00E61F8B" w:rsidRDefault="0028408B" w:rsidP="009C70C2">
      <w:pPr>
        <w:spacing w:line="240" w:lineRule="exact"/>
        <w:ind w:firstLineChars="200" w:firstLine="420"/>
        <w:contextualSpacing/>
        <w:jc w:val="left"/>
        <w:rPr>
          <w:rFonts w:cs="汉仪大宋简" w:hint="eastAsia"/>
          <w:bCs/>
          <w:color w:val="auto"/>
        </w:rPr>
      </w:pPr>
      <w:r w:rsidRPr="00E61F8B">
        <w:rPr>
          <w:rFonts w:cs="汉仪大宋简" w:hint="eastAsia"/>
          <w:bCs/>
          <w:color w:val="auto"/>
        </w:rPr>
        <w:t>（六）程序转化</w:t>
      </w:r>
    </w:p>
    <w:p w14:paraId="02739E53" w14:textId="2C440CCF" w:rsidR="0028408B" w:rsidRPr="00E61F8B" w:rsidRDefault="0028408B" w:rsidP="009C70C2">
      <w:pPr>
        <w:spacing w:line="240" w:lineRule="exact"/>
        <w:ind w:firstLineChars="200" w:firstLine="420"/>
        <w:contextualSpacing/>
        <w:rPr>
          <w:rFonts w:cs="Times New Roman" w:hint="eastAsia"/>
          <w:color w:val="auto"/>
        </w:rPr>
      </w:pPr>
      <w:r w:rsidRPr="00E61F8B">
        <w:rPr>
          <w:rFonts w:cs="Times New Roman" w:hint="eastAsia"/>
        </w:rPr>
        <w:t>在适用速裁程序审理案件，在法庭审理过程中，具有下列情形之一的，应当转为普通程序或者简易程序审理：</w:t>
      </w:r>
      <w:r w:rsidR="00D926F5" w:rsidRPr="00E61F8B">
        <w:rPr>
          <w:rFonts w:cs="Times New Roman" w:hint="eastAsia"/>
        </w:rPr>
        <w:t>1.</w:t>
      </w:r>
      <w:r w:rsidRPr="00E61F8B">
        <w:rPr>
          <w:rFonts w:cs="Times New Roman" w:hint="eastAsia"/>
        </w:rPr>
        <w:t>被告人的行为可能不构成犯罪或者不应当追究刑事责任的；</w:t>
      </w:r>
      <w:r w:rsidR="00D926F5" w:rsidRPr="00E61F8B">
        <w:rPr>
          <w:rFonts w:cs="Times New Roman" w:hint="eastAsia"/>
        </w:rPr>
        <w:t>2.</w:t>
      </w:r>
      <w:r w:rsidRPr="00E61F8B">
        <w:rPr>
          <w:rFonts w:cs="Times New Roman" w:hint="eastAsia"/>
        </w:rPr>
        <w:t>被告人违背意愿认罪认罚的；</w:t>
      </w:r>
      <w:r w:rsidR="00D926F5" w:rsidRPr="00E61F8B">
        <w:rPr>
          <w:rFonts w:cs="Times New Roman" w:hint="eastAsia"/>
        </w:rPr>
        <w:t>3.</w:t>
      </w:r>
      <w:r w:rsidRPr="00E61F8B">
        <w:rPr>
          <w:rFonts w:cs="Times New Roman" w:hint="eastAsia"/>
        </w:rPr>
        <w:t>被告人否认指控的犯罪事实的；</w:t>
      </w:r>
      <w:r w:rsidR="00D926F5" w:rsidRPr="00E61F8B">
        <w:rPr>
          <w:rFonts w:cs="Times New Roman" w:hint="eastAsia"/>
        </w:rPr>
        <w:t>4.</w:t>
      </w:r>
      <w:r w:rsidRPr="00E61F8B">
        <w:rPr>
          <w:rFonts w:cs="Times New Roman" w:hint="eastAsia"/>
        </w:rPr>
        <w:t>案件疑难、复杂或者对适用法律有重大争议的</w:t>
      </w:r>
      <w:r w:rsidRPr="00E61F8B">
        <w:rPr>
          <w:rFonts w:cs="Times New Roman" w:hint="eastAsia"/>
          <w:color w:val="B00824"/>
        </w:rPr>
        <w:t>。</w:t>
      </w:r>
      <w:r w:rsidRPr="00E61F8B">
        <w:rPr>
          <w:rFonts w:cs="Times New Roman"/>
          <w:color w:val="B00824"/>
        </w:rPr>
        <w:t>发现其他不宜适用速裁程序但符合简易程序适用条件的，</w:t>
      </w:r>
      <w:r w:rsidR="00D926F5" w:rsidRPr="00E61F8B">
        <w:rPr>
          <w:rFonts w:cs="Times New Roman"/>
          <w:color w:val="B00824"/>
        </w:rPr>
        <w:t>可以转为简易程序或者普通程序重新审理</w:t>
      </w:r>
      <w:r w:rsidRPr="00E61F8B">
        <w:rPr>
          <w:rFonts w:cs="Times New Roman"/>
          <w:color w:val="B00824"/>
        </w:rPr>
        <w:t>。</w:t>
      </w:r>
      <w:r w:rsidRPr="00E61F8B">
        <w:rPr>
          <w:rFonts w:cs="Times New Roman"/>
          <w:color w:val="auto"/>
        </w:rPr>
        <w:t>发现有不宜适用简易程序审理情形的，应当转为普通程序审理。</w:t>
      </w:r>
    </w:p>
    <w:p w14:paraId="288D7FBD" w14:textId="49415DE4" w:rsidR="0028408B" w:rsidRPr="00E61F8B" w:rsidRDefault="007631F3" w:rsidP="009C70C2">
      <w:pPr>
        <w:spacing w:line="240" w:lineRule="exact"/>
        <w:ind w:firstLineChars="200" w:firstLine="420"/>
        <w:contextualSpacing/>
        <w:jc w:val="left"/>
        <w:rPr>
          <w:rFonts w:cs="汉仪大宋简" w:hint="eastAsia"/>
          <w:bCs/>
          <w:color w:val="auto"/>
        </w:rPr>
      </w:pPr>
      <w:r w:rsidRPr="00E61F8B">
        <w:rPr>
          <w:rFonts w:cs="汉仪大宋简" w:hint="eastAsia"/>
          <w:bCs/>
          <w:color w:val="auto"/>
        </w:rPr>
        <w:t>三</w:t>
      </w:r>
      <w:r w:rsidR="0028408B" w:rsidRPr="00E61F8B">
        <w:rPr>
          <w:rFonts w:cs="汉仪大宋简" w:hint="eastAsia"/>
          <w:bCs/>
          <w:color w:val="auto"/>
        </w:rPr>
        <w:t>、简易程序</w:t>
      </w:r>
      <w:bookmarkStart w:id="6" w:name="_Hlk141815693"/>
      <w:r w:rsidR="0028408B" w:rsidRPr="00E61F8B">
        <w:rPr>
          <w:rFonts w:hint="eastAsia"/>
          <w:color w:val="FF0000"/>
        </w:rPr>
        <w:t>（两次确认是否适用简易程序：开庭前送达起诉书副本时，开庭后审判人员应当确认被告人是否同意适用简易程序审理。）</w:t>
      </w:r>
      <w:bookmarkEnd w:id="6"/>
    </w:p>
    <w:p w14:paraId="576A483B" w14:textId="77777777" w:rsidR="0028408B" w:rsidRPr="00E61F8B" w:rsidRDefault="0028408B" w:rsidP="009C70C2">
      <w:pPr>
        <w:spacing w:line="240" w:lineRule="exact"/>
        <w:ind w:firstLineChars="130" w:firstLine="273"/>
        <w:contextualSpacing/>
        <w:rPr>
          <w:rFonts w:cs="汉仪大宋简" w:hint="eastAsia"/>
          <w:bCs/>
          <w:color w:val="auto"/>
        </w:rPr>
      </w:pPr>
      <w:r w:rsidRPr="00E61F8B">
        <w:rPr>
          <w:rFonts w:cs="汉仪大宋简" w:hint="eastAsia"/>
          <w:bCs/>
          <w:color w:val="auto"/>
        </w:rPr>
        <w:t>（一）</w:t>
      </w:r>
      <w:r w:rsidRPr="00E61F8B">
        <w:rPr>
          <w:rFonts w:cs="汉仪大宋简" w:hint="eastAsia"/>
          <w:bCs/>
          <w:color w:val="FF0000"/>
        </w:rPr>
        <w:t>适用范围</w:t>
      </w:r>
      <w:r w:rsidRPr="00E61F8B">
        <w:rPr>
          <w:rFonts w:cs="汉仪大宋简" w:hint="eastAsia"/>
          <w:bCs/>
          <w:color w:val="auto"/>
        </w:rPr>
        <w:t>：</w:t>
      </w:r>
      <w:r w:rsidRPr="00E61F8B">
        <w:rPr>
          <w:rFonts w:cs="仿宋_GB2312" w:hint="eastAsia"/>
          <w:bCs/>
        </w:rPr>
        <w:t>可以适用：</w:t>
      </w:r>
      <w:r w:rsidRPr="00E61F8B">
        <w:rPr>
          <w:rFonts w:hint="eastAsia"/>
        </w:rPr>
        <w:t>基层人民法院管辖的案件，案件事实清楚、证据充分；被告人承认自己所犯罪行，对指控的犯罪事实没有异议；被告人对适用简易程序没有异议。</w:t>
      </w:r>
    </w:p>
    <w:p w14:paraId="2361F6B9" w14:textId="77777777" w:rsidR="0028408B" w:rsidRPr="00E61F8B" w:rsidRDefault="0028408B" w:rsidP="009C70C2">
      <w:pPr>
        <w:spacing w:line="240" w:lineRule="exact"/>
        <w:ind w:firstLineChars="130" w:firstLine="273"/>
        <w:contextualSpacing/>
        <w:rPr>
          <w:rFonts w:cs="汉仪大宋简" w:hint="eastAsia"/>
          <w:bCs/>
          <w:color w:val="auto"/>
        </w:rPr>
      </w:pPr>
      <w:r w:rsidRPr="00E61F8B">
        <w:rPr>
          <w:rFonts w:cs="汉仪大宋简" w:hint="eastAsia"/>
          <w:bCs/>
          <w:color w:val="auto"/>
        </w:rPr>
        <w:t>（二）审判组织形式的简化：</w:t>
      </w:r>
      <w:r w:rsidRPr="00E61F8B">
        <w:rPr>
          <w:rFonts w:hint="eastAsia"/>
          <w:color w:val="FF0000"/>
        </w:rPr>
        <w:t>可能判处三年有期徒刑以下刑罚的合议庭或独任审判</w:t>
      </w:r>
      <w:r w:rsidRPr="00E61F8B">
        <w:rPr>
          <w:rFonts w:hint="eastAsia"/>
        </w:rPr>
        <w:t>。可能判处的有期徒刑超过三年的合议庭。</w:t>
      </w:r>
      <w:bookmarkStart w:id="7" w:name="_Toc510879126"/>
    </w:p>
    <w:p w14:paraId="1E4B187D" w14:textId="77777777" w:rsidR="00B1571F" w:rsidRPr="00E61F8B" w:rsidRDefault="0028408B" w:rsidP="00B1571F">
      <w:pPr>
        <w:spacing w:line="240" w:lineRule="exact"/>
        <w:ind w:firstLineChars="130" w:firstLine="273"/>
        <w:contextualSpacing/>
        <w:rPr>
          <w:rFonts w:cs="汉仪大宋简"/>
          <w:bCs/>
          <w:color w:val="auto"/>
        </w:rPr>
      </w:pPr>
      <w:r w:rsidRPr="00E61F8B">
        <w:rPr>
          <w:rFonts w:cs="汉仪大宋简" w:hint="eastAsia"/>
          <w:bCs/>
          <w:color w:val="auto"/>
        </w:rPr>
        <w:t>（三）程序的简化</w:t>
      </w:r>
      <w:bookmarkEnd w:id="7"/>
    </w:p>
    <w:p w14:paraId="41E93564" w14:textId="77777777" w:rsidR="00B1571F" w:rsidRPr="00E61F8B" w:rsidRDefault="0028408B" w:rsidP="00B1571F">
      <w:pPr>
        <w:spacing w:line="240" w:lineRule="exact"/>
        <w:ind w:firstLineChars="130" w:firstLine="273"/>
        <w:contextualSpacing/>
        <w:rPr>
          <w:rFonts w:cs="汉仪大宋简"/>
          <w:bCs/>
          <w:color w:val="auto"/>
        </w:rPr>
      </w:pPr>
      <w:r w:rsidRPr="00E61F8B">
        <w:rPr>
          <w:rFonts w:hint="eastAsia"/>
        </w:rPr>
        <w:t>1．法院：基层人民法院受理公诉案件后，经审查认为案件事实清楚、证据充分的，在将起诉书副本送达被告人时，</w:t>
      </w:r>
      <w:r w:rsidRPr="00E61F8B">
        <w:rPr>
          <w:rFonts w:hint="eastAsia"/>
          <w:color w:val="B00824"/>
        </w:rPr>
        <w:t>应当询问被告人对指控的犯罪事实的意见，告知其适用简易程序的法律规定。</w:t>
      </w:r>
      <w:r w:rsidRPr="00E61F8B">
        <w:rPr>
          <w:rFonts w:hint="eastAsia"/>
          <w:color w:val="auto"/>
        </w:rPr>
        <w:t>被告人对指控的犯罪事实没有异议并同意适用简易程序的，可以决定适用简易程序，并在开庭前通知人民检察院和辩护人</w:t>
      </w:r>
      <w:r w:rsidRPr="00E61F8B">
        <w:rPr>
          <w:rFonts w:hint="eastAsia"/>
        </w:rPr>
        <w:t>。</w:t>
      </w:r>
    </w:p>
    <w:p w14:paraId="382945FD" w14:textId="77777777" w:rsidR="00B1571F" w:rsidRPr="00E61F8B" w:rsidRDefault="0028408B" w:rsidP="00B1571F">
      <w:pPr>
        <w:spacing w:line="240" w:lineRule="exact"/>
        <w:ind w:firstLineChars="130" w:firstLine="273"/>
        <w:contextualSpacing/>
        <w:rPr>
          <w:rFonts w:cs="汉仪大宋简"/>
          <w:bCs/>
          <w:color w:val="auto"/>
        </w:rPr>
      </w:pPr>
      <w:r w:rsidRPr="00E61F8B">
        <w:rPr>
          <w:rFonts w:hint="eastAsia"/>
        </w:rPr>
        <w:t>2</w:t>
      </w:r>
      <w:r w:rsidRPr="00E61F8B">
        <w:rPr>
          <w:rFonts w:hint="eastAsia"/>
          <w:color w:val="auto"/>
        </w:rPr>
        <w:t>．人民检察院建议或者被告人及其辩护人申请适用简易程序（2021《法院解释》新增加了被告人及其辩护人的申请权）：提出申请后，法院经审查，可以决定适用并告知；不符合简易程序</w:t>
      </w:r>
      <w:r w:rsidRPr="00E61F8B">
        <w:rPr>
          <w:rFonts w:hint="eastAsia"/>
        </w:rPr>
        <w:t>适用条件的，应当通知人民检察院或者被告人及其辩护人。</w:t>
      </w:r>
    </w:p>
    <w:p w14:paraId="48C4B95F" w14:textId="77777777" w:rsidR="00B1571F" w:rsidRPr="00E61F8B" w:rsidRDefault="0028408B" w:rsidP="00B1571F">
      <w:pPr>
        <w:spacing w:line="240" w:lineRule="exact"/>
        <w:ind w:firstLineChars="130" w:firstLine="273"/>
        <w:contextualSpacing/>
        <w:rPr>
          <w:rFonts w:cs="汉仪大宋简"/>
          <w:bCs/>
          <w:color w:val="auto"/>
        </w:rPr>
      </w:pPr>
      <w:r w:rsidRPr="00E61F8B">
        <w:rPr>
          <w:rFonts w:hint="eastAsia"/>
          <w:color w:val="B00824"/>
        </w:rPr>
        <w:t>3．庭审程序的简化：</w:t>
      </w:r>
      <w:r w:rsidRPr="00E61F8B">
        <w:rPr>
          <w:rFonts w:hint="eastAsia"/>
        </w:rPr>
        <w:t>证据调查控辩双方无异议，可仅就证据名称及证明事项说明；法庭审理，对与定罪量刑有关的事实、证据没有异议，可以直接围绕罪名确定和量刑问题进行。</w:t>
      </w:r>
    </w:p>
    <w:p w14:paraId="764FBC40" w14:textId="77777777" w:rsidR="00B1571F" w:rsidRPr="00E61F8B" w:rsidRDefault="0028408B" w:rsidP="00B1571F">
      <w:pPr>
        <w:spacing w:line="240" w:lineRule="exact"/>
        <w:ind w:firstLineChars="130" w:firstLine="273"/>
        <w:contextualSpacing/>
        <w:rPr>
          <w:color w:val="B00824"/>
        </w:rPr>
      </w:pPr>
      <w:r w:rsidRPr="00E61F8B">
        <w:rPr>
          <w:rFonts w:hint="eastAsia"/>
          <w:color w:val="B00824"/>
        </w:rPr>
        <w:t>4．一般应当当庭宣判</w:t>
      </w:r>
      <w:bookmarkStart w:id="8" w:name="_Toc510879127"/>
    </w:p>
    <w:p w14:paraId="4A35145B" w14:textId="77777777" w:rsidR="00B1571F" w:rsidRPr="00E61F8B" w:rsidRDefault="0028408B" w:rsidP="00B1571F">
      <w:pPr>
        <w:spacing w:line="240" w:lineRule="exact"/>
        <w:ind w:firstLineChars="130" w:firstLine="273"/>
        <w:contextualSpacing/>
      </w:pPr>
      <w:r w:rsidRPr="00E61F8B">
        <w:rPr>
          <w:rFonts w:hint="eastAsia"/>
          <w:color w:val="B00824"/>
        </w:rPr>
        <w:t>5．简易程序中不能简化的内容</w:t>
      </w:r>
      <w:bookmarkEnd w:id="8"/>
      <w:r w:rsidRPr="00E61F8B">
        <w:rPr>
          <w:rFonts w:hint="eastAsia"/>
          <w:color w:val="B00824"/>
        </w:rPr>
        <w:t>：</w:t>
      </w:r>
      <w:r w:rsidRPr="00E61F8B">
        <w:rPr>
          <w:rFonts w:hint="eastAsia"/>
        </w:rPr>
        <w:t>（1）公诉案件人民检察院应当派员出席法庭（2）被告人有辩护人的，应当通知其出庭（3）审判人员应当当庭询问被告人对指控的犯罪事实的意见，告知被告人适用简易程序审理的法律规定，确认被告人是否同意适用简易程序审理（4）对控辩双方有异议，或者法庭认为有必要调查核实的证据，应当出示，并进行质证（5）判决宣告前应当听取被告人的最后陈述</w:t>
      </w:r>
      <w:bookmarkStart w:id="9" w:name="_Toc510879128"/>
    </w:p>
    <w:p w14:paraId="39BC5DB1" w14:textId="4FB41276" w:rsidR="0028408B" w:rsidRPr="00E61F8B" w:rsidRDefault="0028408B" w:rsidP="00B1571F">
      <w:pPr>
        <w:spacing w:line="240" w:lineRule="exact"/>
        <w:ind w:firstLineChars="130" w:firstLine="273"/>
        <w:contextualSpacing/>
        <w:rPr>
          <w:rFonts w:cs="汉仪大宋简" w:hint="eastAsia"/>
          <w:bCs/>
          <w:color w:val="auto"/>
        </w:rPr>
      </w:pPr>
      <w:r w:rsidRPr="00E61F8B">
        <w:rPr>
          <w:rFonts w:cs="汉仪大宋简" w:hint="eastAsia"/>
          <w:bCs/>
          <w:color w:val="FF0000"/>
        </w:rPr>
        <w:t>6</w:t>
      </w:r>
      <w:r w:rsidRPr="00E61F8B">
        <w:rPr>
          <w:rFonts w:cs="汉仪大宋简"/>
          <w:bCs/>
          <w:color w:val="FF0000"/>
        </w:rPr>
        <w:t>.</w:t>
      </w:r>
      <w:r w:rsidRPr="00E61F8B">
        <w:rPr>
          <w:rFonts w:cs="汉仪大宋简" w:hint="eastAsia"/>
          <w:bCs/>
          <w:color w:val="FF0000"/>
        </w:rPr>
        <w:t>简易程序转为普通程序的情形</w:t>
      </w:r>
      <w:bookmarkEnd w:id="9"/>
      <w:r w:rsidRPr="00E61F8B">
        <w:rPr>
          <w:rFonts w:cs="汉仪大宋简" w:hint="eastAsia"/>
          <w:bCs/>
          <w:color w:val="FF0000"/>
        </w:rPr>
        <w:t>：</w:t>
      </w:r>
      <w:r w:rsidRPr="00E61F8B">
        <w:rPr>
          <w:rFonts w:hint="eastAsia"/>
        </w:rPr>
        <w:t>（1）被告人的行为可能不构成犯罪的（2）被告人可能不负刑事责任的（3）被告人当庭对起诉指控的犯罪事实予以否认的（4）案件事实不清、证据不足的（5）不应当或者不宜适用简易程序的其他情形。</w:t>
      </w:r>
    </w:p>
    <w:p w14:paraId="37A33BA3" w14:textId="00A7EC80" w:rsidR="004475D6" w:rsidRPr="00E61F8B" w:rsidRDefault="004475D6" w:rsidP="009C70C2">
      <w:pPr>
        <w:pStyle w:val="1"/>
        <w:spacing w:before="0" w:after="0" w:line="240" w:lineRule="exact"/>
        <w:jc w:val="center"/>
        <w:rPr>
          <w:rFonts w:ascii="宋体" w:hAnsi="宋体" w:cs="汉仪大宋简" w:hint="eastAsia"/>
          <w:sz w:val="21"/>
          <w:szCs w:val="21"/>
        </w:rPr>
      </w:pPr>
      <w:r w:rsidRPr="00E61F8B">
        <w:rPr>
          <w:rFonts w:ascii="宋体" w:hAnsi="宋体" w:cs="汉仪大宋简" w:hint="eastAsia"/>
          <w:sz w:val="21"/>
          <w:szCs w:val="21"/>
        </w:rPr>
        <w:t>专题八</w:t>
      </w:r>
      <w:r w:rsidRPr="00E61F8B">
        <w:rPr>
          <w:rFonts w:ascii="宋体" w:hAnsi="宋体" w:cs="汉仪大宋简"/>
          <w:sz w:val="21"/>
          <w:szCs w:val="21"/>
        </w:rPr>
        <w:t xml:space="preserve">  </w:t>
      </w:r>
      <w:r w:rsidRPr="00E61F8B">
        <w:rPr>
          <w:rFonts w:ascii="宋体" w:hAnsi="宋体" w:cs="汉仪大宋简" w:hint="eastAsia"/>
          <w:sz w:val="21"/>
          <w:szCs w:val="21"/>
        </w:rPr>
        <w:t>第二审程序（</w:t>
      </w:r>
      <w:r w:rsidR="009F607B" w:rsidRPr="00E61F8B">
        <w:rPr>
          <w:rFonts w:ascii="宋体" w:hAnsi="宋体" w:cs="汉仪大宋简" w:hint="eastAsia"/>
          <w:sz w:val="21"/>
          <w:szCs w:val="21"/>
        </w:rPr>
        <w:t>20</w:t>
      </w:r>
      <w:r w:rsidR="009F607B" w:rsidRPr="00E61F8B">
        <w:rPr>
          <w:rFonts w:ascii="宋体" w:hAnsi="宋体" w:cs="汉仪大宋简"/>
          <w:sz w:val="21"/>
          <w:szCs w:val="21"/>
        </w:rPr>
        <w:t>:</w:t>
      </w:r>
      <w:r w:rsidR="00157EFB" w:rsidRPr="00E61F8B">
        <w:rPr>
          <w:rFonts w:ascii="宋体" w:hAnsi="宋体" w:cs="汉仪大宋简" w:hint="eastAsia"/>
          <w:sz w:val="21"/>
          <w:szCs w:val="21"/>
        </w:rPr>
        <w:t>30</w:t>
      </w:r>
      <w:r w:rsidR="009F607B" w:rsidRPr="00E61F8B">
        <w:rPr>
          <w:rFonts w:ascii="宋体" w:hAnsi="宋体" w:cs="汉仪大宋简"/>
          <w:sz w:val="21"/>
          <w:szCs w:val="21"/>
        </w:rPr>
        <w:t>:00</w:t>
      </w:r>
      <w:r w:rsidRPr="00E61F8B">
        <w:rPr>
          <w:rFonts w:ascii="宋体" w:hAnsi="宋体" w:cs="汉仪大宋简"/>
          <w:sz w:val="21"/>
          <w:szCs w:val="21"/>
        </w:rPr>
        <w:t>-</w:t>
      </w:r>
      <w:r w:rsidR="005240CF">
        <w:rPr>
          <w:rFonts w:ascii="宋体" w:hAnsi="宋体" w:cs="汉仪大宋简" w:hint="eastAsia"/>
          <w:sz w:val="21"/>
          <w:szCs w:val="21"/>
        </w:rPr>
        <w:t>2</w:t>
      </w:r>
      <w:r w:rsidR="00654133">
        <w:rPr>
          <w:rFonts w:ascii="宋体" w:hAnsi="宋体" w:cs="汉仪大宋简" w:hint="eastAsia"/>
          <w:sz w:val="21"/>
          <w:szCs w:val="21"/>
        </w:rPr>
        <w:t>2</w:t>
      </w:r>
      <w:r w:rsidRPr="00E61F8B">
        <w:rPr>
          <w:rFonts w:ascii="宋体" w:hAnsi="宋体" w:cs="汉仪大宋简"/>
          <w:sz w:val="21"/>
          <w:szCs w:val="21"/>
        </w:rPr>
        <w:t>:</w:t>
      </w:r>
      <w:r w:rsidR="00654133">
        <w:rPr>
          <w:rFonts w:ascii="宋体" w:hAnsi="宋体" w:cs="汉仪大宋简" w:hint="eastAsia"/>
          <w:sz w:val="21"/>
          <w:szCs w:val="21"/>
        </w:rPr>
        <w:t>31</w:t>
      </w:r>
      <w:r w:rsidRPr="00E61F8B">
        <w:rPr>
          <w:rFonts w:ascii="宋体" w:hAnsi="宋体" w:cs="汉仪大宋简"/>
          <w:sz w:val="21"/>
          <w:szCs w:val="21"/>
        </w:rPr>
        <w:t>:00）</w:t>
      </w:r>
    </w:p>
    <w:p w14:paraId="0C339F21" w14:textId="77777777" w:rsidR="004475D6" w:rsidRPr="00E61F8B" w:rsidRDefault="004475D6" w:rsidP="009C70C2">
      <w:pPr>
        <w:spacing w:line="240" w:lineRule="exact"/>
        <w:ind w:firstLineChars="200" w:firstLine="420"/>
        <w:jc w:val="left"/>
        <w:rPr>
          <w:rFonts w:cs="汉仪大宋简" w:hint="eastAsia"/>
          <w:bCs/>
          <w:color w:val="auto"/>
        </w:rPr>
      </w:pPr>
      <w:bookmarkStart w:id="10" w:name="_Toc510879133"/>
      <w:r w:rsidRPr="00E61F8B">
        <w:rPr>
          <w:rFonts w:cs="汉仪大宋简" w:hint="eastAsia"/>
          <w:bCs/>
          <w:color w:val="auto"/>
        </w:rPr>
        <w:t>一、上诉不加刑原则</w:t>
      </w:r>
      <w:bookmarkEnd w:id="10"/>
      <w:r w:rsidRPr="00E61F8B">
        <w:rPr>
          <w:rFonts w:cs="汉仪大宋简" w:hint="eastAsia"/>
          <w:bCs/>
          <w:color w:val="auto"/>
        </w:rPr>
        <w:t>（禁止实质不利的变更）</w:t>
      </w:r>
    </w:p>
    <w:p w14:paraId="336C7055" w14:textId="77777777" w:rsidR="004475D6" w:rsidRPr="00E61F8B" w:rsidRDefault="004475D6" w:rsidP="009C70C2">
      <w:pPr>
        <w:spacing w:line="240" w:lineRule="exact"/>
        <w:ind w:firstLineChars="200" w:firstLine="420"/>
        <w:rPr>
          <w:rFonts w:hint="eastAsia"/>
          <w:color w:val="B00824"/>
        </w:rPr>
      </w:pPr>
      <w:r w:rsidRPr="00E61F8B">
        <w:rPr>
          <w:rFonts w:hint="eastAsia"/>
        </w:rPr>
        <w:lastRenderedPageBreak/>
        <w:t>审理</w:t>
      </w:r>
      <w:r w:rsidRPr="00E61F8B">
        <w:rPr>
          <w:rFonts w:hint="eastAsia"/>
          <w:color w:val="B00824"/>
        </w:rPr>
        <w:t>被告人或者其法定代理人、辩护人、近亲属</w:t>
      </w:r>
      <w:r w:rsidRPr="00E61F8B">
        <w:rPr>
          <w:rFonts w:hint="eastAsia"/>
        </w:rPr>
        <w:t>提出上诉的案件，</w:t>
      </w:r>
      <w:r w:rsidRPr="00E61F8B">
        <w:rPr>
          <w:rFonts w:hint="eastAsia"/>
          <w:color w:val="B00824"/>
        </w:rPr>
        <w:t>不得对被告人的刑罚作出实质不利的改判，人民检察院抗诉或者自诉人上诉的案件，不受限制。</w:t>
      </w:r>
    </w:p>
    <w:tbl>
      <w:tblPr>
        <w:tblStyle w:val="a9"/>
        <w:tblW w:w="920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59"/>
        <w:gridCol w:w="3915"/>
        <w:gridCol w:w="4230"/>
      </w:tblGrid>
      <w:tr w:rsidR="004475D6" w:rsidRPr="00E61F8B" w14:paraId="6435CE98" w14:textId="77777777" w:rsidTr="009A4ECD">
        <w:trPr>
          <w:jc w:val="center"/>
        </w:trPr>
        <w:tc>
          <w:tcPr>
            <w:tcW w:w="1059" w:type="dxa"/>
            <w:vAlign w:val="center"/>
          </w:tcPr>
          <w:p w14:paraId="621E4152" w14:textId="77777777" w:rsidR="004475D6" w:rsidRPr="00E61F8B" w:rsidRDefault="004475D6" w:rsidP="009C70C2">
            <w:pPr>
              <w:spacing w:before="42" w:afterLines="20" w:after="84" w:line="240" w:lineRule="exact"/>
              <w:jc w:val="center"/>
              <w:rPr>
                <w:rFonts w:cs="仿宋_GB2312" w:hint="eastAsia"/>
              </w:rPr>
            </w:pPr>
            <w:r w:rsidRPr="00E61F8B">
              <w:rPr>
                <w:rFonts w:cs="仿宋_GB2312" w:hint="eastAsia"/>
              </w:rPr>
              <w:t>前提</w:t>
            </w:r>
          </w:p>
        </w:tc>
        <w:tc>
          <w:tcPr>
            <w:tcW w:w="3915" w:type="dxa"/>
            <w:vAlign w:val="center"/>
          </w:tcPr>
          <w:p w14:paraId="3DBCDBD4" w14:textId="77777777" w:rsidR="004475D6" w:rsidRPr="00E61F8B" w:rsidRDefault="004475D6" w:rsidP="009C70C2">
            <w:pPr>
              <w:spacing w:before="42" w:afterLines="20" w:after="84" w:line="240" w:lineRule="exact"/>
              <w:jc w:val="center"/>
              <w:rPr>
                <w:rFonts w:cs="仿宋_GB2312" w:hint="eastAsia"/>
              </w:rPr>
            </w:pPr>
            <w:r w:rsidRPr="00E61F8B">
              <w:rPr>
                <w:rFonts w:cs="仿宋_GB2312" w:hint="eastAsia"/>
              </w:rPr>
              <w:t>情形</w:t>
            </w:r>
          </w:p>
        </w:tc>
        <w:tc>
          <w:tcPr>
            <w:tcW w:w="4230" w:type="dxa"/>
            <w:vAlign w:val="center"/>
          </w:tcPr>
          <w:p w14:paraId="114A2338" w14:textId="77777777" w:rsidR="004475D6" w:rsidRPr="00E61F8B" w:rsidRDefault="004475D6" w:rsidP="009C70C2">
            <w:pPr>
              <w:spacing w:before="42" w:afterLines="20" w:after="84" w:line="240" w:lineRule="exact"/>
              <w:jc w:val="center"/>
              <w:rPr>
                <w:rFonts w:cs="仿宋_GB2312" w:hint="eastAsia"/>
              </w:rPr>
            </w:pPr>
            <w:r w:rsidRPr="00E61F8B">
              <w:rPr>
                <w:rFonts w:cs="仿宋_GB2312" w:hint="eastAsia"/>
              </w:rPr>
              <w:t>处理</w:t>
            </w:r>
          </w:p>
        </w:tc>
      </w:tr>
      <w:tr w:rsidR="004475D6" w:rsidRPr="00E61F8B" w14:paraId="0F24B07C" w14:textId="77777777" w:rsidTr="009A4ECD">
        <w:trPr>
          <w:jc w:val="center"/>
        </w:trPr>
        <w:tc>
          <w:tcPr>
            <w:tcW w:w="1059" w:type="dxa"/>
            <w:vMerge w:val="restart"/>
            <w:vAlign w:val="center"/>
          </w:tcPr>
          <w:p w14:paraId="7F438058" w14:textId="77777777" w:rsidR="004475D6" w:rsidRPr="00E61F8B" w:rsidRDefault="004475D6" w:rsidP="009C70C2">
            <w:pPr>
              <w:spacing w:before="42" w:afterLines="20" w:after="84" w:line="240" w:lineRule="exact"/>
              <w:rPr>
                <w:rFonts w:hint="eastAsia"/>
              </w:rPr>
            </w:pPr>
            <w:r w:rsidRPr="00E61F8B">
              <w:rPr>
                <w:rFonts w:hint="eastAsia"/>
              </w:rPr>
              <w:t>只有被告人一方上诉</w:t>
            </w:r>
          </w:p>
          <w:p w14:paraId="5B9FBC15" w14:textId="77777777" w:rsidR="004475D6" w:rsidRPr="00E61F8B" w:rsidRDefault="004475D6" w:rsidP="009C70C2">
            <w:pPr>
              <w:spacing w:before="42" w:afterLines="20" w:after="84" w:line="240" w:lineRule="exact"/>
              <w:rPr>
                <w:rFonts w:cs="仿宋_GB2312" w:hint="eastAsia"/>
                <w:b/>
                <w:bCs/>
              </w:rPr>
            </w:pPr>
            <w:r w:rsidRPr="00E61F8B">
              <w:rPr>
                <w:rFonts w:hint="eastAsia"/>
              </w:rPr>
              <w:t>（人民检察院抗诉或自诉人上诉的不再此限）</w:t>
            </w:r>
          </w:p>
        </w:tc>
        <w:tc>
          <w:tcPr>
            <w:tcW w:w="3915" w:type="dxa"/>
            <w:vAlign w:val="center"/>
          </w:tcPr>
          <w:p w14:paraId="19FF653F" w14:textId="77777777" w:rsidR="004475D6" w:rsidRPr="00E61F8B" w:rsidRDefault="004475D6" w:rsidP="009C70C2">
            <w:pPr>
              <w:spacing w:before="42" w:afterLines="20" w:after="84" w:line="240" w:lineRule="exact"/>
              <w:rPr>
                <w:rFonts w:cs="仿宋_GB2312" w:hint="eastAsia"/>
                <w:b/>
                <w:bCs/>
              </w:rPr>
            </w:pPr>
            <w:r w:rsidRPr="00E61F8B">
              <w:rPr>
                <w:rFonts w:hint="eastAsia"/>
              </w:rPr>
              <w:t>同案审理的案件，只有部分被告人上诉</w:t>
            </w:r>
          </w:p>
        </w:tc>
        <w:tc>
          <w:tcPr>
            <w:tcW w:w="4230" w:type="dxa"/>
            <w:vAlign w:val="center"/>
          </w:tcPr>
          <w:p w14:paraId="75DBDFC6" w14:textId="77777777" w:rsidR="004475D6" w:rsidRPr="00E61F8B" w:rsidRDefault="004475D6" w:rsidP="009C70C2">
            <w:pPr>
              <w:spacing w:before="42" w:afterLines="20" w:after="84" w:line="240" w:lineRule="exact"/>
              <w:rPr>
                <w:rFonts w:cs="仿宋_GB2312" w:hint="eastAsia"/>
                <w:b/>
                <w:bCs/>
              </w:rPr>
            </w:pPr>
            <w:r w:rsidRPr="00E61F8B">
              <w:rPr>
                <w:rFonts w:hint="eastAsia"/>
              </w:rPr>
              <w:t>既不得加重上诉人的刑罚，也不得加重其他同案被告人的刑罚</w:t>
            </w:r>
          </w:p>
        </w:tc>
      </w:tr>
      <w:tr w:rsidR="004475D6" w:rsidRPr="00E61F8B" w14:paraId="5F996C4C" w14:textId="77777777" w:rsidTr="009A4ECD">
        <w:trPr>
          <w:jc w:val="center"/>
        </w:trPr>
        <w:tc>
          <w:tcPr>
            <w:tcW w:w="1059" w:type="dxa"/>
            <w:vMerge/>
            <w:vAlign w:val="center"/>
          </w:tcPr>
          <w:p w14:paraId="0D933AC6" w14:textId="77777777" w:rsidR="004475D6" w:rsidRPr="00E61F8B" w:rsidRDefault="004475D6" w:rsidP="009C70C2">
            <w:pPr>
              <w:spacing w:before="42" w:afterLines="20" w:after="84" w:line="240" w:lineRule="exact"/>
              <w:rPr>
                <w:rFonts w:hint="eastAsia"/>
              </w:rPr>
            </w:pPr>
          </w:p>
        </w:tc>
        <w:tc>
          <w:tcPr>
            <w:tcW w:w="3915" w:type="dxa"/>
            <w:vAlign w:val="center"/>
          </w:tcPr>
          <w:p w14:paraId="64427A78" w14:textId="77777777" w:rsidR="004475D6" w:rsidRPr="00E61F8B" w:rsidRDefault="004475D6" w:rsidP="009C70C2">
            <w:pPr>
              <w:spacing w:before="42" w:afterLines="20" w:after="84" w:line="240" w:lineRule="exact"/>
              <w:rPr>
                <w:rFonts w:hint="eastAsia"/>
              </w:rPr>
            </w:pPr>
            <w:r w:rsidRPr="00E61F8B">
              <w:rPr>
                <w:rFonts w:hint="eastAsia"/>
              </w:rPr>
              <w:t>人民检察院只对部分被告人的判决提出抗诉，或者自诉人只对部分被告人的判决提出上诉的</w:t>
            </w:r>
          </w:p>
        </w:tc>
        <w:tc>
          <w:tcPr>
            <w:tcW w:w="4230" w:type="dxa"/>
            <w:vAlign w:val="center"/>
          </w:tcPr>
          <w:p w14:paraId="656144CD" w14:textId="77777777" w:rsidR="004475D6" w:rsidRPr="00E61F8B" w:rsidRDefault="004475D6" w:rsidP="009C70C2">
            <w:pPr>
              <w:spacing w:before="42" w:afterLines="20" w:after="84" w:line="240" w:lineRule="exact"/>
              <w:rPr>
                <w:rFonts w:hint="eastAsia"/>
              </w:rPr>
            </w:pPr>
            <w:r w:rsidRPr="00E61F8B">
              <w:rPr>
                <w:rFonts w:hint="eastAsia"/>
              </w:rPr>
              <w:t>不得对其他同案被告人加重刑罚</w:t>
            </w:r>
          </w:p>
        </w:tc>
      </w:tr>
      <w:tr w:rsidR="004475D6" w:rsidRPr="00E61F8B" w14:paraId="6A4B6E2A" w14:textId="77777777" w:rsidTr="009A4ECD">
        <w:trPr>
          <w:jc w:val="center"/>
        </w:trPr>
        <w:tc>
          <w:tcPr>
            <w:tcW w:w="1059" w:type="dxa"/>
            <w:vMerge/>
            <w:vAlign w:val="center"/>
          </w:tcPr>
          <w:p w14:paraId="1BDC9B2B"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79398840" w14:textId="77777777" w:rsidR="004475D6" w:rsidRPr="00E61F8B" w:rsidRDefault="004475D6" w:rsidP="009C70C2">
            <w:pPr>
              <w:spacing w:before="42" w:afterLines="20" w:after="84" w:line="240" w:lineRule="exact"/>
              <w:rPr>
                <w:rFonts w:hint="eastAsia"/>
              </w:rPr>
            </w:pPr>
            <w:r w:rsidRPr="00E61F8B">
              <w:rPr>
                <w:rFonts w:hint="eastAsia"/>
              </w:rPr>
              <w:t xml:space="preserve">原判认定的罪名不当的 </w:t>
            </w:r>
          </w:p>
        </w:tc>
        <w:tc>
          <w:tcPr>
            <w:tcW w:w="4230" w:type="dxa"/>
            <w:vAlign w:val="center"/>
          </w:tcPr>
          <w:p w14:paraId="2F2CF1F7" w14:textId="77777777" w:rsidR="004475D6" w:rsidRPr="00E61F8B" w:rsidRDefault="004475D6" w:rsidP="009C70C2">
            <w:pPr>
              <w:spacing w:before="42" w:afterLines="20" w:after="84" w:line="240" w:lineRule="exact"/>
              <w:rPr>
                <w:rFonts w:hint="eastAsia"/>
                <w:color w:val="B00824"/>
              </w:rPr>
            </w:pPr>
            <w:r w:rsidRPr="00E61F8B">
              <w:rPr>
                <w:rFonts w:hint="eastAsia"/>
                <w:color w:val="B00824"/>
              </w:rPr>
              <w:t>可以改变罪名，但不得加重刑罚或者对刑罚执行产生不利影响</w:t>
            </w:r>
            <w:r w:rsidRPr="00E61F8B">
              <w:rPr>
                <w:rFonts w:hint="eastAsia"/>
                <w:color w:val="FF0000"/>
              </w:rPr>
              <w:t>（注意刑法8</w:t>
            </w:r>
            <w:r w:rsidRPr="00E61F8B">
              <w:rPr>
                <w:color w:val="FF0000"/>
              </w:rPr>
              <w:t>1</w:t>
            </w:r>
            <w:r w:rsidRPr="00E61F8B">
              <w:rPr>
                <w:rFonts w:hint="eastAsia"/>
                <w:color w:val="FF0000"/>
              </w:rPr>
              <w:t>条假释的适用条件）</w:t>
            </w:r>
          </w:p>
        </w:tc>
      </w:tr>
      <w:tr w:rsidR="004475D6" w:rsidRPr="00E61F8B" w14:paraId="49324F7A" w14:textId="77777777" w:rsidTr="009A4ECD">
        <w:trPr>
          <w:jc w:val="center"/>
        </w:trPr>
        <w:tc>
          <w:tcPr>
            <w:tcW w:w="1059" w:type="dxa"/>
            <w:vMerge/>
            <w:vAlign w:val="center"/>
          </w:tcPr>
          <w:p w14:paraId="6ACE2E80"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02DADE43" w14:textId="77777777" w:rsidR="004475D6" w:rsidRPr="00E61F8B" w:rsidRDefault="004475D6" w:rsidP="009C70C2">
            <w:pPr>
              <w:spacing w:before="42" w:afterLines="20" w:after="84" w:line="240" w:lineRule="exact"/>
              <w:rPr>
                <w:rFonts w:hint="eastAsia"/>
              </w:rPr>
            </w:pPr>
            <w:r w:rsidRPr="00E61F8B">
              <w:rPr>
                <w:rFonts w:hint="eastAsia"/>
              </w:rPr>
              <w:t>原判认定的罪数不当的</w:t>
            </w:r>
          </w:p>
        </w:tc>
        <w:tc>
          <w:tcPr>
            <w:tcW w:w="4230" w:type="dxa"/>
            <w:vAlign w:val="center"/>
          </w:tcPr>
          <w:p w14:paraId="218D6A43" w14:textId="77777777" w:rsidR="004475D6" w:rsidRPr="00E61F8B" w:rsidRDefault="004475D6" w:rsidP="009C70C2">
            <w:pPr>
              <w:spacing w:before="42" w:afterLines="20" w:after="84" w:line="240" w:lineRule="exact"/>
              <w:rPr>
                <w:rFonts w:hint="eastAsia"/>
                <w:color w:val="B00824"/>
              </w:rPr>
            </w:pPr>
            <w:r w:rsidRPr="00E61F8B">
              <w:rPr>
                <w:rFonts w:hint="eastAsia"/>
                <w:color w:val="B00824"/>
              </w:rPr>
              <w:t>可以改变罪数，并调整刑罚，但不得加重决定执行的刑罚或者对刑罚执行产生不利影响</w:t>
            </w:r>
          </w:p>
        </w:tc>
      </w:tr>
      <w:tr w:rsidR="004475D6" w:rsidRPr="00E61F8B" w14:paraId="727B81B1" w14:textId="77777777" w:rsidTr="009A4ECD">
        <w:trPr>
          <w:jc w:val="center"/>
        </w:trPr>
        <w:tc>
          <w:tcPr>
            <w:tcW w:w="1059" w:type="dxa"/>
            <w:vMerge/>
            <w:vAlign w:val="center"/>
          </w:tcPr>
          <w:p w14:paraId="2A1FE293"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2443E06B" w14:textId="77777777" w:rsidR="004475D6" w:rsidRPr="00E61F8B" w:rsidRDefault="004475D6" w:rsidP="009C70C2">
            <w:pPr>
              <w:spacing w:before="42" w:afterLines="20" w:after="84" w:line="240" w:lineRule="exact"/>
              <w:rPr>
                <w:rFonts w:hint="eastAsia"/>
              </w:rPr>
            </w:pPr>
            <w:r w:rsidRPr="00E61F8B">
              <w:rPr>
                <w:rFonts w:hint="eastAsia"/>
              </w:rPr>
              <w:t>原判对被告人宣告缓刑的</w:t>
            </w:r>
          </w:p>
        </w:tc>
        <w:tc>
          <w:tcPr>
            <w:tcW w:w="4230" w:type="dxa"/>
            <w:vAlign w:val="center"/>
          </w:tcPr>
          <w:p w14:paraId="5B05397E" w14:textId="77777777" w:rsidR="004475D6" w:rsidRPr="00E61F8B" w:rsidRDefault="004475D6" w:rsidP="009C70C2">
            <w:pPr>
              <w:spacing w:before="42" w:afterLines="20" w:after="84" w:line="240" w:lineRule="exact"/>
              <w:rPr>
                <w:rFonts w:hint="eastAsia"/>
              </w:rPr>
            </w:pPr>
            <w:r w:rsidRPr="00E61F8B">
              <w:rPr>
                <w:rFonts w:hint="eastAsia"/>
              </w:rPr>
              <w:t>不得撤销缓刑或者延长缓刑考验期</w:t>
            </w:r>
          </w:p>
        </w:tc>
      </w:tr>
      <w:tr w:rsidR="004475D6" w:rsidRPr="00E61F8B" w14:paraId="1F570DCA" w14:textId="77777777" w:rsidTr="009A4ECD">
        <w:trPr>
          <w:jc w:val="center"/>
        </w:trPr>
        <w:tc>
          <w:tcPr>
            <w:tcW w:w="1059" w:type="dxa"/>
            <w:vMerge/>
            <w:vAlign w:val="center"/>
          </w:tcPr>
          <w:p w14:paraId="072B6B39"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27BD305E" w14:textId="77777777" w:rsidR="004475D6" w:rsidRPr="00E61F8B" w:rsidRDefault="004475D6" w:rsidP="009C70C2">
            <w:pPr>
              <w:spacing w:before="42" w:afterLines="20" w:after="84" w:line="240" w:lineRule="exact"/>
              <w:rPr>
                <w:rFonts w:hint="eastAsia"/>
              </w:rPr>
            </w:pPr>
            <w:r w:rsidRPr="00E61F8B">
              <w:rPr>
                <w:rFonts w:hint="eastAsia"/>
              </w:rPr>
              <w:t>原判没有宣告职业禁止、禁止令的</w:t>
            </w:r>
          </w:p>
        </w:tc>
        <w:tc>
          <w:tcPr>
            <w:tcW w:w="4230" w:type="dxa"/>
            <w:vAlign w:val="center"/>
          </w:tcPr>
          <w:p w14:paraId="1FF544A4" w14:textId="77777777" w:rsidR="004475D6" w:rsidRPr="00E61F8B" w:rsidRDefault="004475D6" w:rsidP="009C70C2">
            <w:pPr>
              <w:spacing w:before="42" w:afterLines="20" w:after="84" w:line="240" w:lineRule="exact"/>
              <w:rPr>
                <w:rFonts w:hint="eastAsia"/>
              </w:rPr>
            </w:pPr>
            <w:r w:rsidRPr="00E61F8B">
              <w:rPr>
                <w:rFonts w:hint="eastAsia"/>
              </w:rPr>
              <w:t>不得增加宣告</w:t>
            </w:r>
          </w:p>
        </w:tc>
      </w:tr>
      <w:tr w:rsidR="004475D6" w:rsidRPr="00E61F8B" w14:paraId="672C3986" w14:textId="77777777" w:rsidTr="009A4ECD">
        <w:trPr>
          <w:jc w:val="center"/>
        </w:trPr>
        <w:tc>
          <w:tcPr>
            <w:tcW w:w="1059" w:type="dxa"/>
            <w:vMerge/>
            <w:vAlign w:val="center"/>
          </w:tcPr>
          <w:p w14:paraId="69B8B96D"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6EAE6987" w14:textId="77777777" w:rsidR="004475D6" w:rsidRPr="00E61F8B" w:rsidRDefault="004475D6" w:rsidP="009C70C2">
            <w:pPr>
              <w:spacing w:before="42" w:afterLines="20" w:after="84" w:line="240" w:lineRule="exact"/>
              <w:rPr>
                <w:rFonts w:hint="eastAsia"/>
              </w:rPr>
            </w:pPr>
            <w:r w:rsidRPr="00E61F8B">
              <w:rPr>
                <w:rFonts w:hint="eastAsia"/>
              </w:rPr>
              <w:t>原判宣告职业禁止、禁止令的</w:t>
            </w:r>
          </w:p>
        </w:tc>
        <w:tc>
          <w:tcPr>
            <w:tcW w:w="4230" w:type="dxa"/>
            <w:vAlign w:val="center"/>
          </w:tcPr>
          <w:p w14:paraId="34136591" w14:textId="77777777" w:rsidR="004475D6" w:rsidRPr="00E61F8B" w:rsidRDefault="004475D6" w:rsidP="009C70C2">
            <w:pPr>
              <w:spacing w:before="42" w:afterLines="20" w:after="84" w:line="240" w:lineRule="exact"/>
              <w:rPr>
                <w:rFonts w:hint="eastAsia"/>
              </w:rPr>
            </w:pPr>
            <w:r w:rsidRPr="00E61F8B">
              <w:rPr>
                <w:rFonts w:hint="eastAsia"/>
              </w:rPr>
              <w:t>不得增加内容、延长期限</w:t>
            </w:r>
          </w:p>
        </w:tc>
      </w:tr>
      <w:tr w:rsidR="004475D6" w:rsidRPr="00E61F8B" w14:paraId="596A906C" w14:textId="77777777" w:rsidTr="009A4ECD">
        <w:trPr>
          <w:jc w:val="center"/>
        </w:trPr>
        <w:tc>
          <w:tcPr>
            <w:tcW w:w="1059" w:type="dxa"/>
            <w:vMerge/>
            <w:vAlign w:val="center"/>
          </w:tcPr>
          <w:p w14:paraId="26A7BF52"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0C636703" w14:textId="77777777" w:rsidR="004475D6" w:rsidRPr="00E61F8B" w:rsidRDefault="004475D6" w:rsidP="009C70C2">
            <w:pPr>
              <w:spacing w:before="42" w:afterLines="20" w:after="84" w:line="240" w:lineRule="exact"/>
              <w:rPr>
                <w:rFonts w:hint="eastAsia"/>
              </w:rPr>
            </w:pPr>
            <w:r w:rsidRPr="00E61F8B">
              <w:rPr>
                <w:rFonts w:hint="eastAsia"/>
              </w:rPr>
              <w:t xml:space="preserve">原判对被告人判处死刑缓期执行没有限制减刑、决定终身监禁的 </w:t>
            </w:r>
          </w:p>
        </w:tc>
        <w:tc>
          <w:tcPr>
            <w:tcW w:w="4230" w:type="dxa"/>
            <w:vAlign w:val="center"/>
          </w:tcPr>
          <w:p w14:paraId="5C7396BC" w14:textId="77777777" w:rsidR="004475D6" w:rsidRPr="00E61F8B" w:rsidRDefault="004475D6" w:rsidP="009C70C2">
            <w:pPr>
              <w:spacing w:before="42" w:afterLines="20" w:after="84" w:line="240" w:lineRule="exact"/>
              <w:rPr>
                <w:rFonts w:hint="eastAsia"/>
              </w:rPr>
            </w:pPr>
            <w:r w:rsidRPr="00E61F8B">
              <w:rPr>
                <w:rFonts w:hint="eastAsia"/>
              </w:rPr>
              <w:t>不得限制减刑、决定终身监禁</w:t>
            </w:r>
          </w:p>
        </w:tc>
      </w:tr>
      <w:tr w:rsidR="004475D6" w:rsidRPr="00E61F8B" w14:paraId="185E3CCA" w14:textId="77777777" w:rsidTr="009A4ECD">
        <w:trPr>
          <w:jc w:val="center"/>
        </w:trPr>
        <w:tc>
          <w:tcPr>
            <w:tcW w:w="1059" w:type="dxa"/>
            <w:vMerge/>
            <w:vAlign w:val="center"/>
          </w:tcPr>
          <w:p w14:paraId="68336F2D"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183CF96D" w14:textId="77777777" w:rsidR="004475D6" w:rsidRPr="00E61F8B" w:rsidRDefault="004475D6" w:rsidP="009C70C2">
            <w:pPr>
              <w:spacing w:before="42" w:afterLines="20" w:after="84" w:line="240" w:lineRule="exact"/>
              <w:rPr>
                <w:rFonts w:cs="仿宋_GB2312" w:hint="eastAsia"/>
                <w:b/>
                <w:bCs/>
              </w:rPr>
            </w:pPr>
            <w:r w:rsidRPr="00E61F8B">
              <w:rPr>
                <w:rFonts w:hint="eastAsia"/>
              </w:rPr>
              <w:t>原判判处的刑罚不当、应当适用附加刑而没有适用的</w:t>
            </w:r>
          </w:p>
        </w:tc>
        <w:tc>
          <w:tcPr>
            <w:tcW w:w="4230" w:type="dxa"/>
            <w:vAlign w:val="center"/>
          </w:tcPr>
          <w:p w14:paraId="76398989" w14:textId="77777777" w:rsidR="004475D6" w:rsidRPr="00E61F8B" w:rsidRDefault="004475D6" w:rsidP="009C70C2">
            <w:pPr>
              <w:spacing w:before="42" w:afterLines="20" w:after="84" w:line="240" w:lineRule="exact"/>
              <w:rPr>
                <w:rFonts w:hint="eastAsia"/>
              </w:rPr>
            </w:pPr>
            <w:r w:rsidRPr="00E61F8B">
              <w:rPr>
                <w:rFonts w:hint="eastAsia"/>
              </w:rPr>
              <w:t>不得直接加重刑罚、适用附加刑。原判判处的刑罚畸轻，必须依法改判的，应当在第二审判决、裁定生效后，依照审判监督程序重新审判</w:t>
            </w:r>
          </w:p>
        </w:tc>
      </w:tr>
      <w:tr w:rsidR="004475D6" w:rsidRPr="00E61F8B" w14:paraId="0A6C9E84" w14:textId="77777777" w:rsidTr="009A4ECD">
        <w:trPr>
          <w:jc w:val="center"/>
        </w:trPr>
        <w:tc>
          <w:tcPr>
            <w:tcW w:w="1059" w:type="dxa"/>
            <w:vMerge/>
            <w:vAlign w:val="center"/>
          </w:tcPr>
          <w:p w14:paraId="724EDA23" w14:textId="77777777" w:rsidR="004475D6" w:rsidRPr="00E61F8B" w:rsidRDefault="004475D6" w:rsidP="009C70C2">
            <w:pPr>
              <w:spacing w:before="42" w:afterLines="20" w:after="84" w:line="240" w:lineRule="exact"/>
              <w:rPr>
                <w:rFonts w:cs="仿宋_GB2312" w:hint="eastAsia"/>
                <w:b/>
                <w:bCs/>
              </w:rPr>
            </w:pPr>
          </w:p>
        </w:tc>
        <w:tc>
          <w:tcPr>
            <w:tcW w:w="3915" w:type="dxa"/>
            <w:vAlign w:val="center"/>
          </w:tcPr>
          <w:p w14:paraId="561358DD" w14:textId="77777777" w:rsidR="004475D6" w:rsidRPr="00E61F8B" w:rsidRDefault="004475D6" w:rsidP="009C70C2">
            <w:pPr>
              <w:spacing w:before="42" w:afterLines="20" w:after="84" w:line="240" w:lineRule="exact"/>
              <w:rPr>
                <w:rFonts w:hint="eastAsia"/>
                <w:color w:val="B00824"/>
              </w:rPr>
            </w:pPr>
            <w:r w:rsidRPr="00E61F8B">
              <w:rPr>
                <w:rFonts w:hint="eastAsia"/>
                <w:color w:val="B00824"/>
              </w:rPr>
              <w:t>被告人或者其法定代理人、辩护</w:t>
            </w:r>
          </w:p>
          <w:p w14:paraId="3F4502B5" w14:textId="77777777" w:rsidR="004475D6" w:rsidRPr="00E61F8B" w:rsidRDefault="004475D6" w:rsidP="009C70C2">
            <w:pPr>
              <w:spacing w:before="42" w:afterLines="20" w:after="84" w:line="240" w:lineRule="exact"/>
              <w:rPr>
                <w:rFonts w:hint="eastAsia"/>
              </w:rPr>
            </w:pPr>
            <w:r w:rsidRPr="00E61F8B">
              <w:rPr>
                <w:rFonts w:hint="eastAsia"/>
                <w:color w:val="B00824"/>
              </w:rPr>
              <w:t xml:space="preserve">人、近亲属提出上诉，人民检察院未提出抗诉的案件，第二审人民法院发回重新审判后 </w:t>
            </w:r>
          </w:p>
        </w:tc>
        <w:tc>
          <w:tcPr>
            <w:tcW w:w="4230" w:type="dxa"/>
            <w:vAlign w:val="center"/>
          </w:tcPr>
          <w:p w14:paraId="5585AD39" w14:textId="77777777" w:rsidR="004475D6" w:rsidRPr="00E61F8B" w:rsidRDefault="004475D6" w:rsidP="009C70C2">
            <w:pPr>
              <w:spacing w:before="42" w:afterLines="20" w:after="84" w:line="240" w:lineRule="exact"/>
              <w:rPr>
                <w:rFonts w:hint="eastAsia"/>
              </w:rPr>
            </w:pPr>
            <w:r w:rsidRPr="00E61F8B">
              <w:rPr>
                <w:rFonts w:hint="eastAsia"/>
                <w:color w:val="B00824"/>
              </w:rPr>
              <w:t>除有新的犯罪事实且人民检察院补充起诉的以外</w:t>
            </w:r>
            <w:r w:rsidRPr="00E61F8B">
              <w:rPr>
                <w:rFonts w:hint="eastAsia"/>
              </w:rPr>
              <w:t>，原审人民法院不得加重被告人的刑罚。</w:t>
            </w:r>
          </w:p>
          <w:p w14:paraId="04534AE3" w14:textId="77777777" w:rsidR="004475D6" w:rsidRPr="00E61F8B" w:rsidRDefault="004475D6" w:rsidP="009C70C2">
            <w:pPr>
              <w:spacing w:before="42" w:afterLines="20" w:after="84" w:line="240" w:lineRule="exact"/>
              <w:rPr>
                <w:rFonts w:hint="eastAsia"/>
                <w:b/>
              </w:rPr>
            </w:pPr>
            <w:r w:rsidRPr="00E61F8B">
              <w:rPr>
                <w:rFonts w:hint="eastAsia"/>
                <w:color w:val="B00824"/>
              </w:rPr>
              <w:t>原审人民法院对上诉发回重新审判的案件依法作出判决后，人民检察院抗诉的，第二审人民法院不得改判为重于原审人民法院第一次判处的刑罚</w:t>
            </w:r>
          </w:p>
        </w:tc>
      </w:tr>
    </w:tbl>
    <w:p w14:paraId="0409DC56" w14:textId="77777777" w:rsidR="004475D6" w:rsidRPr="00E61F8B" w:rsidRDefault="004475D6" w:rsidP="009C70C2">
      <w:pPr>
        <w:spacing w:line="240" w:lineRule="exact"/>
        <w:ind w:firstLineChars="200" w:firstLine="420"/>
        <w:jc w:val="left"/>
        <w:rPr>
          <w:rFonts w:cs="汉仪大宋简" w:hint="eastAsia"/>
          <w:bCs/>
          <w:color w:val="auto"/>
        </w:rPr>
      </w:pPr>
      <w:bookmarkStart w:id="11" w:name="_Toc510879135"/>
      <w:r w:rsidRPr="00E61F8B">
        <w:rPr>
          <w:rFonts w:cs="汉仪大宋简" w:hint="eastAsia"/>
          <w:bCs/>
          <w:color w:val="auto"/>
        </w:rPr>
        <w:t>二、上诉、抗诉的提起与撤回</w:t>
      </w:r>
    </w:p>
    <w:p w14:paraId="0956936E" w14:textId="77777777" w:rsidR="004475D6" w:rsidRPr="00E61F8B" w:rsidRDefault="004475D6" w:rsidP="009C70C2">
      <w:pPr>
        <w:spacing w:line="240" w:lineRule="exact"/>
        <w:ind w:firstLineChars="200" w:firstLine="420"/>
        <w:rPr>
          <w:rFonts w:cs="汉仪大宋简" w:hint="eastAsia"/>
          <w:bCs/>
          <w:color w:val="auto"/>
        </w:rPr>
      </w:pPr>
      <w:r w:rsidRPr="00E61F8B">
        <w:rPr>
          <w:rFonts w:cs="汉仪大宋简" w:hint="eastAsia"/>
          <w:bCs/>
          <w:color w:val="auto"/>
        </w:rPr>
        <w:t>（一）上诉</w:t>
      </w:r>
    </w:p>
    <w:p w14:paraId="5962A1AD" w14:textId="77777777" w:rsidR="004475D6" w:rsidRPr="00E61F8B" w:rsidRDefault="004475D6" w:rsidP="009C70C2">
      <w:pPr>
        <w:widowControl/>
        <w:spacing w:line="240" w:lineRule="exact"/>
        <w:ind w:firstLineChars="200" w:firstLine="420"/>
        <w:rPr>
          <w:rFonts w:hint="eastAsia"/>
        </w:rPr>
      </w:pPr>
      <w:r w:rsidRPr="00E61F8B">
        <w:rPr>
          <w:rFonts w:hint="eastAsia"/>
        </w:rPr>
        <w:t>1．上诉人的范围</w:t>
      </w:r>
    </w:p>
    <w:p w14:paraId="37E144F6" w14:textId="77777777" w:rsidR="004475D6" w:rsidRPr="00E61F8B" w:rsidRDefault="004475D6" w:rsidP="009C70C2">
      <w:pPr>
        <w:widowControl/>
        <w:spacing w:line="240" w:lineRule="exact"/>
        <w:ind w:firstLineChars="200" w:firstLine="420"/>
        <w:rPr>
          <w:rFonts w:hint="eastAsia"/>
          <w:color w:val="B00824"/>
        </w:rPr>
      </w:pPr>
      <w:r w:rsidRPr="00E61F8B">
        <w:rPr>
          <w:rFonts w:hint="eastAsia"/>
        </w:rPr>
        <w:t>地方各级人民法院在宣告第一审判决、裁定时，应当告知</w:t>
      </w:r>
      <w:r w:rsidRPr="00E61F8B">
        <w:rPr>
          <w:rFonts w:hint="eastAsia"/>
          <w:color w:val="B00824"/>
        </w:rPr>
        <w:t>被告人、自诉人及其法定代理人</w:t>
      </w:r>
      <w:r w:rsidRPr="00E61F8B">
        <w:rPr>
          <w:rFonts w:hint="eastAsia"/>
        </w:rPr>
        <w:t>不服</w:t>
      </w:r>
      <w:r w:rsidRPr="00E61F8B">
        <w:rPr>
          <w:rFonts w:hint="eastAsia"/>
          <w:color w:val="B00824"/>
        </w:rPr>
        <w:t>判决和准许撤回起诉、终止审理等裁定</w:t>
      </w:r>
      <w:r w:rsidRPr="00E61F8B">
        <w:rPr>
          <w:rFonts w:hint="eastAsia"/>
        </w:rPr>
        <w:t>的，有权在法定期限内以书面或者口头形式，</w:t>
      </w:r>
      <w:r w:rsidRPr="00E61F8B">
        <w:rPr>
          <w:rFonts w:hint="eastAsia"/>
          <w:color w:val="B00824"/>
        </w:rPr>
        <w:t>通过本院或者直接向上一级人民法院提出上诉</w:t>
      </w:r>
      <w:r w:rsidRPr="00E61F8B">
        <w:rPr>
          <w:rFonts w:hint="eastAsia"/>
        </w:rPr>
        <w:t>；</w:t>
      </w:r>
      <w:r w:rsidRPr="00E61F8B">
        <w:rPr>
          <w:rFonts w:hint="eastAsia"/>
          <w:color w:val="B00824"/>
        </w:rPr>
        <w:t>被告人的辩护人、近亲属经被告人同意</w:t>
      </w:r>
      <w:r w:rsidRPr="00E61F8B">
        <w:rPr>
          <w:rFonts w:hint="eastAsia"/>
        </w:rPr>
        <w:t>，也可以提出上诉；</w:t>
      </w:r>
      <w:r w:rsidRPr="00E61F8B">
        <w:rPr>
          <w:rFonts w:hint="eastAsia"/>
          <w:color w:val="B00824"/>
        </w:rPr>
        <w:t>附带民事诉讼当事人及其法定代理人</w:t>
      </w:r>
      <w:r w:rsidRPr="00E61F8B">
        <w:rPr>
          <w:rFonts w:hint="eastAsia"/>
        </w:rPr>
        <w:t>，可以</w:t>
      </w:r>
      <w:r w:rsidRPr="00E61F8B">
        <w:rPr>
          <w:rFonts w:hint="eastAsia"/>
          <w:color w:val="B00824"/>
        </w:rPr>
        <w:t>对判决、裁定中的附带民事部分提出上诉。</w:t>
      </w:r>
    </w:p>
    <w:p w14:paraId="581F6669" w14:textId="77777777" w:rsidR="004475D6" w:rsidRPr="00E61F8B" w:rsidRDefault="004475D6" w:rsidP="009C70C2">
      <w:pPr>
        <w:widowControl/>
        <w:spacing w:line="240" w:lineRule="exact"/>
        <w:ind w:firstLineChars="200" w:firstLine="420"/>
        <w:rPr>
          <w:rFonts w:hint="eastAsia"/>
          <w:color w:val="auto"/>
        </w:rPr>
      </w:pPr>
      <w:r w:rsidRPr="00E61F8B">
        <w:rPr>
          <w:rFonts w:hint="eastAsia"/>
          <w:color w:val="auto"/>
        </w:rPr>
        <w:t>2．上诉的期限：判决（包括附带民事诉讼部分）为十日，裁定为五日。</w:t>
      </w:r>
    </w:p>
    <w:p w14:paraId="47A8AA34" w14:textId="77777777" w:rsidR="004475D6" w:rsidRPr="00E61F8B" w:rsidRDefault="004475D6" w:rsidP="009C70C2">
      <w:pPr>
        <w:widowControl/>
        <w:spacing w:line="240" w:lineRule="exact"/>
        <w:ind w:firstLineChars="200" w:firstLine="420"/>
        <w:rPr>
          <w:rFonts w:hint="eastAsia"/>
        </w:rPr>
      </w:pPr>
      <w:r w:rsidRPr="00E61F8B">
        <w:rPr>
          <w:rFonts w:hint="eastAsia"/>
        </w:rPr>
        <w:t>3．上诉的撤回</w:t>
      </w:r>
    </w:p>
    <w:p w14:paraId="2C96617C" w14:textId="77777777" w:rsidR="004475D6" w:rsidRPr="00E61F8B" w:rsidRDefault="004475D6" w:rsidP="009C70C2">
      <w:pPr>
        <w:widowControl/>
        <w:spacing w:line="240" w:lineRule="exact"/>
        <w:ind w:firstLineChars="200" w:firstLine="420"/>
        <w:rPr>
          <w:rFonts w:hint="eastAsia"/>
        </w:rPr>
      </w:pPr>
      <w:r w:rsidRPr="00E61F8B">
        <w:rPr>
          <w:rFonts w:hint="eastAsia"/>
        </w:rPr>
        <w:t>（1）上诉人在</w:t>
      </w:r>
      <w:r w:rsidRPr="00E61F8B">
        <w:rPr>
          <w:rFonts w:hint="eastAsia"/>
          <w:color w:val="B00824"/>
        </w:rPr>
        <w:t>上诉期限内</w:t>
      </w:r>
      <w:r w:rsidRPr="00E61F8B">
        <w:rPr>
          <w:rFonts w:hint="eastAsia"/>
        </w:rPr>
        <w:t>要求撤回上诉的，人民法院应当准许。</w:t>
      </w:r>
    </w:p>
    <w:p w14:paraId="2026AEA9" w14:textId="77777777" w:rsidR="004475D6" w:rsidRPr="00E61F8B" w:rsidRDefault="004475D6" w:rsidP="009C70C2">
      <w:pPr>
        <w:widowControl/>
        <w:spacing w:line="240" w:lineRule="exact"/>
        <w:ind w:firstLineChars="200" w:firstLine="420"/>
        <w:rPr>
          <w:rFonts w:hint="eastAsia"/>
        </w:rPr>
      </w:pPr>
      <w:r w:rsidRPr="00E61F8B">
        <w:rPr>
          <w:rFonts w:hint="eastAsia"/>
        </w:rPr>
        <w:t>（2）上诉人在</w:t>
      </w:r>
      <w:r w:rsidRPr="00E61F8B">
        <w:rPr>
          <w:rFonts w:hint="eastAsia"/>
          <w:color w:val="B00824"/>
        </w:rPr>
        <w:t>上诉期满后</w:t>
      </w:r>
      <w:r w:rsidRPr="00E61F8B">
        <w:rPr>
          <w:rFonts w:hint="eastAsia"/>
        </w:rPr>
        <w:t>要求撤回上诉的，第二审人民法院经审查，认为原判认定事实和适用法律正确，量刑适当的，应当裁定准许；认为原判确有错误的，应当不予准许，继续按照上诉案件审理。</w:t>
      </w:r>
    </w:p>
    <w:p w14:paraId="0707505B" w14:textId="77777777" w:rsidR="004475D6" w:rsidRPr="00E61F8B" w:rsidRDefault="004475D6" w:rsidP="009C70C2">
      <w:pPr>
        <w:widowControl/>
        <w:spacing w:line="240" w:lineRule="exact"/>
        <w:ind w:firstLineChars="200" w:firstLine="420"/>
        <w:rPr>
          <w:rFonts w:hint="eastAsia"/>
        </w:rPr>
      </w:pPr>
      <w:r w:rsidRPr="00E61F8B">
        <w:rPr>
          <w:rFonts w:hint="eastAsia"/>
        </w:rPr>
        <w:t>（3）被判处</w:t>
      </w:r>
      <w:r w:rsidRPr="00E61F8B">
        <w:rPr>
          <w:rFonts w:hint="eastAsia"/>
          <w:color w:val="B00824"/>
        </w:rPr>
        <w:t>死刑立即执行的被告人提出上诉</w:t>
      </w:r>
      <w:r w:rsidRPr="00E61F8B">
        <w:rPr>
          <w:rFonts w:hint="eastAsia"/>
        </w:rPr>
        <w:t>，在第二审开庭后宣告裁判前申请撤回上诉的，应当不予准许，继续按照上诉案件审理。</w:t>
      </w:r>
    </w:p>
    <w:p w14:paraId="3EA2670F" w14:textId="77777777" w:rsidR="004475D6" w:rsidRPr="00E61F8B" w:rsidRDefault="004475D6" w:rsidP="009C70C2">
      <w:pPr>
        <w:spacing w:line="240" w:lineRule="exact"/>
        <w:ind w:firstLineChars="200" w:firstLine="420"/>
        <w:rPr>
          <w:rFonts w:cs="汉仪大宋简" w:hint="eastAsia"/>
          <w:bCs/>
          <w:color w:val="auto"/>
        </w:rPr>
      </w:pPr>
      <w:r w:rsidRPr="00E61F8B">
        <w:rPr>
          <w:rFonts w:cs="汉仪大宋简" w:hint="eastAsia"/>
          <w:bCs/>
          <w:color w:val="auto"/>
        </w:rPr>
        <w:t>（二）抗诉</w:t>
      </w:r>
    </w:p>
    <w:p w14:paraId="77588688" w14:textId="77777777" w:rsidR="004475D6" w:rsidRPr="00E61F8B" w:rsidRDefault="004475D6" w:rsidP="009C70C2">
      <w:pPr>
        <w:widowControl/>
        <w:spacing w:line="240" w:lineRule="exact"/>
        <w:ind w:firstLineChars="200" w:firstLine="420"/>
        <w:rPr>
          <w:rFonts w:hint="eastAsia"/>
          <w:color w:val="B00824"/>
        </w:rPr>
      </w:pPr>
      <w:r w:rsidRPr="00E61F8B">
        <w:t>1.</w:t>
      </w:r>
      <w:r w:rsidRPr="00E61F8B">
        <w:rPr>
          <w:rFonts w:hint="eastAsia"/>
        </w:rPr>
        <w:t>二审抗诉的主体：</w:t>
      </w:r>
      <w:r w:rsidRPr="00E61F8B">
        <w:rPr>
          <w:rFonts w:hint="eastAsia"/>
          <w:color w:val="B00824"/>
        </w:rPr>
        <w:t>一审法院的同级人民检察院</w:t>
      </w:r>
      <w:r w:rsidRPr="00E61F8B">
        <w:rPr>
          <w:rFonts w:hint="eastAsia"/>
        </w:rPr>
        <w:t>，应当</w:t>
      </w:r>
      <w:r w:rsidRPr="00E61F8B">
        <w:rPr>
          <w:rFonts w:hint="eastAsia"/>
          <w:color w:val="B00824"/>
        </w:rPr>
        <w:t>通过第一审人民法院提交抗诉书。注意：</w:t>
      </w:r>
      <w:r w:rsidRPr="00E61F8B">
        <w:rPr>
          <w:rFonts w:hint="eastAsia"/>
        </w:rPr>
        <w:t>上级人民检察院认为应当抗诉的，</w:t>
      </w:r>
      <w:r w:rsidRPr="00E61F8B">
        <w:rPr>
          <w:rFonts w:hint="eastAsia"/>
          <w:color w:val="B00824"/>
        </w:rPr>
        <w:t>只能指令一审法院的同级人民检察院在抗诉期内提起抗诉，不能直接提起二审抗诉</w:t>
      </w:r>
      <w:r w:rsidRPr="00E61F8B">
        <w:rPr>
          <w:rFonts w:hint="eastAsia"/>
        </w:rPr>
        <w:t>。对已经提起的抗诉，认为不当的，直接向二审法院撤回</w:t>
      </w:r>
    </w:p>
    <w:p w14:paraId="1A2E18AD" w14:textId="77777777" w:rsidR="004475D6" w:rsidRPr="00E61F8B" w:rsidRDefault="004475D6" w:rsidP="009C70C2">
      <w:pPr>
        <w:widowControl/>
        <w:spacing w:line="240" w:lineRule="exact"/>
        <w:ind w:firstLineChars="200" w:firstLine="420"/>
        <w:rPr>
          <w:rFonts w:hint="eastAsia"/>
        </w:rPr>
      </w:pPr>
      <w:r w:rsidRPr="00E61F8B">
        <w:t>2.</w:t>
      </w:r>
      <w:r w:rsidRPr="00E61F8B">
        <w:rPr>
          <w:rFonts w:hint="eastAsia"/>
        </w:rPr>
        <w:t>抗诉的撤回：（1）人民检察院在</w:t>
      </w:r>
      <w:r w:rsidRPr="00E61F8B">
        <w:rPr>
          <w:rFonts w:hint="eastAsia"/>
          <w:color w:val="B00824"/>
        </w:rPr>
        <w:t>抗诉期限内</w:t>
      </w:r>
      <w:r w:rsidRPr="00E61F8B">
        <w:rPr>
          <w:rFonts w:hint="eastAsia"/>
        </w:rPr>
        <w:t>要求撤回抗诉的，</w:t>
      </w:r>
      <w:r w:rsidRPr="00E61F8B">
        <w:rPr>
          <w:rFonts w:hint="eastAsia"/>
          <w:color w:val="B00824"/>
        </w:rPr>
        <w:t>人民法院应当准许。</w:t>
      </w:r>
      <w:r w:rsidRPr="00E61F8B">
        <w:rPr>
          <w:rFonts w:hint="eastAsia"/>
        </w:rPr>
        <w:t>（2）人民检察院在</w:t>
      </w:r>
      <w:r w:rsidRPr="00E61F8B">
        <w:rPr>
          <w:rFonts w:hint="eastAsia"/>
          <w:color w:val="B00824"/>
        </w:rPr>
        <w:t>抗诉期满后</w:t>
      </w:r>
      <w:r w:rsidRPr="00E61F8B">
        <w:rPr>
          <w:rFonts w:hint="eastAsia"/>
        </w:rPr>
        <w:t>要求撤回抗诉的，第二审人民法院可以裁定准许，</w:t>
      </w:r>
      <w:r w:rsidRPr="00E61F8B">
        <w:rPr>
          <w:rFonts w:hint="eastAsia"/>
          <w:color w:val="B00824"/>
        </w:rPr>
        <w:t>但是认为原判存在将无罪判为有罪、轻罪重判等情形的，应当不予准许，继续审理。</w:t>
      </w:r>
      <w:r w:rsidRPr="00E61F8B">
        <w:rPr>
          <w:rFonts w:hint="eastAsia"/>
        </w:rPr>
        <w:t>上级人民检察院认为下级人民检察院抗诉不当，向第二审人民法院要求撤回抗诉的，适用前述规定。</w:t>
      </w:r>
    </w:p>
    <w:p w14:paraId="757575B1" w14:textId="77777777" w:rsidR="004475D6" w:rsidRPr="00E61F8B" w:rsidRDefault="004475D6" w:rsidP="009C70C2">
      <w:pPr>
        <w:spacing w:line="240" w:lineRule="exact"/>
        <w:ind w:firstLineChars="200" w:firstLine="420"/>
        <w:jc w:val="left"/>
        <w:rPr>
          <w:rFonts w:cs="汉仪大宋简" w:hint="eastAsia"/>
          <w:bCs/>
          <w:color w:val="auto"/>
        </w:rPr>
      </w:pPr>
      <w:r w:rsidRPr="00E61F8B">
        <w:rPr>
          <w:rFonts w:cs="汉仪大宋简" w:hint="eastAsia"/>
          <w:bCs/>
          <w:color w:val="auto"/>
        </w:rPr>
        <w:lastRenderedPageBreak/>
        <w:t>三、二审案件开庭审理的范围</w:t>
      </w:r>
      <w:bookmarkEnd w:id="11"/>
    </w:p>
    <w:p w14:paraId="36310721" w14:textId="07EF4349" w:rsidR="004475D6" w:rsidRPr="00E61F8B" w:rsidRDefault="004475D6" w:rsidP="009C70C2">
      <w:pPr>
        <w:spacing w:line="240" w:lineRule="exact"/>
        <w:ind w:firstLineChars="200" w:firstLine="420"/>
        <w:jc w:val="left"/>
        <w:rPr>
          <w:rFonts w:cs="汉仪大宋简" w:hint="eastAsia"/>
          <w:bCs/>
          <w:color w:val="auto"/>
        </w:rPr>
      </w:pPr>
      <w:r w:rsidRPr="00E61F8B">
        <w:rPr>
          <w:rFonts w:hint="eastAsia"/>
          <w:bCs/>
        </w:rPr>
        <w:t>二审应当开庭的案件</w:t>
      </w:r>
      <w:r w:rsidR="00906794">
        <w:rPr>
          <w:rFonts w:hint="eastAsia"/>
          <w:bCs/>
        </w:rPr>
        <w:t>1.</w:t>
      </w:r>
      <w:r w:rsidRPr="00E61F8B">
        <w:rPr>
          <w:rFonts w:hint="eastAsia"/>
        </w:rPr>
        <w:t>被告人、自诉人及其法定代理人对第一审认定的事实、证据提出异议，可能影响定罪量刑的上诉案件</w:t>
      </w:r>
      <w:r w:rsidR="00906794">
        <w:rPr>
          <w:rFonts w:hint="eastAsia"/>
        </w:rPr>
        <w:t>；2.</w:t>
      </w:r>
      <w:r w:rsidRPr="00E61F8B">
        <w:rPr>
          <w:rFonts w:hint="eastAsia"/>
        </w:rPr>
        <w:t>被告人被判处死刑（包括死缓）的上诉案件（含被判处死刑立即执行的被告人没有上诉，同案其他被告人上诉的案件）</w:t>
      </w:r>
      <w:r w:rsidR="00906794">
        <w:rPr>
          <w:rFonts w:hint="eastAsia"/>
        </w:rPr>
        <w:t>；3.</w:t>
      </w:r>
      <w:r w:rsidRPr="00E61F8B">
        <w:rPr>
          <w:rFonts w:hint="eastAsia"/>
        </w:rPr>
        <w:t>人民检察院抗诉的案件</w:t>
      </w:r>
      <w:r w:rsidR="00906794">
        <w:rPr>
          <w:rFonts w:hint="eastAsia"/>
        </w:rPr>
        <w:t>；4.</w:t>
      </w:r>
      <w:r w:rsidRPr="00E61F8B">
        <w:rPr>
          <w:rFonts w:hint="eastAsia"/>
        </w:rPr>
        <w:t>应当开庭审理的其他案件</w:t>
      </w:r>
      <w:r w:rsidRPr="00E61F8B">
        <w:rPr>
          <w:rFonts w:cs="汉仪大宋简" w:hint="eastAsia"/>
          <w:bCs/>
          <w:color w:val="auto"/>
        </w:rPr>
        <w:t>。</w:t>
      </w:r>
      <w:r w:rsidRPr="00E61F8B">
        <w:rPr>
          <w:rFonts w:hint="eastAsia"/>
          <w:color w:val="B00824"/>
        </w:rPr>
        <w:t>注意：</w:t>
      </w:r>
      <w:r w:rsidRPr="00E61F8B">
        <w:rPr>
          <w:rFonts w:hint="eastAsia"/>
        </w:rPr>
        <w:t>对上诉、抗诉案件，第二审人民法院经审查，认为原判事实不清、证据不足，或者具有刑事诉讼法第二百三十八条规定的违反法定诉讼程序情形，</w:t>
      </w:r>
      <w:r w:rsidRPr="00E61F8B">
        <w:rPr>
          <w:rFonts w:hint="eastAsia"/>
          <w:color w:val="B00824"/>
        </w:rPr>
        <w:t>需要发回重新审判的，可以不开庭审理</w:t>
      </w:r>
      <w:r w:rsidRPr="00E61F8B">
        <w:rPr>
          <w:rFonts w:hint="eastAsia"/>
        </w:rPr>
        <w:t>。</w:t>
      </w:r>
    </w:p>
    <w:p w14:paraId="479834DB" w14:textId="1E6C887C" w:rsidR="00EE1F10" w:rsidRPr="00E61F8B" w:rsidRDefault="004475D6" w:rsidP="00EE1F10">
      <w:pPr>
        <w:spacing w:line="240" w:lineRule="exact"/>
        <w:ind w:firstLineChars="200" w:firstLine="420"/>
        <w:jc w:val="left"/>
        <w:rPr>
          <w:rFonts w:cs="汉仪大宋简" w:hint="eastAsia"/>
          <w:bCs/>
          <w:color w:val="FF0000"/>
        </w:rPr>
      </w:pPr>
      <w:bookmarkStart w:id="12" w:name="_Toc510879140"/>
      <w:r w:rsidRPr="00E61F8B">
        <w:rPr>
          <w:rFonts w:cs="汉仪大宋简" w:hint="eastAsia"/>
          <w:bCs/>
          <w:color w:val="auto"/>
        </w:rPr>
        <w:t>四、</w:t>
      </w:r>
      <w:r w:rsidRPr="00E61F8B">
        <w:rPr>
          <w:rFonts w:cs="汉仪大宋简"/>
          <w:bCs/>
          <w:color w:val="auto"/>
        </w:rPr>
        <w:t>对上诉</w:t>
      </w:r>
      <w:r w:rsidRPr="00E61F8B">
        <w:rPr>
          <w:rFonts w:cs="汉仪大宋简" w:hint="eastAsia"/>
          <w:bCs/>
          <w:color w:val="auto"/>
        </w:rPr>
        <w:t>、</w:t>
      </w:r>
      <w:r w:rsidRPr="00E61F8B">
        <w:rPr>
          <w:rFonts w:cs="汉仪大宋简"/>
          <w:bCs/>
          <w:color w:val="auto"/>
        </w:rPr>
        <w:t>抗诉案件审理后的处理</w:t>
      </w:r>
      <w:bookmarkEnd w:id="12"/>
      <w:r w:rsidRPr="00E61F8B">
        <w:rPr>
          <w:rFonts w:cs="汉仪大宋简" w:hint="eastAsia"/>
          <w:bCs/>
          <w:color w:val="FF0000"/>
        </w:rPr>
        <w:t>（事实不清可改可发，仅仅量刑不当应当改，只要程序违法一律撤）</w:t>
      </w:r>
    </w:p>
    <w:tbl>
      <w:tblPr>
        <w:tblStyle w:val="a9"/>
        <w:tblW w:w="89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6"/>
        <w:gridCol w:w="1993"/>
        <w:gridCol w:w="1817"/>
        <w:gridCol w:w="4635"/>
      </w:tblGrid>
      <w:tr w:rsidR="004475D6" w:rsidRPr="00E61F8B" w14:paraId="281F58E3" w14:textId="77777777" w:rsidTr="009A4ECD">
        <w:trPr>
          <w:jc w:val="center"/>
        </w:trPr>
        <w:tc>
          <w:tcPr>
            <w:tcW w:w="476" w:type="dxa"/>
            <w:vAlign w:val="center"/>
          </w:tcPr>
          <w:p w14:paraId="0BC25C73" w14:textId="77777777" w:rsidR="004475D6" w:rsidRPr="00E61F8B" w:rsidRDefault="004475D6" w:rsidP="009C70C2">
            <w:pPr>
              <w:spacing w:before="42" w:afterLines="20" w:after="84" w:line="240" w:lineRule="exact"/>
              <w:rPr>
                <w:rFonts w:hint="eastAsia"/>
                <w:b/>
              </w:rPr>
            </w:pPr>
          </w:p>
        </w:tc>
        <w:tc>
          <w:tcPr>
            <w:tcW w:w="1993" w:type="dxa"/>
            <w:vAlign w:val="center"/>
          </w:tcPr>
          <w:p w14:paraId="3A616BE3" w14:textId="77777777" w:rsidR="004475D6" w:rsidRPr="00E61F8B" w:rsidRDefault="004475D6" w:rsidP="009C70C2">
            <w:pPr>
              <w:spacing w:before="42" w:afterLines="20" w:after="84" w:line="240" w:lineRule="exact"/>
              <w:jc w:val="center"/>
              <w:rPr>
                <w:rFonts w:hint="eastAsia"/>
                <w:bCs/>
              </w:rPr>
            </w:pPr>
            <w:r w:rsidRPr="00E61F8B">
              <w:rPr>
                <w:rFonts w:hint="eastAsia"/>
                <w:bCs/>
              </w:rPr>
              <w:t>事实、证据</w:t>
            </w:r>
          </w:p>
        </w:tc>
        <w:tc>
          <w:tcPr>
            <w:tcW w:w="1817" w:type="dxa"/>
            <w:vAlign w:val="center"/>
          </w:tcPr>
          <w:p w14:paraId="4674C193" w14:textId="77777777" w:rsidR="004475D6" w:rsidRPr="00E61F8B" w:rsidRDefault="004475D6" w:rsidP="009C70C2">
            <w:pPr>
              <w:spacing w:before="42" w:afterLines="20" w:after="84" w:line="240" w:lineRule="exact"/>
              <w:jc w:val="center"/>
              <w:rPr>
                <w:rFonts w:hint="eastAsia"/>
                <w:bCs/>
              </w:rPr>
            </w:pPr>
            <w:r w:rsidRPr="00E61F8B">
              <w:rPr>
                <w:rFonts w:hint="eastAsia"/>
                <w:bCs/>
              </w:rPr>
              <w:t>适用法律、量刑</w:t>
            </w:r>
          </w:p>
        </w:tc>
        <w:tc>
          <w:tcPr>
            <w:tcW w:w="4635" w:type="dxa"/>
            <w:vAlign w:val="center"/>
          </w:tcPr>
          <w:p w14:paraId="083303A4" w14:textId="77777777" w:rsidR="004475D6" w:rsidRPr="00E61F8B" w:rsidRDefault="004475D6" w:rsidP="009C70C2">
            <w:pPr>
              <w:spacing w:before="42" w:afterLines="20" w:after="84" w:line="240" w:lineRule="exact"/>
              <w:jc w:val="center"/>
              <w:rPr>
                <w:rFonts w:hint="eastAsia"/>
                <w:bCs/>
              </w:rPr>
            </w:pPr>
            <w:r w:rsidRPr="00E61F8B">
              <w:rPr>
                <w:rFonts w:hint="eastAsia"/>
                <w:bCs/>
              </w:rPr>
              <w:t>处理</w:t>
            </w:r>
          </w:p>
        </w:tc>
      </w:tr>
      <w:tr w:rsidR="004475D6" w:rsidRPr="00E61F8B" w14:paraId="6BFCCCF4" w14:textId="77777777" w:rsidTr="009A4ECD">
        <w:trPr>
          <w:trHeight w:val="310"/>
          <w:jc w:val="center"/>
        </w:trPr>
        <w:tc>
          <w:tcPr>
            <w:tcW w:w="476" w:type="dxa"/>
            <w:vMerge w:val="restart"/>
            <w:vAlign w:val="center"/>
          </w:tcPr>
          <w:p w14:paraId="55A1B9AE" w14:textId="77777777" w:rsidR="004475D6" w:rsidRPr="00E61F8B" w:rsidRDefault="004475D6" w:rsidP="009C70C2">
            <w:pPr>
              <w:spacing w:before="42" w:afterLines="20" w:after="84" w:line="240" w:lineRule="exact"/>
              <w:rPr>
                <w:rFonts w:hint="eastAsia"/>
              </w:rPr>
            </w:pPr>
            <w:r w:rsidRPr="00E61F8B">
              <w:rPr>
                <w:rFonts w:hint="eastAsia"/>
              </w:rPr>
              <w:t>原判决、</w:t>
            </w:r>
          </w:p>
          <w:p w14:paraId="385D3169" w14:textId="77777777" w:rsidR="004475D6" w:rsidRPr="00E61F8B" w:rsidRDefault="004475D6" w:rsidP="009C70C2">
            <w:pPr>
              <w:spacing w:before="42" w:afterLines="20" w:after="84" w:line="240" w:lineRule="exact"/>
              <w:rPr>
                <w:rFonts w:hint="eastAsia"/>
              </w:rPr>
            </w:pPr>
            <w:r w:rsidRPr="00E61F8B">
              <w:rPr>
                <w:rFonts w:hint="eastAsia"/>
              </w:rPr>
              <w:t>裁定</w:t>
            </w:r>
          </w:p>
        </w:tc>
        <w:tc>
          <w:tcPr>
            <w:tcW w:w="1993" w:type="dxa"/>
            <w:vMerge w:val="restart"/>
            <w:vAlign w:val="center"/>
          </w:tcPr>
          <w:p w14:paraId="6A3D63E1" w14:textId="77777777" w:rsidR="004475D6" w:rsidRPr="00E61F8B" w:rsidRDefault="004475D6" w:rsidP="009C70C2">
            <w:pPr>
              <w:spacing w:before="42" w:afterLines="20" w:after="84" w:line="240" w:lineRule="exact"/>
              <w:rPr>
                <w:rFonts w:hint="eastAsia"/>
              </w:rPr>
            </w:pPr>
            <w:r w:rsidRPr="00E61F8B">
              <w:rPr>
                <w:rFonts w:hint="eastAsia"/>
              </w:rPr>
              <w:t>认定事实正确</w:t>
            </w:r>
          </w:p>
        </w:tc>
        <w:tc>
          <w:tcPr>
            <w:tcW w:w="1817" w:type="dxa"/>
            <w:vAlign w:val="center"/>
          </w:tcPr>
          <w:p w14:paraId="502DADAB" w14:textId="77777777" w:rsidR="004475D6" w:rsidRPr="00E61F8B" w:rsidRDefault="004475D6" w:rsidP="009C70C2">
            <w:pPr>
              <w:spacing w:before="42" w:afterLines="20" w:after="84" w:line="240" w:lineRule="exact"/>
              <w:rPr>
                <w:rFonts w:hint="eastAsia"/>
              </w:rPr>
            </w:pPr>
            <w:r w:rsidRPr="00E61F8B">
              <w:rPr>
                <w:rFonts w:hint="eastAsia"/>
              </w:rPr>
              <w:t>适用法律正确</w:t>
            </w:r>
          </w:p>
        </w:tc>
        <w:tc>
          <w:tcPr>
            <w:tcW w:w="4635" w:type="dxa"/>
            <w:vMerge w:val="restart"/>
            <w:vAlign w:val="center"/>
          </w:tcPr>
          <w:p w14:paraId="036C476D" w14:textId="77777777" w:rsidR="004475D6" w:rsidRPr="00E61F8B" w:rsidRDefault="004475D6" w:rsidP="009C70C2">
            <w:pPr>
              <w:spacing w:before="42" w:afterLines="20" w:after="84" w:line="240" w:lineRule="exact"/>
              <w:rPr>
                <w:rFonts w:hint="eastAsia"/>
              </w:rPr>
            </w:pPr>
            <w:r w:rsidRPr="00E61F8B">
              <w:rPr>
                <w:rFonts w:hint="eastAsia"/>
              </w:rPr>
              <w:t>裁定驳回上诉或抗诉，维持原判</w:t>
            </w:r>
          </w:p>
        </w:tc>
      </w:tr>
      <w:tr w:rsidR="004475D6" w:rsidRPr="00E61F8B" w14:paraId="1F737A81" w14:textId="77777777" w:rsidTr="009A4ECD">
        <w:trPr>
          <w:trHeight w:val="271"/>
          <w:jc w:val="center"/>
        </w:trPr>
        <w:tc>
          <w:tcPr>
            <w:tcW w:w="476" w:type="dxa"/>
            <w:vMerge/>
            <w:vAlign w:val="center"/>
          </w:tcPr>
          <w:p w14:paraId="5C4F9ADC" w14:textId="77777777" w:rsidR="004475D6" w:rsidRPr="00E61F8B" w:rsidRDefault="004475D6" w:rsidP="009C70C2">
            <w:pPr>
              <w:spacing w:before="42" w:afterLines="20" w:after="84" w:line="240" w:lineRule="exact"/>
              <w:rPr>
                <w:rFonts w:hint="eastAsia"/>
              </w:rPr>
            </w:pPr>
          </w:p>
        </w:tc>
        <w:tc>
          <w:tcPr>
            <w:tcW w:w="1993" w:type="dxa"/>
            <w:vMerge/>
            <w:vAlign w:val="center"/>
          </w:tcPr>
          <w:p w14:paraId="74F4CB40" w14:textId="77777777" w:rsidR="004475D6" w:rsidRPr="00E61F8B" w:rsidRDefault="004475D6" w:rsidP="009C70C2">
            <w:pPr>
              <w:spacing w:before="42" w:afterLines="20" w:after="84" w:line="240" w:lineRule="exact"/>
              <w:rPr>
                <w:rFonts w:hint="eastAsia"/>
              </w:rPr>
            </w:pPr>
          </w:p>
        </w:tc>
        <w:tc>
          <w:tcPr>
            <w:tcW w:w="1817" w:type="dxa"/>
            <w:vAlign w:val="center"/>
          </w:tcPr>
          <w:p w14:paraId="6E265494" w14:textId="77777777" w:rsidR="004475D6" w:rsidRPr="00E61F8B" w:rsidRDefault="004475D6" w:rsidP="009C70C2">
            <w:pPr>
              <w:spacing w:before="42" w:afterLines="20" w:after="84" w:line="240" w:lineRule="exact"/>
              <w:rPr>
                <w:rFonts w:hint="eastAsia"/>
              </w:rPr>
            </w:pPr>
            <w:r w:rsidRPr="00E61F8B">
              <w:rPr>
                <w:rFonts w:hint="eastAsia"/>
              </w:rPr>
              <w:t>量刑适当</w:t>
            </w:r>
          </w:p>
        </w:tc>
        <w:tc>
          <w:tcPr>
            <w:tcW w:w="4635" w:type="dxa"/>
            <w:vMerge/>
            <w:vAlign w:val="center"/>
          </w:tcPr>
          <w:p w14:paraId="4F879532" w14:textId="77777777" w:rsidR="004475D6" w:rsidRPr="00E61F8B" w:rsidRDefault="004475D6" w:rsidP="009C70C2">
            <w:pPr>
              <w:spacing w:before="42" w:afterLines="20" w:after="84" w:line="240" w:lineRule="exact"/>
              <w:rPr>
                <w:rFonts w:hint="eastAsia"/>
              </w:rPr>
            </w:pPr>
          </w:p>
        </w:tc>
      </w:tr>
      <w:tr w:rsidR="004475D6" w:rsidRPr="00E61F8B" w14:paraId="6FCAF10E" w14:textId="77777777" w:rsidTr="009A4ECD">
        <w:trPr>
          <w:trHeight w:val="235"/>
          <w:jc w:val="center"/>
        </w:trPr>
        <w:tc>
          <w:tcPr>
            <w:tcW w:w="476" w:type="dxa"/>
            <w:vMerge/>
            <w:vAlign w:val="center"/>
          </w:tcPr>
          <w:p w14:paraId="2C2F6A73" w14:textId="77777777" w:rsidR="004475D6" w:rsidRPr="00E61F8B" w:rsidRDefault="004475D6" w:rsidP="009C70C2">
            <w:pPr>
              <w:spacing w:before="42" w:afterLines="20" w:after="84" w:line="240" w:lineRule="exact"/>
              <w:rPr>
                <w:rFonts w:hint="eastAsia"/>
              </w:rPr>
            </w:pPr>
          </w:p>
        </w:tc>
        <w:tc>
          <w:tcPr>
            <w:tcW w:w="1993" w:type="dxa"/>
            <w:vMerge w:val="restart"/>
            <w:vAlign w:val="center"/>
          </w:tcPr>
          <w:p w14:paraId="32139179" w14:textId="77777777" w:rsidR="004475D6" w:rsidRPr="00E61F8B" w:rsidRDefault="004475D6" w:rsidP="009C70C2">
            <w:pPr>
              <w:spacing w:before="42" w:afterLines="20" w:after="84" w:line="240" w:lineRule="exact"/>
              <w:rPr>
                <w:rFonts w:hint="eastAsia"/>
              </w:rPr>
            </w:pPr>
            <w:r w:rsidRPr="00E61F8B">
              <w:rPr>
                <w:rFonts w:hint="eastAsia"/>
              </w:rPr>
              <w:t>认定事实没有错误</w:t>
            </w:r>
          </w:p>
        </w:tc>
        <w:tc>
          <w:tcPr>
            <w:tcW w:w="1817" w:type="dxa"/>
            <w:vAlign w:val="center"/>
          </w:tcPr>
          <w:p w14:paraId="33C0A4AD" w14:textId="77777777" w:rsidR="004475D6" w:rsidRPr="00E61F8B" w:rsidRDefault="004475D6" w:rsidP="009C70C2">
            <w:pPr>
              <w:spacing w:before="42" w:afterLines="20" w:after="84" w:line="240" w:lineRule="exact"/>
              <w:rPr>
                <w:rFonts w:hint="eastAsia"/>
              </w:rPr>
            </w:pPr>
            <w:r w:rsidRPr="00E61F8B">
              <w:rPr>
                <w:rFonts w:hint="eastAsia"/>
              </w:rPr>
              <w:t>适用法律有错误</w:t>
            </w:r>
          </w:p>
        </w:tc>
        <w:tc>
          <w:tcPr>
            <w:tcW w:w="4635" w:type="dxa"/>
            <w:vMerge w:val="restart"/>
            <w:vAlign w:val="center"/>
          </w:tcPr>
          <w:p w14:paraId="007A52E6" w14:textId="77777777" w:rsidR="004475D6" w:rsidRPr="00E61F8B" w:rsidRDefault="004475D6" w:rsidP="009C70C2">
            <w:pPr>
              <w:spacing w:before="42" w:afterLines="20" w:after="84" w:line="240" w:lineRule="exact"/>
              <w:rPr>
                <w:rFonts w:hint="eastAsia"/>
              </w:rPr>
            </w:pPr>
            <w:r w:rsidRPr="00E61F8B">
              <w:rPr>
                <w:rFonts w:hint="eastAsia"/>
              </w:rPr>
              <w:t>应当改判</w:t>
            </w:r>
          </w:p>
        </w:tc>
      </w:tr>
      <w:tr w:rsidR="004475D6" w:rsidRPr="00E61F8B" w14:paraId="7DAB62CB" w14:textId="77777777" w:rsidTr="009A4ECD">
        <w:trPr>
          <w:trHeight w:val="234"/>
          <w:jc w:val="center"/>
        </w:trPr>
        <w:tc>
          <w:tcPr>
            <w:tcW w:w="476" w:type="dxa"/>
            <w:vMerge/>
            <w:vAlign w:val="center"/>
          </w:tcPr>
          <w:p w14:paraId="578EAC6F" w14:textId="77777777" w:rsidR="004475D6" w:rsidRPr="00E61F8B" w:rsidRDefault="004475D6" w:rsidP="009C70C2">
            <w:pPr>
              <w:spacing w:before="42" w:afterLines="20" w:after="84" w:line="240" w:lineRule="exact"/>
              <w:rPr>
                <w:rFonts w:hint="eastAsia"/>
              </w:rPr>
            </w:pPr>
          </w:p>
        </w:tc>
        <w:tc>
          <w:tcPr>
            <w:tcW w:w="1993" w:type="dxa"/>
            <w:vMerge/>
            <w:vAlign w:val="center"/>
          </w:tcPr>
          <w:p w14:paraId="1779F791" w14:textId="77777777" w:rsidR="004475D6" w:rsidRPr="00E61F8B" w:rsidRDefault="004475D6" w:rsidP="009C70C2">
            <w:pPr>
              <w:spacing w:before="42" w:afterLines="20" w:after="84" w:line="240" w:lineRule="exact"/>
              <w:rPr>
                <w:rFonts w:hint="eastAsia"/>
              </w:rPr>
            </w:pPr>
          </w:p>
        </w:tc>
        <w:tc>
          <w:tcPr>
            <w:tcW w:w="1817" w:type="dxa"/>
            <w:vAlign w:val="center"/>
          </w:tcPr>
          <w:p w14:paraId="3D1B35F7" w14:textId="77777777" w:rsidR="004475D6" w:rsidRPr="00E61F8B" w:rsidRDefault="004475D6" w:rsidP="009C70C2">
            <w:pPr>
              <w:spacing w:before="42" w:afterLines="20" w:after="84" w:line="240" w:lineRule="exact"/>
              <w:rPr>
                <w:rFonts w:hint="eastAsia"/>
              </w:rPr>
            </w:pPr>
            <w:r w:rsidRPr="00E61F8B">
              <w:rPr>
                <w:rFonts w:hint="eastAsia"/>
              </w:rPr>
              <w:t>量刑不当</w:t>
            </w:r>
          </w:p>
        </w:tc>
        <w:tc>
          <w:tcPr>
            <w:tcW w:w="4635" w:type="dxa"/>
            <w:vMerge/>
            <w:vAlign w:val="center"/>
          </w:tcPr>
          <w:p w14:paraId="57F218B9" w14:textId="77777777" w:rsidR="004475D6" w:rsidRPr="00E61F8B" w:rsidRDefault="004475D6" w:rsidP="009C70C2">
            <w:pPr>
              <w:spacing w:before="42" w:afterLines="20" w:after="84" w:line="240" w:lineRule="exact"/>
              <w:rPr>
                <w:rFonts w:hint="eastAsia"/>
              </w:rPr>
            </w:pPr>
          </w:p>
        </w:tc>
      </w:tr>
      <w:tr w:rsidR="004475D6" w:rsidRPr="00E61F8B" w14:paraId="1B15E4C0" w14:textId="77777777" w:rsidTr="009A4ECD">
        <w:trPr>
          <w:trHeight w:val="90"/>
          <w:jc w:val="center"/>
        </w:trPr>
        <w:tc>
          <w:tcPr>
            <w:tcW w:w="476" w:type="dxa"/>
            <w:vMerge/>
            <w:vAlign w:val="center"/>
          </w:tcPr>
          <w:p w14:paraId="32FA1409" w14:textId="77777777" w:rsidR="004475D6" w:rsidRPr="00E61F8B" w:rsidRDefault="004475D6" w:rsidP="009C70C2">
            <w:pPr>
              <w:spacing w:before="42" w:afterLines="20" w:after="84" w:line="240" w:lineRule="exact"/>
              <w:rPr>
                <w:rFonts w:hint="eastAsia"/>
              </w:rPr>
            </w:pPr>
          </w:p>
        </w:tc>
        <w:tc>
          <w:tcPr>
            <w:tcW w:w="1993" w:type="dxa"/>
            <w:vMerge w:val="restart"/>
            <w:vAlign w:val="center"/>
          </w:tcPr>
          <w:p w14:paraId="3EDF74B6" w14:textId="77777777" w:rsidR="004475D6" w:rsidRPr="00E61F8B" w:rsidRDefault="004475D6" w:rsidP="009C70C2">
            <w:pPr>
              <w:spacing w:before="42" w:afterLines="20" w:after="84" w:line="240" w:lineRule="exact"/>
              <w:rPr>
                <w:rFonts w:hint="eastAsia"/>
              </w:rPr>
            </w:pPr>
            <w:r w:rsidRPr="00E61F8B">
              <w:rPr>
                <w:rFonts w:hint="eastAsia"/>
              </w:rPr>
              <w:t>事实不清楚或证据不足</w:t>
            </w:r>
          </w:p>
        </w:tc>
        <w:tc>
          <w:tcPr>
            <w:tcW w:w="1817" w:type="dxa"/>
            <w:vMerge w:val="restart"/>
            <w:vAlign w:val="center"/>
          </w:tcPr>
          <w:p w14:paraId="1D8D42FC" w14:textId="77777777" w:rsidR="004475D6" w:rsidRPr="00E61F8B" w:rsidRDefault="004475D6" w:rsidP="009C70C2">
            <w:pPr>
              <w:spacing w:before="42" w:afterLines="20" w:after="84" w:line="240" w:lineRule="exact"/>
              <w:rPr>
                <w:rFonts w:hint="eastAsia"/>
              </w:rPr>
            </w:pPr>
          </w:p>
        </w:tc>
        <w:tc>
          <w:tcPr>
            <w:tcW w:w="4635" w:type="dxa"/>
            <w:vAlign w:val="center"/>
          </w:tcPr>
          <w:p w14:paraId="4F4F815B" w14:textId="77777777" w:rsidR="004475D6" w:rsidRPr="00E61F8B" w:rsidRDefault="004475D6" w:rsidP="009C70C2">
            <w:pPr>
              <w:spacing w:before="42" w:afterLines="20" w:after="84" w:line="240" w:lineRule="exact"/>
              <w:rPr>
                <w:rFonts w:hint="eastAsia"/>
                <w:color w:val="FF0000"/>
              </w:rPr>
            </w:pPr>
            <w:r w:rsidRPr="00E61F8B">
              <w:rPr>
                <w:rFonts w:hint="eastAsia"/>
                <w:color w:val="FF0000"/>
              </w:rPr>
              <w:t>既可以在查清事实后改判，也可以裁定撤销原判发回重审。</w:t>
            </w:r>
          </w:p>
          <w:p w14:paraId="382268A9" w14:textId="77777777" w:rsidR="004475D6" w:rsidRPr="00E61F8B" w:rsidRDefault="004475D6" w:rsidP="009C70C2">
            <w:pPr>
              <w:spacing w:before="42" w:afterLines="20" w:after="84" w:line="240" w:lineRule="exact"/>
              <w:rPr>
                <w:rFonts w:hint="eastAsia"/>
              </w:rPr>
            </w:pPr>
            <w:r w:rsidRPr="00E61F8B">
              <w:rPr>
                <w:rFonts w:hint="eastAsia"/>
                <w:color w:val="FF0000"/>
              </w:rPr>
              <w:t>有多名被告人的案件，部分被告人的犯罪事实不清、证据不足或者有新的犯罪事实需要追诉，且有关犯罪与其他同案被告人没有关联的，第二审人民法院根据案件情况，可以对该部分被告人分案处理，将该部分被告人发回原审人民法院重新审判。原审人民法院重新作出判决后，被告人上诉或者人民检察院抗诉，其他被告人的案件尚未作出第二审判决、裁定的，第二审人民法院可以并案审理</w:t>
            </w:r>
          </w:p>
        </w:tc>
      </w:tr>
      <w:tr w:rsidR="004475D6" w:rsidRPr="00E61F8B" w14:paraId="43AE8E22" w14:textId="77777777" w:rsidTr="009A4ECD">
        <w:trPr>
          <w:trHeight w:val="510"/>
          <w:jc w:val="center"/>
        </w:trPr>
        <w:tc>
          <w:tcPr>
            <w:tcW w:w="476" w:type="dxa"/>
            <w:vMerge/>
            <w:vAlign w:val="center"/>
          </w:tcPr>
          <w:p w14:paraId="31F56CEC" w14:textId="77777777" w:rsidR="004475D6" w:rsidRPr="00E61F8B" w:rsidRDefault="004475D6" w:rsidP="009C70C2">
            <w:pPr>
              <w:spacing w:before="42" w:afterLines="20" w:after="84" w:line="240" w:lineRule="exact"/>
              <w:rPr>
                <w:rFonts w:hint="eastAsia"/>
              </w:rPr>
            </w:pPr>
          </w:p>
        </w:tc>
        <w:tc>
          <w:tcPr>
            <w:tcW w:w="1993" w:type="dxa"/>
            <w:vMerge/>
            <w:vAlign w:val="center"/>
          </w:tcPr>
          <w:p w14:paraId="2F60650A" w14:textId="77777777" w:rsidR="004475D6" w:rsidRPr="00E61F8B" w:rsidRDefault="004475D6" w:rsidP="009C70C2">
            <w:pPr>
              <w:spacing w:before="42" w:afterLines="20" w:after="84" w:line="240" w:lineRule="exact"/>
              <w:rPr>
                <w:rFonts w:hint="eastAsia"/>
              </w:rPr>
            </w:pPr>
          </w:p>
        </w:tc>
        <w:tc>
          <w:tcPr>
            <w:tcW w:w="1817" w:type="dxa"/>
            <w:vMerge/>
            <w:vAlign w:val="center"/>
          </w:tcPr>
          <w:p w14:paraId="2010F92A" w14:textId="77777777" w:rsidR="004475D6" w:rsidRPr="00E61F8B" w:rsidRDefault="004475D6" w:rsidP="009C70C2">
            <w:pPr>
              <w:spacing w:before="42" w:afterLines="20" w:after="84" w:line="240" w:lineRule="exact"/>
              <w:rPr>
                <w:rFonts w:hint="eastAsia"/>
              </w:rPr>
            </w:pPr>
          </w:p>
        </w:tc>
        <w:tc>
          <w:tcPr>
            <w:tcW w:w="4635" w:type="dxa"/>
            <w:vMerge w:val="restart"/>
            <w:vAlign w:val="center"/>
          </w:tcPr>
          <w:p w14:paraId="46339381" w14:textId="77777777" w:rsidR="004475D6" w:rsidRPr="00E61F8B" w:rsidRDefault="004475D6" w:rsidP="009C70C2">
            <w:pPr>
              <w:spacing w:before="42" w:afterLines="20" w:after="84" w:line="240" w:lineRule="exact"/>
              <w:rPr>
                <w:rFonts w:hint="eastAsia"/>
              </w:rPr>
            </w:pPr>
            <w:r w:rsidRPr="00E61F8B">
              <w:rPr>
                <w:rFonts w:hint="eastAsia"/>
              </w:rPr>
              <w:t>裁定撤销原判，发回原审人民法院重新审判</w:t>
            </w:r>
          </w:p>
        </w:tc>
      </w:tr>
      <w:tr w:rsidR="004475D6" w:rsidRPr="00E61F8B" w14:paraId="7322FA61" w14:textId="77777777" w:rsidTr="009A4ECD">
        <w:trPr>
          <w:jc w:val="center"/>
        </w:trPr>
        <w:tc>
          <w:tcPr>
            <w:tcW w:w="476" w:type="dxa"/>
            <w:vMerge w:val="restart"/>
            <w:vAlign w:val="center"/>
          </w:tcPr>
          <w:p w14:paraId="1A8F9921" w14:textId="77777777" w:rsidR="004475D6" w:rsidRPr="00E61F8B" w:rsidRDefault="004475D6" w:rsidP="009C70C2">
            <w:pPr>
              <w:spacing w:before="42" w:afterLines="20" w:after="84" w:line="240" w:lineRule="exact"/>
              <w:rPr>
                <w:rFonts w:hint="eastAsia"/>
              </w:rPr>
            </w:pPr>
            <w:r w:rsidRPr="00E61F8B">
              <w:rPr>
                <w:rFonts w:hint="eastAsia"/>
              </w:rPr>
              <w:t>原一审程序</w:t>
            </w:r>
          </w:p>
        </w:tc>
        <w:tc>
          <w:tcPr>
            <w:tcW w:w="3810" w:type="dxa"/>
            <w:gridSpan w:val="2"/>
            <w:vAlign w:val="center"/>
          </w:tcPr>
          <w:p w14:paraId="11F23440" w14:textId="77777777" w:rsidR="004475D6" w:rsidRPr="00E61F8B" w:rsidRDefault="004475D6" w:rsidP="009C70C2">
            <w:pPr>
              <w:spacing w:before="42" w:afterLines="20" w:after="84" w:line="240" w:lineRule="exact"/>
              <w:rPr>
                <w:rFonts w:hint="eastAsia"/>
                <w:color w:val="FF0000"/>
              </w:rPr>
            </w:pPr>
            <w:r w:rsidRPr="00E61F8B">
              <w:rPr>
                <w:rFonts w:hint="eastAsia"/>
                <w:color w:val="FF0000"/>
              </w:rPr>
              <w:t>违反公开审判的规定</w:t>
            </w:r>
          </w:p>
        </w:tc>
        <w:tc>
          <w:tcPr>
            <w:tcW w:w="4635" w:type="dxa"/>
            <w:vMerge/>
            <w:vAlign w:val="center"/>
          </w:tcPr>
          <w:p w14:paraId="13CB23A4" w14:textId="77777777" w:rsidR="004475D6" w:rsidRPr="00E61F8B" w:rsidRDefault="004475D6" w:rsidP="009C70C2">
            <w:pPr>
              <w:spacing w:before="42" w:afterLines="20" w:after="84" w:line="240" w:lineRule="exact"/>
              <w:rPr>
                <w:rFonts w:hint="eastAsia"/>
              </w:rPr>
            </w:pPr>
          </w:p>
        </w:tc>
      </w:tr>
      <w:tr w:rsidR="004475D6" w:rsidRPr="00E61F8B" w14:paraId="765A8AEF" w14:textId="77777777" w:rsidTr="009A4ECD">
        <w:trPr>
          <w:jc w:val="center"/>
        </w:trPr>
        <w:tc>
          <w:tcPr>
            <w:tcW w:w="476" w:type="dxa"/>
            <w:vMerge/>
            <w:vAlign w:val="center"/>
          </w:tcPr>
          <w:p w14:paraId="1FEC5719" w14:textId="77777777" w:rsidR="004475D6" w:rsidRPr="00E61F8B" w:rsidRDefault="004475D6" w:rsidP="009C70C2">
            <w:pPr>
              <w:spacing w:before="42" w:afterLines="20" w:after="84" w:line="240" w:lineRule="exact"/>
              <w:rPr>
                <w:rFonts w:hint="eastAsia"/>
              </w:rPr>
            </w:pPr>
          </w:p>
        </w:tc>
        <w:tc>
          <w:tcPr>
            <w:tcW w:w="3810" w:type="dxa"/>
            <w:gridSpan w:val="2"/>
            <w:vAlign w:val="center"/>
          </w:tcPr>
          <w:p w14:paraId="48D6174C" w14:textId="77777777" w:rsidR="004475D6" w:rsidRPr="00E61F8B" w:rsidRDefault="004475D6" w:rsidP="009C70C2">
            <w:pPr>
              <w:spacing w:before="42" w:afterLines="20" w:after="84" w:line="240" w:lineRule="exact"/>
              <w:rPr>
                <w:rFonts w:hint="eastAsia"/>
                <w:color w:val="FF0000"/>
              </w:rPr>
            </w:pPr>
            <w:r w:rsidRPr="00E61F8B">
              <w:rPr>
                <w:rFonts w:hint="eastAsia"/>
                <w:color w:val="FF0000"/>
              </w:rPr>
              <w:t>违反回避制度的</w:t>
            </w:r>
          </w:p>
        </w:tc>
        <w:tc>
          <w:tcPr>
            <w:tcW w:w="4635" w:type="dxa"/>
            <w:vMerge/>
            <w:vAlign w:val="center"/>
          </w:tcPr>
          <w:p w14:paraId="5848A7CF" w14:textId="77777777" w:rsidR="004475D6" w:rsidRPr="00E61F8B" w:rsidRDefault="004475D6" w:rsidP="009C70C2">
            <w:pPr>
              <w:spacing w:before="42" w:afterLines="20" w:after="84" w:line="240" w:lineRule="exact"/>
              <w:rPr>
                <w:rFonts w:hint="eastAsia"/>
              </w:rPr>
            </w:pPr>
          </w:p>
        </w:tc>
      </w:tr>
      <w:tr w:rsidR="004475D6" w:rsidRPr="00E61F8B" w14:paraId="101FF339" w14:textId="77777777" w:rsidTr="009A4ECD">
        <w:trPr>
          <w:jc w:val="center"/>
        </w:trPr>
        <w:tc>
          <w:tcPr>
            <w:tcW w:w="476" w:type="dxa"/>
            <w:vMerge/>
            <w:vAlign w:val="center"/>
          </w:tcPr>
          <w:p w14:paraId="0A90F1C2" w14:textId="77777777" w:rsidR="004475D6" w:rsidRPr="00E61F8B" w:rsidRDefault="004475D6" w:rsidP="009C70C2">
            <w:pPr>
              <w:spacing w:before="42" w:afterLines="20" w:after="84" w:line="240" w:lineRule="exact"/>
              <w:rPr>
                <w:rFonts w:hint="eastAsia"/>
              </w:rPr>
            </w:pPr>
          </w:p>
        </w:tc>
        <w:tc>
          <w:tcPr>
            <w:tcW w:w="3810" w:type="dxa"/>
            <w:gridSpan w:val="2"/>
            <w:vAlign w:val="center"/>
          </w:tcPr>
          <w:p w14:paraId="7597478F" w14:textId="77777777" w:rsidR="004475D6" w:rsidRPr="00E61F8B" w:rsidRDefault="004475D6" w:rsidP="009C70C2">
            <w:pPr>
              <w:spacing w:before="42" w:afterLines="20" w:after="84" w:line="240" w:lineRule="exact"/>
              <w:rPr>
                <w:rFonts w:hint="eastAsia"/>
                <w:color w:val="FF0000"/>
              </w:rPr>
            </w:pPr>
            <w:r w:rsidRPr="00E61F8B">
              <w:rPr>
                <w:rFonts w:hint="eastAsia"/>
                <w:color w:val="FF0000"/>
              </w:rPr>
              <w:t>剥夺或限制当事人的法定诉讼权利，可能影响公正审判</w:t>
            </w:r>
          </w:p>
        </w:tc>
        <w:tc>
          <w:tcPr>
            <w:tcW w:w="4635" w:type="dxa"/>
            <w:vMerge/>
            <w:vAlign w:val="center"/>
          </w:tcPr>
          <w:p w14:paraId="47A13FF8" w14:textId="77777777" w:rsidR="004475D6" w:rsidRPr="00E61F8B" w:rsidRDefault="004475D6" w:rsidP="009C70C2">
            <w:pPr>
              <w:spacing w:before="42" w:afterLines="20" w:after="84" w:line="240" w:lineRule="exact"/>
              <w:rPr>
                <w:rFonts w:hint="eastAsia"/>
              </w:rPr>
            </w:pPr>
          </w:p>
        </w:tc>
      </w:tr>
      <w:tr w:rsidR="004475D6" w:rsidRPr="00E61F8B" w14:paraId="1CB3F956" w14:textId="77777777" w:rsidTr="009A4ECD">
        <w:trPr>
          <w:jc w:val="center"/>
        </w:trPr>
        <w:tc>
          <w:tcPr>
            <w:tcW w:w="476" w:type="dxa"/>
            <w:vMerge/>
            <w:vAlign w:val="center"/>
          </w:tcPr>
          <w:p w14:paraId="34C29B4A" w14:textId="77777777" w:rsidR="004475D6" w:rsidRPr="00E61F8B" w:rsidRDefault="004475D6" w:rsidP="009C70C2">
            <w:pPr>
              <w:spacing w:before="42" w:afterLines="20" w:after="84" w:line="240" w:lineRule="exact"/>
              <w:rPr>
                <w:rFonts w:hint="eastAsia"/>
              </w:rPr>
            </w:pPr>
          </w:p>
        </w:tc>
        <w:tc>
          <w:tcPr>
            <w:tcW w:w="3810" w:type="dxa"/>
            <w:gridSpan w:val="2"/>
            <w:vAlign w:val="center"/>
          </w:tcPr>
          <w:p w14:paraId="28CC2799" w14:textId="77777777" w:rsidR="004475D6" w:rsidRPr="00E61F8B" w:rsidRDefault="004475D6" w:rsidP="009C70C2">
            <w:pPr>
              <w:spacing w:before="42" w:afterLines="20" w:after="84" w:line="240" w:lineRule="exact"/>
              <w:rPr>
                <w:rFonts w:hint="eastAsia"/>
                <w:color w:val="FF0000"/>
              </w:rPr>
            </w:pPr>
            <w:r w:rsidRPr="00E61F8B">
              <w:rPr>
                <w:rFonts w:hint="eastAsia"/>
                <w:color w:val="FF0000"/>
              </w:rPr>
              <w:t>审判组织的组成不合法</w:t>
            </w:r>
          </w:p>
        </w:tc>
        <w:tc>
          <w:tcPr>
            <w:tcW w:w="4635" w:type="dxa"/>
            <w:vMerge/>
            <w:vAlign w:val="center"/>
          </w:tcPr>
          <w:p w14:paraId="3B17D786" w14:textId="77777777" w:rsidR="004475D6" w:rsidRPr="00E61F8B" w:rsidRDefault="004475D6" w:rsidP="009C70C2">
            <w:pPr>
              <w:spacing w:before="42" w:afterLines="20" w:after="84" w:line="240" w:lineRule="exact"/>
              <w:rPr>
                <w:rFonts w:hint="eastAsia"/>
              </w:rPr>
            </w:pPr>
          </w:p>
        </w:tc>
      </w:tr>
      <w:tr w:rsidR="004475D6" w:rsidRPr="00E61F8B" w14:paraId="528EDF93" w14:textId="77777777" w:rsidTr="009A4ECD">
        <w:trPr>
          <w:jc w:val="center"/>
        </w:trPr>
        <w:tc>
          <w:tcPr>
            <w:tcW w:w="476" w:type="dxa"/>
            <w:vMerge/>
            <w:vAlign w:val="center"/>
          </w:tcPr>
          <w:p w14:paraId="3F7120EC" w14:textId="77777777" w:rsidR="004475D6" w:rsidRPr="00E61F8B" w:rsidRDefault="004475D6" w:rsidP="009C70C2">
            <w:pPr>
              <w:spacing w:before="42" w:afterLines="20" w:after="84" w:line="240" w:lineRule="exact"/>
              <w:rPr>
                <w:rFonts w:hint="eastAsia"/>
              </w:rPr>
            </w:pPr>
          </w:p>
        </w:tc>
        <w:tc>
          <w:tcPr>
            <w:tcW w:w="3810" w:type="dxa"/>
            <w:gridSpan w:val="2"/>
            <w:vAlign w:val="center"/>
          </w:tcPr>
          <w:p w14:paraId="7208DEEA" w14:textId="77777777" w:rsidR="004475D6" w:rsidRPr="00E61F8B" w:rsidRDefault="004475D6" w:rsidP="009C70C2">
            <w:pPr>
              <w:spacing w:before="42" w:afterLines="20" w:after="84" w:line="240" w:lineRule="exact"/>
              <w:rPr>
                <w:rFonts w:hint="eastAsia"/>
                <w:color w:val="FF0000"/>
              </w:rPr>
            </w:pPr>
            <w:r w:rsidRPr="00E61F8B">
              <w:rPr>
                <w:rFonts w:hint="eastAsia"/>
                <w:color w:val="FF0000"/>
              </w:rPr>
              <w:t>其他违反法定诉讼程序可能影响公正审判</w:t>
            </w:r>
          </w:p>
        </w:tc>
        <w:tc>
          <w:tcPr>
            <w:tcW w:w="4635" w:type="dxa"/>
            <w:vMerge/>
            <w:vAlign w:val="center"/>
          </w:tcPr>
          <w:p w14:paraId="595CA766" w14:textId="77777777" w:rsidR="004475D6" w:rsidRPr="00E61F8B" w:rsidRDefault="004475D6" w:rsidP="009C70C2">
            <w:pPr>
              <w:spacing w:before="42" w:afterLines="20" w:after="84" w:line="240" w:lineRule="exact"/>
              <w:rPr>
                <w:rFonts w:hint="eastAsia"/>
              </w:rPr>
            </w:pPr>
          </w:p>
        </w:tc>
      </w:tr>
    </w:tbl>
    <w:p w14:paraId="4E23FD58" w14:textId="77777777" w:rsidR="004475D6" w:rsidRPr="00E61F8B" w:rsidRDefault="004475D6" w:rsidP="009C70C2">
      <w:pPr>
        <w:spacing w:line="240" w:lineRule="exact"/>
        <w:ind w:firstLineChars="200" w:firstLine="420"/>
        <w:jc w:val="left"/>
        <w:rPr>
          <w:rFonts w:cs="汉仪大宋简"/>
          <w:bCs/>
          <w:color w:val="auto"/>
        </w:rPr>
      </w:pPr>
      <w:bookmarkStart w:id="13" w:name="_Toc510879141"/>
      <w:r w:rsidRPr="00E61F8B">
        <w:rPr>
          <w:rFonts w:cs="汉仪大宋简" w:hint="eastAsia"/>
          <w:bCs/>
          <w:color w:val="auto"/>
        </w:rPr>
        <w:t>五、</w:t>
      </w:r>
      <w:r w:rsidRPr="00E61F8B">
        <w:rPr>
          <w:rFonts w:cs="汉仪大宋简"/>
          <w:bCs/>
          <w:color w:val="auto"/>
        </w:rPr>
        <w:t>对</w:t>
      </w:r>
      <w:r w:rsidRPr="00E61F8B">
        <w:rPr>
          <w:rFonts w:cs="汉仪大宋简" w:hint="eastAsia"/>
          <w:bCs/>
          <w:color w:val="auto"/>
        </w:rPr>
        <w:t>发回</w:t>
      </w:r>
      <w:r w:rsidRPr="00E61F8B">
        <w:rPr>
          <w:rFonts w:cs="汉仪大宋简"/>
          <w:bCs/>
          <w:color w:val="auto"/>
        </w:rPr>
        <w:t>重审的案件的处理</w:t>
      </w:r>
      <w:bookmarkEnd w:id="13"/>
    </w:p>
    <w:tbl>
      <w:tblPr>
        <w:tblStyle w:val="a9"/>
        <w:tblW w:w="89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87"/>
        <w:gridCol w:w="2491"/>
        <w:gridCol w:w="1137"/>
        <w:gridCol w:w="2916"/>
      </w:tblGrid>
      <w:tr w:rsidR="004475D6" w:rsidRPr="00E61F8B" w14:paraId="7FB06C00" w14:textId="77777777" w:rsidTr="009A4ECD">
        <w:trPr>
          <w:jc w:val="center"/>
        </w:trPr>
        <w:tc>
          <w:tcPr>
            <w:tcW w:w="2387" w:type="dxa"/>
            <w:vAlign w:val="center"/>
          </w:tcPr>
          <w:p w14:paraId="55BAE4DF" w14:textId="77777777" w:rsidR="004475D6" w:rsidRPr="00E61F8B" w:rsidRDefault="004475D6" w:rsidP="009C70C2">
            <w:pPr>
              <w:spacing w:before="42" w:afterLines="20" w:after="84" w:line="240" w:lineRule="exact"/>
              <w:jc w:val="center"/>
              <w:rPr>
                <w:rFonts w:hint="eastAsia"/>
                <w:bCs/>
              </w:rPr>
            </w:pPr>
            <w:r w:rsidRPr="00E61F8B">
              <w:rPr>
                <w:rFonts w:hint="eastAsia"/>
                <w:bCs/>
              </w:rPr>
              <w:t>情由</w:t>
            </w:r>
          </w:p>
        </w:tc>
        <w:tc>
          <w:tcPr>
            <w:tcW w:w="2491" w:type="dxa"/>
            <w:vAlign w:val="center"/>
          </w:tcPr>
          <w:p w14:paraId="7DEB18EC" w14:textId="77777777" w:rsidR="004475D6" w:rsidRPr="00E61F8B" w:rsidRDefault="004475D6" w:rsidP="009C70C2">
            <w:pPr>
              <w:spacing w:before="42" w:afterLines="20" w:after="84" w:line="240" w:lineRule="exact"/>
              <w:jc w:val="center"/>
              <w:rPr>
                <w:rFonts w:hint="eastAsia"/>
                <w:bCs/>
              </w:rPr>
            </w:pPr>
            <w:r w:rsidRPr="00E61F8B">
              <w:rPr>
                <w:rFonts w:hint="eastAsia"/>
                <w:bCs/>
              </w:rPr>
              <w:t>程序</w:t>
            </w:r>
          </w:p>
        </w:tc>
        <w:tc>
          <w:tcPr>
            <w:tcW w:w="4053" w:type="dxa"/>
            <w:gridSpan w:val="2"/>
            <w:vAlign w:val="center"/>
          </w:tcPr>
          <w:p w14:paraId="3F2814BD" w14:textId="77777777" w:rsidR="004475D6" w:rsidRPr="00E61F8B" w:rsidRDefault="004475D6" w:rsidP="009C70C2">
            <w:pPr>
              <w:spacing w:before="42" w:afterLines="20" w:after="84" w:line="240" w:lineRule="exact"/>
              <w:jc w:val="center"/>
              <w:rPr>
                <w:rFonts w:hint="eastAsia"/>
                <w:bCs/>
              </w:rPr>
            </w:pPr>
            <w:r w:rsidRPr="00E61F8B">
              <w:rPr>
                <w:rFonts w:hint="eastAsia"/>
                <w:bCs/>
              </w:rPr>
              <w:t>处理</w:t>
            </w:r>
          </w:p>
        </w:tc>
      </w:tr>
      <w:tr w:rsidR="004475D6" w:rsidRPr="00E61F8B" w14:paraId="2BF8CD44" w14:textId="77777777" w:rsidTr="009A4ECD">
        <w:trPr>
          <w:jc w:val="center"/>
        </w:trPr>
        <w:tc>
          <w:tcPr>
            <w:tcW w:w="2387" w:type="dxa"/>
            <w:vAlign w:val="center"/>
          </w:tcPr>
          <w:p w14:paraId="2E2C37EF" w14:textId="77777777" w:rsidR="004475D6" w:rsidRPr="00E61F8B" w:rsidRDefault="004475D6" w:rsidP="009C70C2">
            <w:pPr>
              <w:spacing w:before="42" w:afterLines="20" w:after="84" w:line="240" w:lineRule="exact"/>
              <w:rPr>
                <w:rFonts w:hint="eastAsia"/>
              </w:rPr>
            </w:pPr>
            <w:r w:rsidRPr="00E61F8B">
              <w:rPr>
                <w:rFonts w:hint="eastAsia"/>
              </w:rPr>
              <w:t>因原判决事实不清、证据不足发回重审</w:t>
            </w:r>
          </w:p>
        </w:tc>
        <w:tc>
          <w:tcPr>
            <w:tcW w:w="2491" w:type="dxa"/>
            <w:vMerge w:val="restart"/>
            <w:vAlign w:val="center"/>
          </w:tcPr>
          <w:p w14:paraId="716A9015" w14:textId="77777777" w:rsidR="004475D6" w:rsidRPr="00E61F8B" w:rsidRDefault="004475D6" w:rsidP="009C70C2">
            <w:pPr>
              <w:spacing w:before="42" w:afterLines="20" w:after="84" w:line="240" w:lineRule="exact"/>
              <w:rPr>
                <w:rFonts w:hint="eastAsia"/>
              </w:rPr>
            </w:pPr>
            <w:r w:rsidRPr="00E61F8B">
              <w:rPr>
                <w:rFonts w:hint="eastAsia"/>
                <w:color w:val="FF0000"/>
              </w:rPr>
              <w:t>另行组成合议庭，依照第一审程序进行审判</w:t>
            </w:r>
          </w:p>
        </w:tc>
        <w:tc>
          <w:tcPr>
            <w:tcW w:w="1137" w:type="dxa"/>
            <w:vMerge w:val="restart"/>
            <w:vAlign w:val="center"/>
          </w:tcPr>
          <w:p w14:paraId="202661AE" w14:textId="77777777" w:rsidR="004475D6" w:rsidRPr="00E61F8B" w:rsidRDefault="004475D6" w:rsidP="009C70C2">
            <w:pPr>
              <w:spacing w:before="42" w:afterLines="20" w:after="84" w:line="240" w:lineRule="exact"/>
              <w:rPr>
                <w:rFonts w:hint="eastAsia"/>
              </w:rPr>
            </w:pPr>
            <w:r w:rsidRPr="00E61F8B">
              <w:rPr>
                <w:rFonts w:hint="eastAsia"/>
              </w:rPr>
              <w:t>对重审后的判决，可上诉、抗诉</w:t>
            </w:r>
          </w:p>
        </w:tc>
        <w:tc>
          <w:tcPr>
            <w:tcW w:w="2916" w:type="dxa"/>
            <w:vAlign w:val="center"/>
          </w:tcPr>
          <w:p w14:paraId="7B7E00FC" w14:textId="77777777" w:rsidR="004475D6" w:rsidRPr="00E61F8B" w:rsidRDefault="004475D6" w:rsidP="009C70C2">
            <w:pPr>
              <w:spacing w:before="42" w:afterLines="20" w:after="84" w:line="240" w:lineRule="exact"/>
              <w:rPr>
                <w:rFonts w:hint="eastAsia"/>
              </w:rPr>
            </w:pPr>
            <w:r w:rsidRPr="00E61F8B">
              <w:rPr>
                <w:rFonts w:hint="eastAsia"/>
              </w:rPr>
              <w:t>第二审人民法院不得再发回重新审判</w:t>
            </w:r>
          </w:p>
        </w:tc>
      </w:tr>
      <w:tr w:rsidR="004475D6" w:rsidRPr="00E61F8B" w14:paraId="0A5929E6" w14:textId="77777777" w:rsidTr="009A4ECD">
        <w:trPr>
          <w:jc w:val="center"/>
        </w:trPr>
        <w:tc>
          <w:tcPr>
            <w:tcW w:w="2387" w:type="dxa"/>
            <w:vAlign w:val="center"/>
          </w:tcPr>
          <w:p w14:paraId="02E77E27" w14:textId="77777777" w:rsidR="004475D6" w:rsidRPr="00E61F8B" w:rsidRDefault="004475D6" w:rsidP="009C70C2">
            <w:pPr>
              <w:spacing w:before="42" w:afterLines="20" w:after="84" w:line="240" w:lineRule="exact"/>
              <w:rPr>
                <w:rFonts w:hint="eastAsia"/>
              </w:rPr>
            </w:pPr>
            <w:r w:rsidRPr="00E61F8B">
              <w:rPr>
                <w:rFonts w:hint="eastAsia"/>
              </w:rPr>
              <w:t>因原一审程序违反法定程序发回重审</w:t>
            </w:r>
          </w:p>
        </w:tc>
        <w:tc>
          <w:tcPr>
            <w:tcW w:w="2491" w:type="dxa"/>
            <w:vMerge/>
            <w:vAlign w:val="center"/>
          </w:tcPr>
          <w:p w14:paraId="05DF467C" w14:textId="77777777" w:rsidR="004475D6" w:rsidRPr="00E61F8B" w:rsidRDefault="004475D6" w:rsidP="009C70C2">
            <w:pPr>
              <w:spacing w:before="42" w:afterLines="20" w:after="84" w:line="240" w:lineRule="exact"/>
              <w:rPr>
                <w:rFonts w:hint="eastAsia"/>
              </w:rPr>
            </w:pPr>
          </w:p>
        </w:tc>
        <w:tc>
          <w:tcPr>
            <w:tcW w:w="1137" w:type="dxa"/>
            <w:vMerge/>
            <w:vAlign w:val="center"/>
          </w:tcPr>
          <w:p w14:paraId="619FABE2" w14:textId="77777777" w:rsidR="004475D6" w:rsidRPr="00E61F8B" w:rsidRDefault="004475D6" w:rsidP="009C70C2">
            <w:pPr>
              <w:spacing w:before="42" w:afterLines="20" w:after="84" w:line="240" w:lineRule="exact"/>
              <w:rPr>
                <w:rFonts w:hint="eastAsia"/>
              </w:rPr>
            </w:pPr>
          </w:p>
        </w:tc>
        <w:tc>
          <w:tcPr>
            <w:tcW w:w="2916" w:type="dxa"/>
            <w:vAlign w:val="center"/>
          </w:tcPr>
          <w:p w14:paraId="4591EDB6" w14:textId="77777777" w:rsidR="004475D6" w:rsidRPr="00E61F8B" w:rsidRDefault="004475D6" w:rsidP="009C70C2">
            <w:pPr>
              <w:spacing w:before="42" w:afterLines="20" w:after="84" w:line="240" w:lineRule="exact"/>
              <w:rPr>
                <w:rFonts w:hint="eastAsia"/>
              </w:rPr>
            </w:pPr>
            <w:r w:rsidRPr="00E61F8B">
              <w:rPr>
                <w:rFonts w:hint="eastAsia"/>
              </w:rPr>
              <w:t>根据《刑诉法》第236条第1款分别情况处理</w:t>
            </w:r>
          </w:p>
        </w:tc>
      </w:tr>
      <w:tr w:rsidR="004475D6" w:rsidRPr="00E61F8B" w14:paraId="0B0513A1" w14:textId="77777777" w:rsidTr="009A4ECD">
        <w:trPr>
          <w:jc w:val="center"/>
        </w:trPr>
        <w:tc>
          <w:tcPr>
            <w:tcW w:w="2387" w:type="dxa"/>
            <w:vMerge w:val="restart"/>
            <w:vAlign w:val="center"/>
          </w:tcPr>
          <w:p w14:paraId="19A91AAC" w14:textId="77777777" w:rsidR="004475D6" w:rsidRPr="00E61F8B" w:rsidRDefault="004475D6" w:rsidP="009C70C2">
            <w:pPr>
              <w:spacing w:before="42" w:afterLines="20" w:after="84" w:line="240" w:lineRule="exact"/>
              <w:rPr>
                <w:rFonts w:hint="eastAsia"/>
              </w:rPr>
            </w:pPr>
            <w:r w:rsidRPr="00E61F8B">
              <w:rPr>
                <w:rFonts w:hint="eastAsia"/>
              </w:rPr>
              <w:t>重审过程中</w:t>
            </w:r>
          </w:p>
        </w:tc>
        <w:tc>
          <w:tcPr>
            <w:tcW w:w="2491" w:type="dxa"/>
            <w:vAlign w:val="center"/>
          </w:tcPr>
          <w:p w14:paraId="07710238" w14:textId="77777777" w:rsidR="004475D6" w:rsidRPr="00E61F8B" w:rsidRDefault="004475D6" w:rsidP="009C70C2">
            <w:pPr>
              <w:spacing w:before="42" w:afterLines="20" w:after="84" w:line="240" w:lineRule="exact"/>
              <w:rPr>
                <w:rFonts w:hint="eastAsia"/>
              </w:rPr>
            </w:pPr>
            <w:r w:rsidRPr="00E61F8B">
              <w:rPr>
                <w:rFonts w:hint="eastAsia"/>
              </w:rPr>
              <w:t>没有另行组成合议庭</w:t>
            </w:r>
          </w:p>
        </w:tc>
        <w:tc>
          <w:tcPr>
            <w:tcW w:w="1137" w:type="dxa"/>
            <w:vMerge/>
            <w:vAlign w:val="center"/>
          </w:tcPr>
          <w:p w14:paraId="156EC7A2" w14:textId="77777777" w:rsidR="004475D6" w:rsidRPr="00E61F8B" w:rsidRDefault="004475D6" w:rsidP="009C70C2">
            <w:pPr>
              <w:spacing w:before="42" w:afterLines="20" w:after="84" w:line="240" w:lineRule="exact"/>
              <w:rPr>
                <w:rFonts w:hint="eastAsia"/>
              </w:rPr>
            </w:pPr>
          </w:p>
        </w:tc>
        <w:tc>
          <w:tcPr>
            <w:tcW w:w="2916" w:type="dxa"/>
            <w:vMerge w:val="restart"/>
            <w:vAlign w:val="center"/>
          </w:tcPr>
          <w:p w14:paraId="55ED488C" w14:textId="77777777" w:rsidR="004475D6" w:rsidRPr="00E61F8B" w:rsidRDefault="004475D6" w:rsidP="009C70C2">
            <w:pPr>
              <w:spacing w:before="42" w:afterLines="20" w:after="84" w:line="240" w:lineRule="exact"/>
              <w:rPr>
                <w:rFonts w:hint="eastAsia"/>
              </w:rPr>
            </w:pPr>
            <w:r w:rsidRPr="00E61F8B">
              <w:rPr>
                <w:rFonts w:hint="eastAsia"/>
                <w:color w:val="FF0000"/>
              </w:rPr>
              <w:t>裁定撤销原判发回重审</w:t>
            </w:r>
          </w:p>
        </w:tc>
      </w:tr>
      <w:tr w:rsidR="004475D6" w:rsidRPr="00E61F8B" w14:paraId="79735416" w14:textId="77777777" w:rsidTr="009A4ECD">
        <w:trPr>
          <w:jc w:val="center"/>
        </w:trPr>
        <w:tc>
          <w:tcPr>
            <w:tcW w:w="2387" w:type="dxa"/>
            <w:vMerge/>
            <w:vAlign w:val="center"/>
          </w:tcPr>
          <w:p w14:paraId="5CCEC920" w14:textId="77777777" w:rsidR="004475D6" w:rsidRPr="00E61F8B" w:rsidRDefault="004475D6" w:rsidP="009C70C2">
            <w:pPr>
              <w:spacing w:before="42" w:afterLines="20" w:after="84" w:line="240" w:lineRule="exact"/>
              <w:rPr>
                <w:rFonts w:hint="eastAsia"/>
              </w:rPr>
            </w:pPr>
          </w:p>
        </w:tc>
        <w:tc>
          <w:tcPr>
            <w:tcW w:w="2491" w:type="dxa"/>
            <w:vAlign w:val="center"/>
          </w:tcPr>
          <w:p w14:paraId="0406AEF7" w14:textId="77777777" w:rsidR="004475D6" w:rsidRPr="00E61F8B" w:rsidRDefault="004475D6" w:rsidP="009C70C2">
            <w:pPr>
              <w:spacing w:before="42" w:afterLines="20" w:after="84" w:line="240" w:lineRule="exact"/>
              <w:rPr>
                <w:rFonts w:hint="eastAsia"/>
              </w:rPr>
            </w:pPr>
            <w:r w:rsidRPr="00E61F8B">
              <w:rPr>
                <w:rFonts w:hint="eastAsia"/>
              </w:rPr>
              <w:t>违法法定程序</w:t>
            </w:r>
          </w:p>
        </w:tc>
        <w:tc>
          <w:tcPr>
            <w:tcW w:w="1137" w:type="dxa"/>
            <w:vMerge/>
            <w:vAlign w:val="center"/>
          </w:tcPr>
          <w:p w14:paraId="0F72E125" w14:textId="77777777" w:rsidR="004475D6" w:rsidRPr="00E61F8B" w:rsidRDefault="004475D6" w:rsidP="009C70C2">
            <w:pPr>
              <w:spacing w:before="42" w:afterLines="20" w:after="84" w:line="240" w:lineRule="exact"/>
              <w:rPr>
                <w:rFonts w:hint="eastAsia"/>
              </w:rPr>
            </w:pPr>
          </w:p>
        </w:tc>
        <w:tc>
          <w:tcPr>
            <w:tcW w:w="2916" w:type="dxa"/>
            <w:vMerge/>
            <w:vAlign w:val="center"/>
          </w:tcPr>
          <w:p w14:paraId="453410BF" w14:textId="77777777" w:rsidR="004475D6" w:rsidRPr="00E61F8B" w:rsidRDefault="004475D6" w:rsidP="009C70C2">
            <w:pPr>
              <w:spacing w:before="42" w:afterLines="20" w:after="84" w:line="240" w:lineRule="exact"/>
              <w:rPr>
                <w:rFonts w:hint="eastAsia"/>
              </w:rPr>
            </w:pPr>
          </w:p>
        </w:tc>
      </w:tr>
    </w:tbl>
    <w:p w14:paraId="586DD4FD" w14:textId="77777777" w:rsidR="004475D6" w:rsidRPr="00E61F8B" w:rsidRDefault="004475D6" w:rsidP="009C70C2">
      <w:pPr>
        <w:spacing w:line="240" w:lineRule="exact"/>
        <w:ind w:firstLineChars="200" w:firstLine="420"/>
        <w:rPr>
          <w:rFonts w:hint="eastAsia"/>
          <w:kern w:val="0"/>
        </w:rPr>
      </w:pPr>
      <w:r w:rsidRPr="00E61F8B">
        <w:rPr>
          <w:rFonts w:hint="eastAsia"/>
          <w:kern w:val="0"/>
        </w:rPr>
        <w:t>二审发回重审的情形有两种，一是原判事实不清、证据不足，可以裁定撤销原判，发回重审；二是原一审程序违反法定程序（具有《刑诉法》第238条规定的情形之一），依法应当裁定撤销原判，发回重审的。而并非所有发回重审的案件再次进入二审后，第二审人民法院都不能再发回重审。</w:t>
      </w:r>
      <w:r w:rsidRPr="00E61F8B">
        <w:rPr>
          <w:rFonts w:hint="eastAsia"/>
          <w:color w:val="B00824"/>
          <w:kern w:val="0"/>
        </w:rPr>
        <w:t>只有因原判事实不清、证据不足发回重审的案件再次进入二审后，第二审人民法院才不能再次发回重新审判</w:t>
      </w:r>
      <w:r w:rsidRPr="00E61F8B">
        <w:rPr>
          <w:rFonts w:hint="eastAsia"/>
          <w:kern w:val="0"/>
        </w:rPr>
        <w:t>。</w:t>
      </w:r>
      <w:bookmarkStart w:id="14" w:name="_Toc510879142"/>
    </w:p>
    <w:p w14:paraId="0890D7A3" w14:textId="77777777" w:rsidR="004475D6" w:rsidRPr="00E61F8B" w:rsidRDefault="004475D6" w:rsidP="009C70C2">
      <w:pPr>
        <w:spacing w:line="240" w:lineRule="exact"/>
        <w:ind w:firstLineChars="200" w:firstLine="420"/>
        <w:rPr>
          <w:rFonts w:hint="eastAsia"/>
          <w:kern w:val="0"/>
        </w:rPr>
      </w:pPr>
      <w:r w:rsidRPr="00E61F8B">
        <w:rPr>
          <w:rFonts w:cs="汉仪大宋简" w:hint="eastAsia"/>
          <w:bCs/>
          <w:color w:val="auto"/>
        </w:rPr>
        <w:lastRenderedPageBreak/>
        <w:t>六、</w:t>
      </w:r>
      <w:r w:rsidRPr="00E61F8B">
        <w:rPr>
          <w:rFonts w:cs="汉仪大宋简"/>
          <w:bCs/>
          <w:color w:val="auto"/>
        </w:rPr>
        <w:t>对</w:t>
      </w:r>
      <w:r w:rsidRPr="00E61F8B">
        <w:rPr>
          <w:rFonts w:cs="汉仪大宋简" w:hint="eastAsia"/>
          <w:bCs/>
          <w:color w:val="auto"/>
        </w:rPr>
        <w:t>附带民事诉讼案件的处理</w:t>
      </w:r>
      <w:bookmarkEnd w:id="14"/>
    </w:p>
    <w:p w14:paraId="37AD4701" w14:textId="77777777" w:rsidR="004475D6" w:rsidRPr="00E61F8B" w:rsidRDefault="004475D6" w:rsidP="009C70C2">
      <w:pPr>
        <w:spacing w:line="240" w:lineRule="exact"/>
        <w:ind w:firstLineChars="200" w:firstLine="420"/>
        <w:rPr>
          <w:rFonts w:hint="eastAsia"/>
        </w:rPr>
      </w:pPr>
      <w:r w:rsidRPr="00E61F8B">
        <w:rPr>
          <w:rFonts w:hint="eastAsia"/>
        </w:rPr>
        <w:t>对刑事部分提出上诉、抗诉，附带民事部分已经发生法律效力的案件，</w:t>
      </w:r>
      <w:r w:rsidRPr="00E61F8B">
        <w:rPr>
          <w:rFonts w:hint="eastAsia"/>
          <w:color w:val="FF0000"/>
        </w:rPr>
        <w:t>附带民事部分正确的，刑事部分按二审程序审理</w:t>
      </w:r>
      <w:r w:rsidRPr="00E61F8B">
        <w:rPr>
          <w:rFonts w:hint="eastAsia"/>
        </w:rPr>
        <w:t>；</w:t>
      </w:r>
      <w:r w:rsidRPr="00E61F8B">
        <w:rPr>
          <w:rFonts w:hint="eastAsia"/>
          <w:color w:val="FF0000"/>
        </w:rPr>
        <w:t>附带民事部分有错的，刑事部分仍按二审</w:t>
      </w:r>
      <w:r w:rsidRPr="00E61F8B">
        <w:rPr>
          <w:rFonts w:hint="eastAsia"/>
        </w:rPr>
        <w:t>，之后依审判监督程序对附带民事部分予以纠正。</w:t>
      </w:r>
    </w:p>
    <w:p w14:paraId="0D89D373" w14:textId="77777777" w:rsidR="004475D6" w:rsidRPr="00E61F8B" w:rsidRDefault="004475D6" w:rsidP="009C70C2">
      <w:pPr>
        <w:spacing w:line="240" w:lineRule="exact"/>
        <w:ind w:firstLineChars="200" w:firstLine="420"/>
        <w:rPr>
          <w:rFonts w:hint="eastAsia"/>
          <w:color w:val="auto"/>
        </w:rPr>
      </w:pPr>
      <w:r w:rsidRPr="00E61F8B">
        <w:rPr>
          <w:rFonts w:hint="eastAsia"/>
          <w:color w:val="auto"/>
        </w:rPr>
        <w:t>对附带民事部分提出上诉，刑事部分已经发生法律效力的案件，刑事部分正确的，附带民事部分按二审；刑事部分有错的，依审监程序对刑事部分再审，一并审理附带民事部分。</w:t>
      </w:r>
    </w:p>
    <w:p w14:paraId="7B818D55" w14:textId="77777777" w:rsidR="004475D6" w:rsidRPr="00E61F8B" w:rsidRDefault="004475D6" w:rsidP="009C70C2">
      <w:pPr>
        <w:spacing w:line="240" w:lineRule="exact"/>
        <w:ind w:firstLineChars="200" w:firstLine="420"/>
        <w:rPr>
          <w:rFonts w:cs="仿宋_GB2312" w:hint="eastAsia"/>
          <w:bCs/>
        </w:rPr>
      </w:pPr>
      <w:r w:rsidRPr="00E61F8B">
        <w:rPr>
          <w:rFonts w:hint="eastAsia"/>
        </w:rPr>
        <w:t>第一审附带民事诉讼原告人增加独立的诉讼请求、第一审附带民事诉讼被告人提出反诉，先调解；</w:t>
      </w:r>
      <w:r w:rsidRPr="00E61F8B">
        <w:rPr>
          <w:rFonts w:hint="eastAsia"/>
          <w:color w:val="FF0000"/>
        </w:rPr>
        <w:t>调解不成的，告知当事人另行起诉</w:t>
      </w:r>
      <w:r w:rsidRPr="00E61F8B">
        <w:rPr>
          <w:rFonts w:hint="eastAsia"/>
        </w:rPr>
        <w:t>。</w:t>
      </w:r>
    </w:p>
    <w:p w14:paraId="3417FCAD" w14:textId="77777777" w:rsidR="004475D6" w:rsidRPr="00E61F8B" w:rsidRDefault="004475D6" w:rsidP="009C70C2">
      <w:pPr>
        <w:spacing w:line="240" w:lineRule="exact"/>
        <w:ind w:firstLineChars="200" w:firstLine="420"/>
        <w:rPr>
          <w:rFonts w:hint="eastAsia"/>
          <w:kern w:val="0"/>
        </w:rPr>
      </w:pPr>
      <w:r w:rsidRPr="00E61F8B">
        <w:rPr>
          <w:rFonts w:hint="eastAsia"/>
          <w:kern w:val="0"/>
        </w:rPr>
        <w:t>刑事附带民事诉讼案件，只有附带民事诉讼当事人及其法定代理人上诉的，</w:t>
      </w:r>
      <w:r w:rsidRPr="00E61F8B">
        <w:rPr>
          <w:rFonts w:hint="eastAsia"/>
          <w:color w:val="B00824"/>
          <w:kern w:val="0"/>
        </w:rPr>
        <w:t>第一审刑事部分的判决在上诉期满后即发生法律效力，应当送监执行的第一审刑事被告人是第二审附带民事诉讼被告人的，在第二审附带民事诉讼案件审结前，可以暂缓送监执行</w:t>
      </w:r>
      <w:r w:rsidRPr="00E61F8B">
        <w:rPr>
          <w:rFonts w:hint="eastAsia"/>
          <w:kern w:val="0"/>
        </w:rPr>
        <w:t>。同理，只有刑事部分被告人上诉或者被抗诉的，第一审刑事附带民事的判决在上诉期满后即发生法律效力。</w:t>
      </w:r>
      <w:bookmarkEnd w:id="0"/>
      <w:bookmarkEnd w:id="1"/>
      <w:bookmarkEnd w:id="2"/>
      <w:bookmarkEnd w:id="3"/>
      <w:bookmarkEnd w:id="4"/>
      <w:bookmarkEnd w:id="5"/>
    </w:p>
    <w:sectPr w:rsidR="004475D6" w:rsidRPr="00E61F8B" w:rsidSect="006B2820">
      <w:headerReference w:type="even" r:id="rId8"/>
      <w:footerReference w:type="even" r:id="rId9"/>
      <w:footerReference w:type="default" r:id="rId10"/>
      <w:pgSz w:w="11900" w:h="16840"/>
      <w:pgMar w:top="1701" w:right="1588" w:bottom="1247" w:left="1588" w:header="851" w:footer="992" w:gutter="0"/>
      <w:pgNumType w:start="4"/>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CA862" w14:textId="77777777" w:rsidR="00C74190" w:rsidRDefault="00C74190" w:rsidP="00C85E2D">
      <w:pPr>
        <w:rPr>
          <w:rFonts w:hint="eastAsia"/>
        </w:rPr>
      </w:pPr>
      <w:r>
        <w:separator/>
      </w:r>
    </w:p>
  </w:endnote>
  <w:endnote w:type="continuationSeparator" w:id="0">
    <w:p w14:paraId="7FFF2228" w14:textId="77777777" w:rsidR="00C74190" w:rsidRDefault="00C74190" w:rsidP="00C85E2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汉仪大宋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ACADEMY ENGRAVED LET PLAIN:1.0">
    <w:altName w:val="FFont-Family"/>
    <w:charset w:val="00"/>
    <w:family w:val="auto"/>
    <w:pitch w:val="default"/>
    <w:sig w:usb0="00000000"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汉仪书宋二简">
    <w:altName w:val="微软雅黑"/>
    <w:charset w:val="86"/>
    <w:family w:val="modern"/>
    <w:pitch w:val="fixed"/>
    <w:sig w:usb0="00000001" w:usb1="080E0800" w:usb2="00000012" w:usb3="00000000" w:csb0="00040000" w:csb1="00000000"/>
  </w:font>
  <w:font w:name="汉仪中等线简">
    <w:altName w:val="微软雅黑"/>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汉仪粗黑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B3BA" w14:textId="77777777" w:rsidR="00C8335A" w:rsidRPr="004D0F48" w:rsidRDefault="00000000">
    <w:pPr>
      <w:pStyle w:val="a5"/>
      <w:ind w:right="360"/>
      <w:rPr>
        <w:rFonts w:ascii="Arial" w:eastAsia="汉仪书宋二简"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2F96534B" wp14:editId="3506274F">
              <wp:simplePos x="0" y="0"/>
              <wp:positionH relativeFrom="margin">
                <wp:posOffset>0</wp:posOffset>
              </wp:positionH>
              <wp:positionV relativeFrom="paragraph">
                <wp:posOffset>127000</wp:posOffset>
              </wp:positionV>
              <wp:extent cx="257175" cy="1828800"/>
              <wp:effectExtent l="0" t="0" r="9525" b="14605"/>
              <wp:wrapNone/>
              <wp:docPr id="2" name="文本框 2"/>
              <wp:cNvGraphicFramePr/>
              <a:graphic xmlns:a="http://schemas.openxmlformats.org/drawingml/2006/main">
                <a:graphicData uri="http://schemas.microsoft.com/office/word/2010/wordprocessingShape">
                  <wps:wsp>
                    <wps:cNvSpPr txBox="1"/>
                    <wps:spPr>
                      <a:xfrm>
                        <a:off x="0" y="0"/>
                        <a:ext cx="2571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FAF2" w14:textId="77777777" w:rsidR="00C8335A" w:rsidRPr="004D0F48" w:rsidRDefault="00000000">
                          <w:pPr>
                            <w:pStyle w:val="a5"/>
                            <w:rPr>
                              <w:rFonts w:ascii="Arial" w:eastAsia="汉仪书宋二简" w:hAnsi="Arial" w:cs="Arial"/>
                            </w:rPr>
                          </w:pPr>
                          <w:r w:rsidRPr="004D0F48">
                            <w:rPr>
                              <w:rFonts w:ascii="Arial" w:eastAsia="汉仪书宋二简" w:hAnsi="Arial" w:cs="Arial"/>
                            </w:rPr>
                            <w:fldChar w:fldCharType="begin"/>
                          </w:r>
                          <w:r w:rsidRPr="004D0F48">
                            <w:rPr>
                              <w:rFonts w:ascii="Arial" w:eastAsia="汉仪书宋二简" w:hAnsi="Arial" w:cs="Arial"/>
                            </w:rPr>
                            <w:instrText xml:space="preserve"> PAGE  \* MERGEFORMAT </w:instrText>
                          </w:r>
                          <w:r w:rsidRPr="004D0F48">
                            <w:rPr>
                              <w:rFonts w:ascii="Arial" w:eastAsia="汉仪书宋二简" w:hAnsi="Arial" w:cs="Arial"/>
                            </w:rPr>
                            <w:fldChar w:fldCharType="separate"/>
                          </w:r>
                          <w:r>
                            <w:rPr>
                              <w:rFonts w:ascii="Arial" w:eastAsia="汉仪书宋二简" w:hAnsi="Arial" w:cs="Arial"/>
                              <w:noProof/>
                            </w:rPr>
                            <w:t>128</w:t>
                          </w:r>
                          <w:r w:rsidRPr="004D0F48">
                            <w:rPr>
                              <w:rFonts w:ascii="Arial" w:eastAsia="汉仪书宋二简" w:hAnsi="Arial" w:cs="Arial"/>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2F96534B" id="_x0000_t202" coordsize="21600,21600" o:spt="202" path="m,l,21600r21600,l21600,xe">
              <v:stroke joinstyle="miter"/>
              <v:path gradientshapeok="t" o:connecttype="rect"/>
            </v:shapetype>
            <v:shape id="文本框 2" o:spid="_x0000_s1026" type="#_x0000_t202" style="position:absolute;margin-left:0;margin-top:10pt;width:20.25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" filled="f" stroked="f" strokeweight=".5pt">
              <v:textbox style="mso-fit-shape-to-text:t" inset="0,0,0,0">
                <w:txbxContent>
                  <w:p w14:paraId="438FFAF2" w14:textId="77777777" w:rsidR="00C8335A" w:rsidRPr="004D0F48" w:rsidRDefault="00000000">
                    <w:pPr>
                      <w:pStyle w:val="a5"/>
                      <w:rPr>
                        <w:rFonts w:ascii="Arial" w:eastAsia="汉仪书宋二简" w:hAnsi="Arial" w:cs="Arial"/>
                      </w:rPr>
                    </w:pPr>
                    <w:r w:rsidRPr="004D0F48">
                      <w:rPr>
                        <w:rFonts w:ascii="Arial" w:eastAsia="汉仪书宋二简" w:hAnsi="Arial" w:cs="Arial"/>
                      </w:rPr>
                      <w:fldChar w:fldCharType="begin"/>
                    </w:r>
                    <w:r w:rsidRPr="004D0F48">
                      <w:rPr>
                        <w:rFonts w:ascii="Arial" w:eastAsia="汉仪书宋二简" w:hAnsi="Arial" w:cs="Arial"/>
                      </w:rPr>
                      <w:instrText xml:space="preserve"> PAGE  \* MERGEFORMAT </w:instrText>
                    </w:r>
                    <w:r w:rsidRPr="004D0F48">
                      <w:rPr>
                        <w:rFonts w:ascii="Arial" w:eastAsia="汉仪书宋二简" w:hAnsi="Arial" w:cs="Arial"/>
                      </w:rPr>
                      <w:fldChar w:fldCharType="separate"/>
                    </w:r>
                    <w:r>
                      <w:rPr>
                        <w:rFonts w:ascii="Arial" w:eastAsia="汉仪书宋二简" w:hAnsi="Arial" w:cs="Arial"/>
                        <w:noProof/>
                      </w:rPr>
                      <w:t>128</w:t>
                    </w:r>
                    <w:r w:rsidRPr="004D0F48">
                      <w:rPr>
                        <w:rFonts w:ascii="Arial" w:eastAsia="汉仪书宋二简" w:hAnsi="Arial" w:cs="Arial"/>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E16C2" w14:textId="77777777" w:rsidR="00C8335A" w:rsidRPr="004D0F48" w:rsidRDefault="00000000">
    <w:pPr>
      <w:pStyle w:val="a5"/>
      <w:ind w:right="360"/>
      <w:rPr>
        <w:rFonts w:eastAsia="汉仪书宋二简" w:hint="eastAsia"/>
      </w:rPr>
    </w:pPr>
    <w:r>
      <w:rPr>
        <w:noProof/>
      </w:rPr>
      <mc:AlternateContent>
        <mc:Choice Requires="wps">
          <w:drawing>
            <wp:anchor distT="0" distB="0" distL="114300" distR="114300" simplePos="0" relativeHeight="251659264" behindDoc="0" locked="0" layoutInCell="1" allowOverlap="1" wp14:anchorId="481ECAFB" wp14:editId="605DCB62">
              <wp:simplePos x="0" y="0"/>
              <wp:positionH relativeFrom="margin">
                <wp:posOffset>5278120</wp:posOffset>
              </wp:positionH>
              <wp:positionV relativeFrom="paragraph">
                <wp:posOffset>127000</wp:posOffset>
              </wp:positionV>
              <wp:extent cx="260985" cy="1828800"/>
              <wp:effectExtent l="0" t="0" r="5715" b="14605"/>
              <wp:wrapNone/>
              <wp:docPr id="1" name="文本框 1"/>
              <wp:cNvGraphicFramePr/>
              <a:graphic xmlns:a="http://schemas.openxmlformats.org/drawingml/2006/main">
                <a:graphicData uri="http://schemas.microsoft.com/office/word/2010/wordprocessingShape">
                  <wps:wsp>
                    <wps:cNvSpPr txBox="1"/>
                    <wps:spPr>
                      <a:xfrm>
                        <a:off x="0" y="0"/>
                        <a:ext cx="26098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FDC7C" w14:textId="77777777" w:rsidR="00C8335A" w:rsidRPr="004D0F48" w:rsidRDefault="00000000" w:rsidP="00194314">
                          <w:pPr>
                            <w:pStyle w:val="a5"/>
                            <w:jc w:val="right"/>
                            <w:rPr>
                              <w:rFonts w:ascii="Arial" w:eastAsia="汉仪书宋二简" w:hAnsi="Arial" w:cs="Arial"/>
                            </w:rPr>
                          </w:pPr>
                          <w:r w:rsidRPr="004D0F48">
                            <w:rPr>
                              <w:rFonts w:ascii="Arial" w:eastAsia="汉仪书宋二简" w:hAnsi="Arial" w:cs="Arial"/>
                            </w:rPr>
                            <w:fldChar w:fldCharType="begin"/>
                          </w:r>
                          <w:r w:rsidRPr="004D0F48">
                            <w:rPr>
                              <w:rFonts w:ascii="Arial" w:eastAsia="汉仪书宋二简" w:hAnsi="Arial" w:cs="Arial"/>
                            </w:rPr>
                            <w:instrText xml:space="preserve"> PAGE  \* MERGEFORMAT </w:instrText>
                          </w:r>
                          <w:r w:rsidRPr="004D0F48">
                            <w:rPr>
                              <w:rFonts w:ascii="Arial" w:eastAsia="汉仪书宋二简" w:hAnsi="Arial" w:cs="Arial"/>
                            </w:rPr>
                            <w:fldChar w:fldCharType="separate"/>
                          </w:r>
                          <w:r>
                            <w:rPr>
                              <w:rFonts w:ascii="Arial" w:eastAsia="汉仪书宋二简" w:hAnsi="Arial" w:cs="Arial"/>
                              <w:noProof/>
                            </w:rPr>
                            <w:t>129</w:t>
                          </w:r>
                          <w:r w:rsidRPr="004D0F48">
                            <w:rPr>
                              <w:rFonts w:ascii="Arial" w:eastAsia="汉仪书宋二简" w:hAnsi="Arial" w:cs="Arial"/>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481ECAFB" id="_x0000_t202" coordsize="21600,21600" o:spt="202" path="m,l,21600r21600,l21600,xe">
              <v:stroke joinstyle="miter"/>
              <v:path gradientshapeok="t" o:connecttype="rect"/>
            </v:shapetype>
            <v:shape id="文本框 1" o:spid="_x0000_s1027" type="#_x0000_t202" style="position:absolute;margin-left:415.6pt;margin-top:10pt;width:20.5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" filled="f" stroked="f" strokeweight=".5pt">
              <v:textbox style="mso-fit-shape-to-text:t" inset="0,0,0,0">
                <w:txbxContent>
                  <w:p w14:paraId="25AFDC7C" w14:textId="77777777" w:rsidR="00C8335A" w:rsidRPr="004D0F48" w:rsidRDefault="00000000" w:rsidP="00194314">
                    <w:pPr>
                      <w:pStyle w:val="a5"/>
                      <w:jc w:val="right"/>
                      <w:rPr>
                        <w:rFonts w:ascii="Arial" w:eastAsia="汉仪书宋二简" w:hAnsi="Arial" w:cs="Arial"/>
                      </w:rPr>
                    </w:pPr>
                    <w:r w:rsidRPr="004D0F48">
                      <w:rPr>
                        <w:rFonts w:ascii="Arial" w:eastAsia="汉仪书宋二简" w:hAnsi="Arial" w:cs="Arial"/>
                      </w:rPr>
                      <w:fldChar w:fldCharType="begin"/>
                    </w:r>
                    <w:r w:rsidRPr="004D0F48">
                      <w:rPr>
                        <w:rFonts w:ascii="Arial" w:eastAsia="汉仪书宋二简" w:hAnsi="Arial" w:cs="Arial"/>
                      </w:rPr>
                      <w:instrText xml:space="preserve"> PAGE  \* MERGEFORMAT </w:instrText>
                    </w:r>
                    <w:r w:rsidRPr="004D0F48">
                      <w:rPr>
                        <w:rFonts w:ascii="Arial" w:eastAsia="汉仪书宋二简" w:hAnsi="Arial" w:cs="Arial"/>
                      </w:rPr>
                      <w:fldChar w:fldCharType="separate"/>
                    </w:r>
                    <w:r>
                      <w:rPr>
                        <w:rFonts w:ascii="Arial" w:eastAsia="汉仪书宋二简" w:hAnsi="Arial" w:cs="Arial"/>
                        <w:noProof/>
                      </w:rPr>
                      <w:t>129</w:t>
                    </w:r>
                    <w:r w:rsidRPr="004D0F48">
                      <w:rPr>
                        <w:rFonts w:ascii="Arial" w:eastAsia="汉仪书宋二简" w:hAnsi="Arial" w:cs="Arial"/>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B6AE" w14:textId="77777777" w:rsidR="00C74190" w:rsidRDefault="00C74190" w:rsidP="00C85E2D">
      <w:pPr>
        <w:rPr>
          <w:rFonts w:hint="eastAsia"/>
        </w:rPr>
      </w:pPr>
      <w:r>
        <w:separator/>
      </w:r>
    </w:p>
  </w:footnote>
  <w:footnote w:type="continuationSeparator" w:id="0">
    <w:p w14:paraId="23EB3A9A" w14:textId="77777777" w:rsidR="00C74190" w:rsidRDefault="00C74190" w:rsidP="00C85E2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E235" w14:textId="77777777" w:rsidR="00C8335A" w:rsidRPr="004D0F48" w:rsidRDefault="00000000" w:rsidP="002F585A">
    <w:pPr>
      <w:spacing w:line="207" w:lineRule="exact"/>
      <w:rPr>
        <w:rFonts w:eastAsia="汉仪书宋二简" w:hint="eastAsia"/>
        <w:sz w:val="20"/>
        <w:szCs w:val="20"/>
      </w:rPr>
    </w:pPr>
    <w:r w:rsidRPr="00BE2B6B">
      <w:rPr>
        <w:rFonts w:ascii="Arial" w:eastAsia="Arial" w:hAnsi="Arial" w:cs="Arial"/>
        <w:color w:val="B00824"/>
        <w:sz w:val="17"/>
        <w:szCs w:val="17"/>
      </w:rPr>
      <w:t>2023</w:t>
    </w:r>
    <w:r w:rsidRPr="00BE2B6B">
      <w:rPr>
        <w:rFonts w:ascii="汉仪中等线简" w:eastAsia="汉仪中等线简" w:hAnsi="汉仪中黑简" w:cs="汉仪中黑简" w:hint="eastAsia"/>
        <w:color w:val="B00824"/>
        <w:sz w:val="17"/>
        <w:szCs w:val="17"/>
      </w:rPr>
      <w:t>年</w:t>
    </w:r>
    <w:r w:rsidRPr="00BE2B6B">
      <w:rPr>
        <w:rFonts w:ascii="汉仪中黑简" w:eastAsia="汉仪中黑简" w:hAnsi="汉仪中黑简" w:cs="汉仪中黑简"/>
        <w:color w:val="B00824"/>
        <w:sz w:val="17"/>
        <w:szCs w:val="17"/>
      </w:rPr>
      <w:t>桑磊法考</w:t>
    </w:r>
    <w:r w:rsidRPr="00BE2B6B">
      <w:rPr>
        <w:rFonts w:ascii="汉仪中黑简" w:eastAsia="汉仪中黑简" w:hAnsi="汉仪中黑简" w:cs="汉仪中黑简" w:hint="eastAsia"/>
        <w:color w:val="B00824"/>
        <w:sz w:val="17"/>
        <w:szCs w:val="17"/>
      </w:rPr>
      <w:t xml:space="preserve"> ○</w:t>
    </w:r>
    <w:r w:rsidRPr="00BE2B6B">
      <w:rPr>
        <w:rFonts w:ascii="汉仪中黑简" w:eastAsia="汉仪中黑简" w:hAnsi="汉仪中黑简" w:cs="汉仪中黑简"/>
        <w:color w:val="B00824"/>
        <w:sz w:val="17"/>
        <w:szCs w:val="17"/>
      </w:rPr>
      <w:t xml:space="preserve"> </w:t>
    </w:r>
    <w:r w:rsidRPr="00BE2B6B">
      <w:rPr>
        <w:rFonts w:ascii="汉仪中黑简" w:eastAsia="汉仪中黑简" w:hAnsi="汉仪中黑简" w:cs="汉仪中黑简" w:hint="eastAsia"/>
        <w:color w:val="B00824"/>
        <w:sz w:val="17"/>
        <w:szCs w:val="17"/>
      </w:rPr>
      <w:t>主观题</w:t>
    </w:r>
    <w:r>
      <w:rPr>
        <w:rFonts w:ascii="汉仪粗黑简" w:eastAsia="汉仪粗黑简" w:hAnsi="汉仪中黑简" w:cs="汉仪中黑简" w:hint="eastAsia"/>
        <w:sz w:val="17"/>
        <w:szCs w:val="17"/>
      </w:rPr>
      <w:t>专题突破</w:t>
    </w:r>
    <w:r w:rsidRPr="00BE2B6B">
      <w:rPr>
        <w:rFonts w:ascii="汉仪中黑简" w:eastAsia="汉仪中黑简" w:hAnsi="汉仪中黑简" w:cs="汉仪中黑简" w:hint="eastAsia"/>
        <w:color w:val="B00824"/>
        <w:sz w:val="17"/>
        <w:szCs w:val="17"/>
      </w:rPr>
      <w:t>内部讲义</w:t>
    </w:r>
  </w:p>
  <w:p w14:paraId="0B8CC733" w14:textId="77777777" w:rsidR="00C8335A" w:rsidRPr="004D0F48" w:rsidRDefault="00C8335A" w:rsidP="002F585A">
    <w:pPr>
      <w:spacing w:line="207" w:lineRule="exact"/>
      <w:rPr>
        <w:rFonts w:eastAsia="汉仪书宋二简" w:hint="eastAsia"/>
        <w:sz w:val="20"/>
        <w:szCs w:val="20"/>
      </w:rPr>
    </w:pPr>
  </w:p>
  <w:p w14:paraId="32C2AEFE" w14:textId="77777777" w:rsidR="00C8335A" w:rsidRPr="004D0F48" w:rsidRDefault="00C8335A" w:rsidP="002F585A">
    <w:pPr>
      <w:pStyle w:val="a3"/>
      <w:pBdr>
        <w:bottom w:val="none" w:sz="0" w:space="1" w:color="auto"/>
      </w:pBdr>
      <w:rPr>
        <w:rFonts w:eastAsia="汉仪书宋二简"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798E0E"/>
    <w:multiLevelType w:val="singleLevel"/>
    <w:tmpl w:val="A3798E0E"/>
    <w:lvl w:ilvl="0">
      <w:start w:val="10"/>
      <w:numFmt w:val="chineseCounting"/>
      <w:suff w:val="nothing"/>
      <w:lvlText w:val="%1、"/>
      <w:lvlJc w:val="left"/>
      <w:rPr>
        <w:rFonts w:hint="eastAsia"/>
      </w:rPr>
    </w:lvl>
  </w:abstractNum>
  <w:abstractNum w:abstractNumId="1" w15:restartNumberingAfterBreak="0">
    <w:nsid w:val="B67FB28B"/>
    <w:multiLevelType w:val="singleLevel"/>
    <w:tmpl w:val="B67FB28B"/>
    <w:lvl w:ilvl="0">
      <w:start w:val="1"/>
      <w:numFmt w:val="decimal"/>
      <w:lvlText w:val="%1."/>
      <w:lvlJc w:val="left"/>
      <w:pPr>
        <w:tabs>
          <w:tab w:val="left" w:pos="312"/>
        </w:tabs>
      </w:pPr>
    </w:lvl>
  </w:abstractNum>
  <w:abstractNum w:abstractNumId="2" w15:restartNumberingAfterBreak="0">
    <w:nsid w:val="CC151D68"/>
    <w:multiLevelType w:val="singleLevel"/>
    <w:tmpl w:val="CC151D68"/>
    <w:lvl w:ilvl="0">
      <w:start w:val="3"/>
      <w:numFmt w:val="chineseCounting"/>
      <w:suff w:val="nothing"/>
      <w:lvlText w:val="%1、"/>
      <w:lvlJc w:val="left"/>
      <w:rPr>
        <w:rFonts w:hint="eastAsia"/>
      </w:rPr>
    </w:lvl>
  </w:abstractNum>
  <w:abstractNum w:abstractNumId="3" w15:restartNumberingAfterBreak="0">
    <w:nsid w:val="065A8F94"/>
    <w:multiLevelType w:val="singleLevel"/>
    <w:tmpl w:val="065A8F94"/>
    <w:lvl w:ilvl="0">
      <w:start w:val="5"/>
      <w:numFmt w:val="chineseCounting"/>
      <w:suff w:val="nothing"/>
      <w:lvlText w:val="%1、"/>
      <w:lvlJc w:val="left"/>
      <w:rPr>
        <w:rFonts w:hint="eastAsia"/>
      </w:rPr>
    </w:lvl>
  </w:abstractNum>
  <w:abstractNum w:abstractNumId="4" w15:restartNumberingAfterBreak="0">
    <w:nsid w:val="0CE47B0C"/>
    <w:multiLevelType w:val="singleLevel"/>
    <w:tmpl w:val="0CE47B0C"/>
    <w:lvl w:ilvl="0">
      <w:start w:val="1"/>
      <w:numFmt w:val="chineseCounting"/>
      <w:suff w:val="nothing"/>
      <w:lvlText w:val="（%1）"/>
      <w:lvlJc w:val="left"/>
      <w:rPr>
        <w:rFonts w:hint="eastAsia"/>
      </w:rPr>
    </w:lvl>
  </w:abstractNum>
  <w:abstractNum w:abstractNumId="5" w15:restartNumberingAfterBreak="0">
    <w:nsid w:val="134DCD5E"/>
    <w:multiLevelType w:val="singleLevel"/>
    <w:tmpl w:val="134DCD5E"/>
    <w:lvl w:ilvl="0">
      <w:start w:val="1"/>
      <w:numFmt w:val="chineseCounting"/>
      <w:suff w:val="nothing"/>
      <w:lvlText w:val="（%1）"/>
      <w:lvlJc w:val="left"/>
      <w:rPr>
        <w:rFonts w:hint="eastAsia"/>
      </w:rPr>
    </w:lvl>
  </w:abstractNum>
  <w:abstractNum w:abstractNumId="6" w15:restartNumberingAfterBreak="0">
    <w:nsid w:val="18DC7534"/>
    <w:multiLevelType w:val="hybridMultilevel"/>
    <w:tmpl w:val="008EADA0"/>
    <w:lvl w:ilvl="0" w:tplc="CB96C31E">
      <w:start w:val="3"/>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1D35C5CD"/>
    <w:multiLevelType w:val="singleLevel"/>
    <w:tmpl w:val="1D35C5CD"/>
    <w:lvl w:ilvl="0">
      <w:start w:val="13"/>
      <w:numFmt w:val="chineseCounting"/>
      <w:suff w:val="nothing"/>
      <w:lvlText w:val="%1、"/>
      <w:lvlJc w:val="left"/>
      <w:rPr>
        <w:rFonts w:hint="eastAsia"/>
      </w:rPr>
    </w:lvl>
  </w:abstractNum>
  <w:abstractNum w:abstractNumId="8" w15:restartNumberingAfterBreak="0">
    <w:nsid w:val="1EEC513B"/>
    <w:multiLevelType w:val="singleLevel"/>
    <w:tmpl w:val="1EEC513B"/>
    <w:lvl w:ilvl="0">
      <w:start w:val="2"/>
      <w:numFmt w:val="chineseCounting"/>
      <w:suff w:val="nothing"/>
      <w:lvlText w:val="%1、"/>
      <w:lvlJc w:val="left"/>
      <w:rPr>
        <w:rFonts w:hint="eastAsia"/>
      </w:rPr>
    </w:lvl>
  </w:abstractNum>
  <w:abstractNum w:abstractNumId="9" w15:restartNumberingAfterBreak="0">
    <w:nsid w:val="30FC7355"/>
    <w:multiLevelType w:val="multilevel"/>
    <w:tmpl w:val="30FC7355"/>
    <w:lvl w:ilvl="0">
      <w:start w:val="1"/>
      <w:numFmt w:val="japaneseCounting"/>
      <w:lvlText w:val="（%1）"/>
      <w:lvlJc w:val="left"/>
      <w:pPr>
        <w:ind w:left="1140" w:hanging="72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0" w15:restartNumberingAfterBreak="0">
    <w:nsid w:val="3FE202B6"/>
    <w:multiLevelType w:val="multilevel"/>
    <w:tmpl w:val="3FE202B6"/>
    <w:lvl w:ilvl="0">
      <w:start w:val="1"/>
      <w:numFmt w:val="decimal"/>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AA7FB40"/>
    <w:multiLevelType w:val="singleLevel"/>
    <w:tmpl w:val="4AA7FB40"/>
    <w:lvl w:ilvl="0">
      <w:start w:val="1"/>
      <w:numFmt w:val="decimal"/>
      <w:lvlText w:val="%1."/>
      <w:lvlJc w:val="left"/>
      <w:pPr>
        <w:tabs>
          <w:tab w:val="left" w:pos="312"/>
        </w:tabs>
      </w:pPr>
    </w:lvl>
  </w:abstractNum>
  <w:abstractNum w:abstractNumId="12" w15:restartNumberingAfterBreak="0">
    <w:nsid w:val="4C9AB169"/>
    <w:multiLevelType w:val="singleLevel"/>
    <w:tmpl w:val="486A9F88"/>
    <w:lvl w:ilvl="0">
      <w:start w:val="2"/>
      <w:numFmt w:val="chineseCounting"/>
      <w:suff w:val="nothing"/>
      <w:lvlText w:val="（%1）"/>
      <w:lvlJc w:val="left"/>
      <w:rPr>
        <w:rFonts w:hint="eastAsia"/>
        <w:color w:val="auto"/>
      </w:rPr>
    </w:lvl>
  </w:abstractNum>
  <w:abstractNum w:abstractNumId="13" w15:restartNumberingAfterBreak="0">
    <w:nsid w:val="684B0FDE"/>
    <w:multiLevelType w:val="singleLevel"/>
    <w:tmpl w:val="684B0FDE"/>
    <w:lvl w:ilvl="0">
      <w:start w:val="1"/>
      <w:numFmt w:val="chineseCounting"/>
      <w:suff w:val="nothing"/>
      <w:lvlText w:val="（%1）"/>
      <w:lvlJc w:val="left"/>
      <w:rPr>
        <w:rFonts w:hint="eastAsia"/>
      </w:rPr>
    </w:lvl>
  </w:abstractNum>
  <w:abstractNum w:abstractNumId="14" w15:restartNumberingAfterBreak="0">
    <w:nsid w:val="695F2F58"/>
    <w:multiLevelType w:val="hybridMultilevel"/>
    <w:tmpl w:val="C49AF466"/>
    <w:lvl w:ilvl="0" w:tplc="DF882818">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5" w15:restartNumberingAfterBreak="0">
    <w:nsid w:val="6EAB8B7C"/>
    <w:multiLevelType w:val="singleLevel"/>
    <w:tmpl w:val="6EAB8B7C"/>
    <w:lvl w:ilvl="0">
      <w:start w:val="1"/>
      <w:numFmt w:val="chineseCounting"/>
      <w:suff w:val="nothing"/>
      <w:lvlText w:val="%1、"/>
      <w:lvlJc w:val="left"/>
      <w:pPr>
        <w:ind w:left="421" w:firstLine="0"/>
      </w:pPr>
      <w:rPr>
        <w:rFonts w:hint="eastAsia"/>
      </w:rPr>
    </w:lvl>
  </w:abstractNum>
  <w:abstractNum w:abstractNumId="16" w15:restartNumberingAfterBreak="0">
    <w:nsid w:val="70860735"/>
    <w:multiLevelType w:val="hybridMultilevel"/>
    <w:tmpl w:val="0CEC38B6"/>
    <w:lvl w:ilvl="0" w:tplc="8A00872C">
      <w:start w:val="1"/>
      <w:numFmt w:val="japaneseCounting"/>
      <w:lvlText w:val="（%1）"/>
      <w:lvlJc w:val="left"/>
      <w:pPr>
        <w:ind w:left="1142" w:hanging="72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17" w15:restartNumberingAfterBreak="0">
    <w:nsid w:val="74FD6DD1"/>
    <w:multiLevelType w:val="hybridMultilevel"/>
    <w:tmpl w:val="2A1AB402"/>
    <w:lvl w:ilvl="0" w:tplc="2FB0D41C">
      <w:start w:val="1"/>
      <w:numFmt w:val="none"/>
      <w:lvlText w:val="一、"/>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8" w15:restartNumberingAfterBreak="0">
    <w:nsid w:val="78E369C5"/>
    <w:multiLevelType w:val="hybridMultilevel"/>
    <w:tmpl w:val="E6C4B1A0"/>
    <w:lvl w:ilvl="0" w:tplc="DAC2D6FA">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658004363">
    <w:abstractNumId w:val="10"/>
  </w:num>
  <w:num w:numId="2" w16cid:durableId="2108311261">
    <w:abstractNumId w:val="2"/>
  </w:num>
  <w:num w:numId="3" w16cid:durableId="1028339804">
    <w:abstractNumId w:val="6"/>
  </w:num>
  <w:num w:numId="4" w16cid:durableId="1539515418">
    <w:abstractNumId w:val="11"/>
  </w:num>
  <w:num w:numId="5" w16cid:durableId="798492815">
    <w:abstractNumId w:val="1"/>
  </w:num>
  <w:num w:numId="6" w16cid:durableId="80103855">
    <w:abstractNumId w:val="13"/>
  </w:num>
  <w:num w:numId="7" w16cid:durableId="1962490400">
    <w:abstractNumId w:val="12"/>
  </w:num>
  <w:num w:numId="8" w16cid:durableId="200360366">
    <w:abstractNumId w:val="4"/>
  </w:num>
  <w:num w:numId="9" w16cid:durableId="1616907449">
    <w:abstractNumId w:val="5"/>
  </w:num>
  <w:num w:numId="10" w16cid:durableId="972252567">
    <w:abstractNumId w:val="8"/>
  </w:num>
  <w:num w:numId="11" w16cid:durableId="305206848">
    <w:abstractNumId w:val="15"/>
  </w:num>
  <w:num w:numId="12" w16cid:durableId="1514878833">
    <w:abstractNumId w:val="16"/>
  </w:num>
  <w:num w:numId="13" w16cid:durableId="814105706">
    <w:abstractNumId w:val="18"/>
  </w:num>
  <w:num w:numId="14" w16cid:durableId="1311903470">
    <w:abstractNumId w:val="14"/>
  </w:num>
  <w:num w:numId="15" w16cid:durableId="251935010">
    <w:abstractNumId w:val="17"/>
  </w:num>
  <w:num w:numId="16" w16cid:durableId="1897425769">
    <w:abstractNumId w:val="9"/>
  </w:num>
  <w:num w:numId="17" w16cid:durableId="1694257413">
    <w:abstractNumId w:val="3"/>
  </w:num>
  <w:num w:numId="18" w16cid:durableId="1863737905">
    <w:abstractNumId w:val="0"/>
  </w:num>
  <w:num w:numId="19" w16cid:durableId="130222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D4"/>
    <w:rsid w:val="00005B3D"/>
    <w:rsid w:val="00005E96"/>
    <w:rsid w:val="00014540"/>
    <w:rsid w:val="00015021"/>
    <w:rsid w:val="000159C7"/>
    <w:rsid w:val="000269DA"/>
    <w:rsid w:val="00032255"/>
    <w:rsid w:val="00034ED2"/>
    <w:rsid w:val="00037BF7"/>
    <w:rsid w:val="00042B43"/>
    <w:rsid w:val="00050941"/>
    <w:rsid w:val="00062A73"/>
    <w:rsid w:val="00067708"/>
    <w:rsid w:val="000712C0"/>
    <w:rsid w:val="00073190"/>
    <w:rsid w:val="00082C12"/>
    <w:rsid w:val="0009282F"/>
    <w:rsid w:val="0009311E"/>
    <w:rsid w:val="000A70B7"/>
    <w:rsid w:val="000B0E26"/>
    <w:rsid w:val="000B18BB"/>
    <w:rsid w:val="000B557C"/>
    <w:rsid w:val="000C5539"/>
    <w:rsid w:val="000C58DF"/>
    <w:rsid w:val="000C6AA4"/>
    <w:rsid w:val="000D2A58"/>
    <w:rsid w:val="000D4AD7"/>
    <w:rsid w:val="000D50D9"/>
    <w:rsid w:val="000E25CC"/>
    <w:rsid w:val="000E29B5"/>
    <w:rsid w:val="000E4D25"/>
    <w:rsid w:val="000F164C"/>
    <w:rsid w:val="000F6F07"/>
    <w:rsid w:val="00101202"/>
    <w:rsid w:val="00104E88"/>
    <w:rsid w:val="00106DB1"/>
    <w:rsid w:val="00110D5D"/>
    <w:rsid w:val="0011528D"/>
    <w:rsid w:val="0011627E"/>
    <w:rsid w:val="00116954"/>
    <w:rsid w:val="00117B40"/>
    <w:rsid w:val="0013249F"/>
    <w:rsid w:val="00135819"/>
    <w:rsid w:val="0013611D"/>
    <w:rsid w:val="001516C3"/>
    <w:rsid w:val="00157EFB"/>
    <w:rsid w:val="0016016C"/>
    <w:rsid w:val="00164448"/>
    <w:rsid w:val="00173399"/>
    <w:rsid w:val="00180876"/>
    <w:rsid w:val="001900D8"/>
    <w:rsid w:val="00190383"/>
    <w:rsid w:val="00197FBF"/>
    <w:rsid w:val="001A51CF"/>
    <w:rsid w:val="001B05DA"/>
    <w:rsid w:val="001B1DAA"/>
    <w:rsid w:val="001C500A"/>
    <w:rsid w:val="001C6B35"/>
    <w:rsid w:val="001C7DAC"/>
    <w:rsid w:val="001E7875"/>
    <w:rsid w:val="001F23B2"/>
    <w:rsid w:val="00203A59"/>
    <w:rsid w:val="002101E4"/>
    <w:rsid w:val="00210258"/>
    <w:rsid w:val="00210347"/>
    <w:rsid w:val="0021199C"/>
    <w:rsid w:val="00216E46"/>
    <w:rsid w:val="002205A0"/>
    <w:rsid w:val="0023254E"/>
    <w:rsid w:val="00250109"/>
    <w:rsid w:val="0025107F"/>
    <w:rsid w:val="00253DFB"/>
    <w:rsid w:val="00253FA7"/>
    <w:rsid w:val="002654ED"/>
    <w:rsid w:val="00266EB1"/>
    <w:rsid w:val="0028408B"/>
    <w:rsid w:val="002A6988"/>
    <w:rsid w:val="002B3BCF"/>
    <w:rsid w:val="002E37B3"/>
    <w:rsid w:val="002E4B09"/>
    <w:rsid w:val="002E4B2A"/>
    <w:rsid w:val="002E5CA5"/>
    <w:rsid w:val="002F088B"/>
    <w:rsid w:val="002F0EE7"/>
    <w:rsid w:val="003036F8"/>
    <w:rsid w:val="00311C36"/>
    <w:rsid w:val="0031551A"/>
    <w:rsid w:val="0032215B"/>
    <w:rsid w:val="003333C3"/>
    <w:rsid w:val="0033584B"/>
    <w:rsid w:val="00336E41"/>
    <w:rsid w:val="0034354D"/>
    <w:rsid w:val="003504F4"/>
    <w:rsid w:val="00366D7D"/>
    <w:rsid w:val="00384E00"/>
    <w:rsid w:val="00393502"/>
    <w:rsid w:val="00393FB5"/>
    <w:rsid w:val="003B0773"/>
    <w:rsid w:val="003B171C"/>
    <w:rsid w:val="003C1AFE"/>
    <w:rsid w:val="003C3C56"/>
    <w:rsid w:val="003C682B"/>
    <w:rsid w:val="003C7905"/>
    <w:rsid w:val="003D16FA"/>
    <w:rsid w:val="003D6311"/>
    <w:rsid w:val="003D6786"/>
    <w:rsid w:val="003E560F"/>
    <w:rsid w:val="003E6B1E"/>
    <w:rsid w:val="003F1BB0"/>
    <w:rsid w:val="003F68CE"/>
    <w:rsid w:val="00402393"/>
    <w:rsid w:val="00403F13"/>
    <w:rsid w:val="00424898"/>
    <w:rsid w:val="00427A63"/>
    <w:rsid w:val="004311DA"/>
    <w:rsid w:val="00432018"/>
    <w:rsid w:val="00432356"/>
    <w:rsid w:val="00445015"/>
    <w:rsid w:val="004475D6"/>
    <w:rsid w:val="00447959"/>
    <w:rsid w:val="00450BAC"/>
    <w:rsid w:val="00451AB2"/>
    <w:rsid w:val="00461938"/>
    <w:rsid w:val="00464E08"/>
    <w:rsid w:val="00471D73"/>
    <w:rsid w:val="004753C1"/>
    <w:rsid w:val="00481117"/>
    <w:rsid w:val="00482986"/>
    <w:rsid w:val="00490FFB"/>
    <w:rsid w:val="004947D4"/>
    <w:rsid w:val="00497240"/>
    <w:rsid w:val="004A1C8A"/>
    <w:rsid w:val="004A3723"/>
    <w:rsid w:val="004B0631"/>
    <w:rsid w:val="004B7319"/>
    <w:rsid w:val="004C625E"/>
    <w:rsid w:val="004D0175"/>
    <w:rsid w:val="004D2CCE"/>
    <w:rsid w:val="004D30A7"/>
    <w:rsid w:val="004E2FB9"/>
    <w:rsid w:val="004F42D8"/>
    <w:rsid w:val="004F6D6B"/>
    <w:rsid w:val="004F6FC4"/>
    <w:rsid w:val="00501E3E"/>
    <w:rsid w:val="00504BB8"/>
    <w:rsid w:val="00505AC7"/>
    <w:rsid w:val="00506D12"/>
    <w:rsid w:val="005107A2"/>
    <w:rsid w:val="00510D8E"/>
    <w:rsid w:val="005145B4"/>
    <w:rsid w:val="0051749F"/>
    <w:rsid w:val="005215B3"/>
    <w:rsid w:val="00521897"/>
    <w:rsid w:val="005240CF"/>
    <w:rsid w:val="00527648"/>
    <w:rsid w:val="00527F6F"/>
    <w:rsid w:val="00536716"/>
    <w:rsid w:val="00536BC7"/>
    <w:rsid w:val="0054067D"/>
    <w:rsid w:val="0054292B"/>
    <w:rsid w:val="005513A0"/>
    <w:rsid w:val="005622E6"/>
    <w:rsid w:val="0056519D"/>
    <w:rsid w:val="00574429"/>
    <w:rsid w:val="005745F1"/>
    <w:rsid w:val="00587555"/>
    <w:rsid w:val="00594752"/>
    <w:rsid w:val="00594FEE"/>
    <w:rsid w:val="005B19CC"/>
    <w:rsid w:val="005B314C"/>
    <w:rsid w:val="005B3791"/>
    <w:rsid w:val="005B4E79"/>
    <w:rsid w:val="005C50A2"/>
    <w:rsid w:val="005C601F"/>
    <w:rsid w:val="005C78E8"/>
    <w:rsid w:val="00603B93"/>
    <w:rsid w:val="006048BA"/>
    <w:rsid w:val="00606FD8"/>
    <w:rsid w:val="006259CD"/>
    <w:rsid w:val="00625CEF"/>
    <w:rsid w:val="00632F2D"/>
    <w:rsid w:val="00647525"/>
    <w:rsid w:val="00650661"/>
    <w:rsid w:val="00654133"/>
    <w:rsid w:val="00654AC0"/>
    <w:rsid w:val="00656AB4"/>
    <w:rsid w:val="00657DBC"/>
    <w:rsid w:val="00670CF3"/>
    <w:rsid w:val="00677BF8"/>
    <w:rsid w:val="00687FFB"/>
    <w:rsid w:val="00690274"/>
    <w:rsid w:val="00693646"/>
    <w:rsid w:val="0069496C"/>
    <w:rsid w:val="006A6E20"/>
    <w:rsid w:val="006B3543"/>
    <w:rsid w:val="006B5E19"/>
    <w:rsid w:val="006B6D38"/>
    <w:rsid w:val="006D0FCF"/>
    <w:rsid w:val="006D226E"/>
    <w:rsid w:val="006D3169"/>
    <w:rsid w:val="006E67AF"/>
    <w:rsid w:val="006F0C19"/>
    <w:rsid w:val="006F73D8"/>
    <w:rsid w:val="00711C2A"/>
    <w:rsid w:val="007164EE"/>
    <w:rsid w:val="00721F24"/>
    <w:rsid w:val="0072718E"/>
    <w:rsid w:val="00755E4D"/>
    <w:rsid w:val="00761777"/>
    <w:rsid w:val="00762AD1"/>
    <w:rsid w:val="007631F3"/>
    <w:rsid w:val="007653E4"/>
    <w:rsid w:val="00767B4A"/>
    <w:rsid w:val="00780EA5"/>
    <w:rsid w:val="00786067"/>
    <w:rsid w:val="007B2315"/>
    <w:rsid w:val="007B5D8A"/>
    <w:rsid w:val="007B6E1C"/>
    <w:rsid w:val="007D67D3"/>
    <w:rsid w:val="007D73C7"/>
    <w:rsid w:val="007D7CC3"/>
    <w:rsid w:val="007E0BE2"/>
    <w:rsid w:val="007E3049"/>
    <w:rsid w:val="007E5BE4"/>
    <w:rsid w:val="007E700D"/>
    <w:rsid w:val="007F2962"/>
    <w:rsid w:val="007F63EB"/>
    <w:rsid w:val="007F6860"/>
    <w:rsid w:val="007F6FB0"/>
    <w:rsid w:val="00801620"/>
    <w:rsid w:val="008027B3"/>
    <w:rsid w:val="00802B10"/>
    <w:rsid w:val="008049E7"/>
    <w:rsid w:val="00811793"/>
    <w:rsid w:val="00821A1B"/>
    <w:rsid w:val="00823949"/>
    <w:rsid w:val="008252E3"/>
    <w:rsid w:val="00827495"/>
    <w:rsid w:val="0083243B"/>
    <w:rsid w:val="00841D5E"/>
    <w:rsid w:val="00850088"/>
    <w:rsid w:val="0085010B"/>
    <w:rsid w:val="008523C7"/>
    <w:rsid w:val="008600F4"/>
    <w:rsid w:val="00865EBB"/>
    <w:rsid w:val="00871FCF"/>
    <w:rsid w:val="00881C8E"/>
    <w:rsid w:val="0089615C"/>
    <w:rsid w:val="008961BF"/>
    <w:rsid w:val="008A3F7E"/>
    <w:rsid w:val="008A64B4"/>
    <w:rsid w:val="008C469D"/>
    <w:rsid w:val="008C6EAD"/>
    <w:rsid w:val="008C7292"/>
    <w:rsid w:val="008D6B7B"/>
    <w:rsid w:val="0090298D"/>
    <w:rsid w:val="00906794"/>
    <w:rsid w:val="00907B9C"/>
    <w:rsid w:val="0091394F"/>
    <w:rsid w:val="0091504E"/>
    <w:rsid w:val="00930297"/>
    <w:rsid w:val="00942ADF"/>
    <w:rsid w:val="009458BA"/>
    <w:rsid w:val="0094665A"/>
    <w:rsid w:val="00946CA1"/>
    <w:rsid w:val="009476A6"/>
    <w:rsid w:val="00956589"/>
    <w:rsid w:val="00964D67"/>
    <w:rsid w:val="00965DDF"/>
    <w:rsid w:val="00975F23"/>
    <w:rsid w:val="00977507"/>
    <w:rsid w:val="0098757F"/>
    <w:rsid w:val="009A0344"/>
    <w:rsid w:val="009A2A89"/>
    <w:rsid w:val="009B45A2"/>
    <w:rsid w:val="009B66F4"/>
    <w:rsid w:val="009B7CBE"/>
    <w:rsid w:val="009C2EC1"/>
    <w:rsid w:val="009C70C2"/>
    <w:rsid w:val="009C7DE2"/>
    <w:rsid w:val="009C7F78"/>
    <w:rsid w:val="009D16D2"/>
    <w:rsid w:val="009E0B1E"/>
    <w:rsid w:val="009E114B"/>
    <w:rsid w:val="009E5850"/>
    <w:rsid w:val="009F4A31"/>
    <w:rsid w:val="009F607B"/>
    <w:rsid w:val="00A11C9A"/>
    <w:rsid w:val="00A169B9"/>
    <w:rsid w:val="00A27F62"/>
    <w:rsid w:val="00A36F49"/>
    <w:rsid w:val="00A42180"/>
    <w:rsid w:val="00A437C2"/>
    <w:rsid w:val="00A447D0"/>
    <w:rsid w:val="00A4564C"/>
    <w:rsid w:val="00A63795"/>
    <w:rsid w:val="00A672A3"/>
    <w:rsid w:val="00A67A85"/>
    <w:rsid w:val="00A7669F"/>
    <w:rsid w:val="00A836A4"/>
    <w:rsid w:val="00A85BAA"/>
    <w:rsid w:val="00A92A4E"/>
    <w:rsid w:val="00A93D15"/>
    <w:rsid w:val="00AA239B"/>
    <w:rsid w:val="00AB65C7"/>
    <w:rsid w:val="00AC420C"/>
    <w:rsid w:val="00AC427C"/>
    <w:rsid w:val="00AC4410"/>
    <w:rsid w:val="00AD1D6F"/>
    <w:rsid w:val="00AD2769"/>
    <w:rsid w:val="00B041FC"/>
    <w:rsid w:val="00B1571F"/>
    <w:rsid w:val="00B16094"/>
    <w:rsid w:val="00B2391A"/>
    <w:rsid w:val="00B27103"/>
    <w:rsid w:val="00B326CC"/>
    <w:rsid w:val="00B46847"/>
    <w:rsid w:val="00B5143B"/>
    <w:rsid w:val="00B51B08"/>
    <w:rsid w:val="00B72AC1"/>
    <w:rsid w:val="00B742DA"/>
    <w:rsid w:val="00B808AF"/>
    <w:rsid w:val="00B827D5"/>
    <w:rsid w:val="00B94D4A"/>
    <w:rsid w:val="00B957C2"/>
    <w:rsid w:val="00B96B73"/>
    <w:rsid w:val="00BA061B"/>
    <w:rsid w:val="00BA11C6"/>
    <w:rsid w:val="00BA1993"/>
    <w:rsid w:val="00BA4A96"/>
    <w:rsid w:val="00BB6FB3"/>
    <w:rsid w:val="00BC4FA1"/>
    <w:rsid w:val="00BC57E0"/>
    <w:rsid w:val="00BD42BD"/>
    <w:rsid w:val="00BE2936"/>
    <w:rsid w:val="00C04674"/>
    <w:rsid w:val="00C20473"/>
    <w:rsid w:val="00C23A41"/>
    <w:rsid w:val="00C257B8"/>
    <w:rsid w:val="00C25ABE"/>
    <w:rsid w:val="00C306CC"/>
    <w:rsid w:val="00C33D2D"/>
    <w:rsid w:val="00C34497"/>
    <w:rsid w:val="00C36150"/>
    <w:rsid w:val="00C61A96"/>
    <w:rsid w:val="00C6442D"/>
    <w:rsid w:val="00C74190"/>
    <w:rsid w:val="00C80540"/>
    <w:rsid w:val="00C8166F"/>
    <w:rsid w:val="00C81C61"/>
    <w:rsid w:val="00C8335A"/>
    <w:rsid w:val="00C85E2D"/>
    <w:rsid w:val="00C86AC6"/>
    <w:rsid w:val="00C94D68"/>
    <w:rsid w:val="00CA5262"/>
    <w:rsid w:val="00CB1AC1"/>
    <w:rsid w:val="00CB4F7C"/>
    <w:rsid w:val="00CB555C"/>
    <w:rsid w:val="00CB66C9"/>
    <w:rsid w:val="00CD15CD"/>
    <w:rsid w:val="00CD203E"/>
    <w:rsid w:val="00CE094D"/>
    <w:rsid w:val="00CF03CF"/>
    <w:rsid w:val="00CF2583"/>
    <w:rsid w:val="00CF277B"/>
    <w:rsid w:val="00CF2CEF"/>
    <w:rsid w:val="00CF4EC1"/>
    <w:rsid w:val="00CF74A1"/>
    <w:rsid w:val="00D03359"/>
    <w:rsid w:val="00D15B3E"/>
    <w:rsid w:val="00D23433"/>
    <w:rsid w:val="00D2546A"/>
    <w:rsid w:val="00D30A9E"/>
    <w:rsid w:val="00D33806"/>
    <w:rsid w:val="00D50CCC"/>
    <w:rsid w:val="00D522C0"/>
    <w:rsid w:val="00D52B52"/>
    <w:rsid w:val="00D53AC7"/>
    <w:rsid w:val="00D61B59"/>
    <w:rsid w:val="00D76919"/>
    <w:rsid w:val="00D76BC5"/>
    <w:rsid w:val="00D76E8A"/>
    <w:rsid w:val="00D77117"/>
    <w:rsid w:val="00D825D2"/>
    <w:rsid w:val="00D926F5"/>
    <w:rsid w:val="00DB05CA"/>
    <w:rsid w:val="00DB2868"/>
    <w:rsid w:val="00DD355A"/>
    <w:rsid w:val="00DD70AB"/>
    <w:rsid w:val="00DE1FDE"/>
    <w:rsid w:val="00DE7A89"/>
    <w:rsid w:val="00DF2DC7"/>
    <w:rsid w:val="00DF3F96"/>
    <w:rsid w:val="00DF6667"/>
    <w:rsid w:val="00E0065A"/>
    <w:rsid w:val="00E0515C"/>
    <w:rsid w:val="00E0640A"/>
    <w:rsid w:val="00E1753C"/>
    <w:rsid w:val="00E21941"/>
    <w:rsid w:val="00E31367"/>
    <w:rsid w:val="00E338DE"/>
    <w:rsid w:val="00E346BB"/>
    <w:rsid w:val="00E37CA7"/>
    <w:rsid w:val="00E4596F"/>
    <w:rsid w:val="00E50120"/>
    <w:rsid w:val="00E61F8B"/>
    <w:rsid w:val="00E74855"/>
    <w:rsid w:val="00E75774"/>
    <w:rsid w:val="00E803EF"/>
    <w:rsid w:val="00E807A6"/>
    <w:rsid w:val="00E842C3"/>
    <w:rsid w:val="00E85FEC"/>
    <w:rsid w:val="00E86E10"/>
    <w:rsid w:val="00E86F45"/>
    <w:rsid w:val="00E92D71"/>
    <w:rsid w:val="00E93ABB"/>
    <w:rsid w:val="00E95E44"/>
    <w:rsid w:val="00E97439"/>
    <w:rsid w:val="00EA0FD6"/>
    <w:rsid w:val="00EB443D"/>
    <w:rsid w:val="00EC59E1"/>
    <w:rsid w:val="00EE1F10"/>
    <w:rsid w:val="00EE35A1"/>
    <w:rsid w:val="00EF2090"/>
    <w:rsid w:val="00F106EE"/>
    <w:rsid w:val="00F21534"/>
    <w:rsid w:val="00F27E7A"/>
    <w:rsid w:val="00F32AD1"/>
    <w:rsid w:val="00F34CD8"/>
    <w:rsid w:val="00F37948"/>
    <w:rsid w:val="00F419D9"/>
    <w:rsid w:val="00F41C11"/>
    <w:rsid w:val="00F456AB"/>
    <w:rsid w:val="00F56020"/>
    <w:rsid w:val="00F7744E"/>
    <w:rsid w:val="00F8476E"/>
    <w:rsid w:val="00F864C5"/>
    <w:rsid w:val="00F86CC2"/>
    <w:rsid w:val="00F87D1B"/>
    <w:rsid w:val="00F9290D"/>
    <w:rsid w:val="00F95A62"/>
    <w:rsid w:val="00FA22CD"/>
    <w:rsid w:val="00FB479D"/>
    <w:rsid w:val="00FB78D0"/>
    <w:rsid w:val="00FB7A39"/>
    <w:rsid w:val="00FB7E6B"/>
    <w:rsid w:val="00FC28AC"/>
    <w:rsid w:val="00FC2C99"/>
    <w:rsid w:val="00FC2FD2"/>
    <w:rsid w:val="00FC42B1"/>
    <w:rsid w:val="00FD0762"/>
    <w:rsid w:val="00FD1C3C"/>
    <w:rsid w:val="00FE543B"/>
    <w:rsid w:val="00FF6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778EF"/>
  <w15:chartTrackingRefBased/>
  <w15:docId w15:val="{612CD004-526A-464A-ABB1-1B64842D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66F"/>
    <w:pPr>
      <w:widowControl w:val="0"/>
      <w:jc w:val="both"/>
    </w:pPr>
    <w:rPr>
      <w:rFonts w:ascii="宋体" w:eastAsia="宋体" w:hAnsi="宋体" w:cs="宋体"/>
      <w:color w:val="000000" w:themeColor="text1"/>
      <w:szCs w:val="21"/>
    </w:rPr>
  </w:style>
  <w:style w:type="paragraph" w:styleId="1">
    <w:name w:val="heading 1"/>
    <w:basedOn w:val="a"/>
    <w:next w:val="a"/>
    <w:link w:val="10"/>
    <w:uiPriority w:val="9"/>
    <w:qFormat/>
    <w:rsid w:val="004947D4"/>
    <w:pPr>
      <w:keepNext/>
      <w:keepLines/>
      <w:spacing w:before="340" w:after="330" w:line="578" w:lineRule="auto"/>
      <w:outlineLvl w:val="0"/>
    </w:pPr>
    <w:rPr>
      <w:rFonts w:ascii="Calibri" w:hAnsi="Calibri" w:cs="Times New Roman"/>
      <w:b/>
      <w:bCs/>
      <w:color w:val="auto"/>
      <w:kern w:val="44"/>
      <w:sz w:val="44"/>
      <w:szCs w:val="44"/>
    </w:rPr>
  </w:style>
  <w:style w:type="paragraph" w:styleId="2">
    <w:name w:val="heading 2"/>
    <w:basedOn w:val="a"/>
    <w:next w:val="a"/>
    <w:link w:val="20"/>
    <w:uiPriority w:val="9"/>
    <w:unhideWhenUsed/>
    <w:qFormat/>
    <w:rsid w:val="00657DB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4947D4"/>
    <w:pPr>
      <w:keepNext/>
      <w:keepLines/>
      <w:tabs>
        <w:tab w:val="left" w:pos="420"/>
      </w:tabs>
      <w:spacing w:line="384" w:lineRule="exact"/>
      <w:jc w:val="left"/>
      <w:outlineLvl w:val="2"/>
    </w:pPr>
    <w:rPr>
      <w:rFonts w:eastAsia="汉仪大宋简"/>
      <w:sz w:val="26"/>
    </w:rPr>
  </w:style>
  <w:style w:type="paragraph" w:styleId="4">
    <w:name w:val="heading 4"/>
    <w:basedOn w:val="a"/>
    <w:next w:val="a"/>
    <w:link w:val="40"/>
    <w:uiPriority w:val="9"/>
    <w:unhideWhenUsed/>
    <w:qFormat/>
    <w:rsid w:val="00657DBC"/>
    <w:pPr>
      <w:keepNext/>
      <w:keepLines/>
      <w:spacing w:before="280" w:after="290" w:line="376" w:lineRule="auto"/>
      <w:outlineLvl w:val="3"/>
    </w:pPr>
    <w:rPr>
      <w:rFonts w:asciiTheme="majorHAnsi" w:eastAsiaTheme="majorEastAsia" w:hAnsiTheme="majorHAnsi" w:cstheme="majorBidi"/>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947D4"/>
    <w:rPr>
      <w:rFonts w:ascii="Calibri" w:eastAsia="宋体" w:hAnsi="Calibri" w:cs="Times New Roman"/>
      <w:b/>
      <w:bCs/>
      <w:kern w:val="44"/>
      <w:sz w:val="44"/>
      <w:szCs w:val="44"/>
    </w:rPr>
  </w:style>
  <w:style w:type="character" w:customStyle="1" w:styleId="30">
    <w:name w:val="标题 3 字符"/>
    <w:basedOn w:val="a0"/>
    <w:link w:val="3"/>
    <w:uiPriority w:val="9"/>
    <w:qFormat/>
    <w:rsid w:val="004947D4"/>
    <w:rPr>
      <w:rFonts w:ascii="宋体" w:eastAsia="汉仪大宋简" w:hAnsi="宋体" w:cs="宋体"/>
      <w:color w:val="000000" w:themeColor="text1"/>
      <w:sz w:val="26"/>
      <w:szCs w:val="21"/>
    </w:rPr>
  </w:style>
  <w:style w:type="paragraph" w:styleId="a3">
    <w:name w:val="header"/>
    <w:basedOn w:val="a"/>
    <w:link w:val="a4"/>
    <w:uiPriority w:val="99"/>
    <w:unhideWhenUsed/>
    <w:qFormat/>
    <w:rsid w:val="00C85E2D"/>
    <w:pP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a4">
    <w:name w:val="页眉 字符"/>
    <w:basedOn w:val="a0"/>
    <w:link w:val="a3"/>
    <w:uiPriority w:val="99"/>
    <w:qFormat/>
    <w:rsid w:val="00C85E2D"/>
    <w:rPr>
      <w:sz w:val="18"/>
      <w:szCs w:val="18"/>
    </w:rPr>
  </w:style>
  <w:style w:type="paragraph" w:styleId="a5">
    <w:name w:val="footer"/>
    <w:basedOn w:val="a"/>
    <w:link w:val="a6"/>
    <w:uiPriority w:val="99"/>
    <w:unhideWhenUsed/>
    <w:qFormat/>
    <w:rsid w:val="00C85E2D"/>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a6">
    <w:name w:val="页脚 字符"/>
    <w:basedOn w:val="a0"/>
    <w:link w:val="a5"/>
    <w:uiPriority w:val="99"/>
    <w:qFormat/>
    <w:rsid w:val="00C85E2D"/>
    <w:rPr>
      <w:sz w:val="18"/>
      <w:szCs w:val="18"/>
    </w:rPr>
  </w:style>
  <w:style w:type="paragraph" w:styleId="a7">
    <w:name w:val="Plain Text"/>
    <w:basedOn w:val="a"/>
    <w:link w:val="a8"/>
    <w:uiPriority w:val="99"/>
    <w:unhideWhenUsed/>
    <w:qFormat/>
    <w:rsid w:val="00C85E2D"/>
    <w:pPr>
      <w:spacing w:beforeLines="10" w:afterLines="10" w:line="240" w:lineRule="exact"/>
    </w:pPr>
    <w:rPr>
      <w:rFonts w:hAnsi="Courier New" w:cs="Courier New"/>
      <w:color w:val="auto"/>
    </w:rPr>
  </w:style>
  <w:style w:type="character" w:customStyle="1" w:styleId="a8">
    <w:name w:val="纯文本 字符"/>
    <w:basedOn w:val="a0"/>
    <w:link w:val="a7"/>
    <w:uiPriority w:val="99"/>
    <w:qFormat/>
    <w:rsid w:val="00C85E2D"/>
    <w:rPr>
      <w:rFonts w:ascii="宋体" w:eastAsia="宋体" w:hAnsi="Courier New" w:cs="Courier New"/>
      <w:szCs w:val="21"/>
    </w:rPr>
  </w:style>
  <w:style w:type="table" w:styleId="a9">
    <w:name w:val="Table Grid"/>
    <w:basedOn w:val="a1"/>
    <w:uiPriority w:val="59"/>
    <w:qFormat/>
    <w:rsid w:val="00C85E2D"/>
    <w:pPr>
      <w:spacing w:beforeLines="10" w:afterLines="1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qFormat/>
    <w:rsid w:val="00657DBC"/>
    <w:rPr>
      <w:rFonts w:asciiTheme="majorHAnsi" w:eastAsiaTheme="majorEastAsia" w:hAnsiTheme="majorHAnsi" w:cstheme="majorBidi"/>
      <w:b/>
      <w:bCs/>
      <w:sz w:val="28"/>
      <w:szCs w:val="28"/>
    </w:rPr>
  </w:style>
  <w:style w:type="character" w:customStyle="1" w:styleId="20">
    <w:name w:val="标题 2 字符"/>
    <w:basedOn w:val="a0"/>
    <w:link w:val="2"/>
    <w:uiPriority w:val="9"/>
    <w:qFormat/>
    <w:rsid w:val="00657DBC"/>
    <w:rPr>
      <w:rFonts w:asciiTheme="majorHAnsi" w:eastAsiaTheme="majorEastAsia" w:hAnsiTheme="majorHAnsi" w:cstheme="majorBidi"/>
      <w:b/>
      <w:bCs/>
      <w:color w:val="000000" w:themeColor="text1"/>
      <w:sz w:val="32"/>
      <w:szCs w:val="32"/>
    </w:rPr>
  </w:style>
  <w:style w:type="paragraph" w:styleId="TOC7">
    <w:name w:val="toc 7"/>
    <w:basedOn w:val="a"/>
    <w:next w:val="a"/>
    <w:uiPriority w:val="39"/>
    <w:unhideWhenUsed/>
    <w:qFormat/>
    <w:rsid w:val="00657DBC"/>
    <w:pPr>
      <w:ind w:left="1260"/>
    </w:pPr>
  </w:style>
  <w:style w:type="paragraph" w:styleId="aa">
    <w:name w:val="Document Map"/>
    <w:basedOn w:val="a"/>
    <w:link w:val="ab"/>
    <w:uiPriority w:val="99"/>
    <w:unhideWhenUsed/>
    <w:qFormat/>
    <w:rsid w:val="00657DBC"/>
    <w:rPr>
      <w:sz w:val="24"/>
      <w:szCs w:val="24"/>
    </w:rPr>
  </w:style>
  <w:style w:type="character" w:customStyle="1" w:styleId="ab">
    <w:name w:val="文档结构图 字符"/>
    <w:basedOn w:val="a0"/>
    <w:link w:val="aa"/>
    <w:uiPriority w:val="99"/>
    <w:qFormat/>
    <w:rsid w:val="00657DBC"/>
    <w:rPr>
      <w:rFonts w:ascii="宋体" w:eastAsia="宋体" w:hAnsi="宋体" w:cs="宋体"/>
      <w:color w:val="000000" w:themeColor="text1"/>
      <w:sz w:val="24"/>
      <w:szCs w:val="24"/>
    </w:rPr>
  </w:style>
  <w:style w:type="paragraph" w:styleId="ac">
    <w:name w:val="annotation text"/>
    <w:basedOn w:val="a"/>
    <w:link w:val="ad"/>
    <w:uiPriority w:val="99"/>
    <w:unhideWhenUsed/>
    <w:qFormat/>
    <w:rsid w:val="00657DBC"/>
    <w:pPr>
      <w:jc w:val="left"/>
    </w:pPr>
  </w:style>
  <w:style w:type="character" w:customStyle="1" w:styleId="ad">
    <w:name w:val="批注文字 字符"/>
    <w:basedOn w:val="a0"/>
    <w:link w:val="ac"/>
    <w:uiPriority w:val="99"/>
    <w:qFormat/>
    <w:rsid w:val="00657DBC"/>
    <w:rPr>
      <w:rFonts w:ascii="宋体" w:eastAsia="宋体" w:hAnsi="宋体" w:cs="宋体"/>
      <w:color w:val="000000" w:themeColor="text1"/>
      <w:szCs w:val="21"/>
    </w:rPr>
  </w:style>
  <w:style w:type="paragraph" w:styleId="TOC5">
    <w:name w:val="toc 5"/>
    <w:basedOn w:val="a"/>
    <w:next w:val="a"/>
    <w:uiPriority w:val="39"/>
    <w:unhideWhenUsed/>
    <w:qFormat/>
    <w:rsid w:val="00657DBC"/>
    <w:pPr>
      <w:ind w:left="840"/>
    </w:pPr>
  </w:style>
  <w:style w:type="paragraph" w:styleId="TOC3">
    <w:name w:val="toc 3"/>
    <w:basedOn w:val="a"/>
    <w:next w:val="a"/>
    <w:uiPriority w:val="39"/>
    <w:unhideWhenUsed/>
    <w:qFormat/>
    <w:rsid w:val="00657DBC"/>
    <w:pPr>
      <w:ind w:left="420"/>
    </w:pPr>
  </w:style>
  <w:style w:type="paragraph" w:styleId="TOC8">
    <w:name w:val="toc 8"/>
    <w:basedOn w:val="a"/>
    <w:next w:val="a"/>
    <w:uiPriority w:val="39"/>
    <w:unhideWhenUsed/>
    <w:qFormat/>
    <w:rsid w:val="00657DBC"/>
    <w:pPr>
      <w:ind w:left="1470"/>
    </w:pPr>
  </w:style>
  <w:style w:type="paragraph" w:styleId="ae">
    <w:name w:val="Balloon Text"/>
    <w:basedOn w:val="a"/>
    <w:link w:val="af"/>
    <w:uiPriority w:val="99"/>
    <w:unhideWhenUsed/>
    <w:qFormat/>
    <w:rsid w:val="00657DBC"/>
    <w:rPr>
      <w:sz w:val="18"/>
      <w:szCs w:val="18"/>
    </w:rPr>
  </w:style>
  <w:style w:type="character" w:customStyle="1" w:styleId="af">
    <w:name w:val="批注框文本 字符"/>
    <w:basedOn w:val="a0"/>
    <w:link w:val="ae"/>
    <w:uiPriority w:val="99"/>
    <w:qFormat/>
    <w:rsid w:val="00657DBC"/>
    <w:rPr>
      <w:rFonts w:ascii="宋体" w:eastAsia="宋体" w:hAnsi="宋体" w:cs="宋体"/>
      <w:color w:val="000000" w:themeColor="text1"/>
      <w:sz w:val="18"/>
      <w:szCs w:val="18"/>
    </w:rPr>
  </w:style>
  <w:style w:type="paragraph" w:styleId="TOC1">
    <w:name w:val="toc 1"/>
    <w:basedOn w:val="a"/>
    <w:next w:val="a"/>
    <w:uiPriority w:val="39"/>
    <w:unhideWhenUsed/>
    <w:qFormat/>
    <w:rsid w:val="00657DBC"/>
  </w:style>
  <w:style w:type="paragraph" w:styleId="TOC4">
    <w:name w:val="toc 4"/>
    <w:basedOn w:val="a"/>
    <w:next w:val="a"/>
    <w:uiPriority w:val="39"/>
    <w:unhideWhenUsed/>
    <w:qFormat/>
    <w:rsid w:val="00657DBC"/>
    <w:pPr>
      <w:ind w:left="630"/>
    </w:pPr>
  </w:style>
  <w:style w:type="paragraph" w:styleId="af0">
    <w:name w:val="footnote text"/>
    <w:basedOn w:val="a"/>
    <w:link w:val="af1"/>
    <w:unhideWhenUsed/>
    <w:qFormat/>
    <w:rsid w:val="00657DBC"/>
    <w:pPr>
      <w:snapToGrid w:val="0"/>
      <w:jc w:val="left"/>
    </w:pPr>
    <w:rPr>
      <w:sz w:val="18"/>
    </w:rPr>
  </w:style>
  <w:style w:type="character" w:customStyle="1" w:styleId="af1">
    <w:name w:val="脚注文本 字符"/>
    <w:basedOn w:val="a0"/>
    <w:link w:val="af0"/>
    <w:qFormat/>
    <w:rsid w:val="00657DBC"/>
    <w:rPr>
      <w:rFonts w:ascii="宋体" w:eastAsia="宋体" w:hAnsi="宋体" w:cs="宋体"/>
      <w:color w:val="000000" w:themeColor="text1"/>
      <w:sz w:val="18"/>
      <w:szCs w:val="21"/>
    </w:rPr>
  </w:style>
  <w:style w:type="paragraph" w:styleId="TOC6">
    <w:name w:val="toc 6"/>
    <w:basedOn w:val="a"/>
    <w:next w:val="a"/>
    <w:uiPriority w:val="39"/>
    <w:unhideWhenUsed/>
    <w:qFormat/>
    <w:rsid w:val="00657DBC"/>
    <w:pPr>
      <w:ind w:left="1050"/>
    </w:pPr>
  </w:style>
  <w:style w:type="paragraph" w:styleId="TOC2">
    <w:name w:val="toc 2"/>
    <w:basedOn w:val="a"/>
    <w:next w:val="a"/>
    <w:uiPriority w:val="39"/>
    <w:unhideWhenUsed/>
    <w:qFormat/>
    <w:rsid w:val="00657DBC"/>
    <w:pPr>
      <w:ind w:left="210"/>
    </w:pPr>
  </w:style>
  <w:style w:type="paragraph" w:styleId="TOC9">
    <w:name w:val="toc 9"/>
    <w:basedOn w:val="a"/>
    <w:next w:val="a"/>
    <w:uiPriority w:val="39"/>
    <w:unhideWhenUsed/>
    <w:qFormat/>
    <w:rsid w:val="00657DBC"/>
    <w:pPr>
      <w:ind w:left="1680"/>
    </w:pPr>
  </w:style>
  <w:style w:type="paragraph" w:styleId="af2">
    <w:name w:val="Normal (Web)"/>
    <w:basedOn w:val="a"/>
    <w:uiPriority w:val="99"/>
    <w:unhideWhenUsed/>
    <w:qFormat/>
    <w:rsid w:val="00657DBC"/>
    <w:pPr>
      <w:widowControl/>
      <w:spacing w:before="100" w:beforeAutospacing="1" w:after="100" w:afterAutospacing="1"/>
      <w:jc w:val="left"/>
    </w:pPr>
    <w:rPr>
      <w:color w:val="auto"/>
      <w:kern w:val="0"/>
      <w:sz w:val="24"/>
      <w:szCs w:val="24"/>
    </w:rPr>
  </w:style>
  <w:style w:type="paragraph" w:styleId="af3">
    <w:name w:val="Title"/>
    <w:basedOn w:val="a"/>
    <w:next w:val="a"/>
    <w:link w:val="af4"/>
    <w:uiPriority w:val="10"/>
    <w:qFormat/>
    <w:rsid w:val="00657DBC"/>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qFormat/>
    <w:rsid w:val="00657DBC"/>
    <w:rPr>
      <w:rFonts w:asciiTheme="majorHAnsi" w:eastAsiaTheme="majorEastAsia" w:hAnsiTheme="majorHAnsi" w:cstheme="majorBidi"/>
      <w:b/>
      <w:bCs/>
      <w:color w:val="000000" w:themeColor="text1"/>
      <w:sz w:val="32"/>
      <w:szCs w:val="32"/>
    </w:rPr>
  </w:style>
  <w:style w:type="paragraph" w:styleId="af5">
    <w:name w:val="annotation subject"/>
    <w:basedOn w:val="ac"/>
    <w:next w:val="ac"/>
    <w:link w:val="af6"/>
    <w:uiPriority w:val="99"/>
    <w:unhideWhenUsed/>
    <w:qFormat/>
    <w:rsid w:val="00657DBC"/>
    <w:rPr>
      <w:b/>
      <w:bCs/>
    </w:rPr>
  </w:style>
  <w:style w:type="character" w:customStyle="1" w:styleId="af6">
    <w:name w:val="批注主题 字符"/>
    <w:basedOn w:val="ad"/>
    <w:link w:val="af5"/>
    <w:uiPriority w:val="99"/>
    <w:qFormat/>
    <w:rsid w:val="00657DBC"/>
    <w:rPr>
      <w:rFonts w:ascii="宋体" w:eastAsia="宋体" w:hAnsi="宋体" w:cs="宋体"/>
      <w:b/>
      <w:bCs/>
      <w:color w:val="000000" w:themeColor="text1"/>
      <w:szCs w:val="21"/>
    </w:rPr>
  </w:style>
  <w:style w:type="character" w:styleId="af7">
    <w:name w:val="Strong"/>
    <w:uiPriority w:val="22"/>
    <w:qFormat/>
    <w:rsid w:val="00657DBC"/>
    <w:rPr>
      <w:b/>
    </w:rPr>
  </w:style>
  <w:style w:type="character" w:styleId="af8">
    <w:name w:val="page number"/>
    <w:basedOn w:val="a0"/>
    <w:uiPriority w:val="99"/>
    <w:unhideWhenUsed/>
    <w:qFormat/>
    <w:rsid w:val="00657DBC"/>
  </w:style>
  <w:style w:type="character" w:styleId="af9">
    <w:name w:val="FollowedHyperlink"/>
    <w:basedOn w:val="a0"/>
    <w:uiPriority w:val="99"/>
    <w:semiHidden/>
    <w:unhideWhenUsed/>
    <w:qFormat/>
    <w:rsid w:val="00657DBC"/>
    <w:rPr>
      <w:color w:val="954F72"/>
      <w:u w:val="single"/>
    </w:rPr>
  </w:style>
  <w:style w:type="character" w:styleId="afa">
    <w:name w:val="Hyperlink"/>
    <w:basedOn w:val="a0"/>
    <w:uiPriority w:val="99"/>
    <w:unhideWhenUsed/>
    <w:qFormat/>
    <w:rsid w:val="00657DBC"/>
    <w:rPr>
      <w:color w:val="0563C1" w:themeColor="hyperlink"/>
      <w:u w:val="single"/>
    </w:rPr>
  </w:style>
  <w:style w:type="character" w:styleId="afb">
    <w:name w:val="annotation reference"/>
    <w:basedOn w:val="a0"/>
    <w:uiPriority w:val="99"/>
    <w:unhideWhenUsed/>
    <w:qFormat/>
    <w:rsid w:val="00657DBC"/>
    <w:rPr>
      <w:sz w:val="21"/>
      <w:szCs w:val="21"/>
    </w:rPr>
  </w:style>
  <w:style w:type="character" w:styleId="afc">
    <w:name w:val="footnote reference"/>
    <w:basedOn w:val="a0"/>
    <w:unhideWhenUsed/>
    <w:qFormat/>
    <w:rsid w:val="00657DBC"/>
    <w:rPr>
      <w:vertAlign w:val="superscript"/>
    </w:rPr>
  </w:style>
  <w:style w:type="paragraph" w:styleId="afd">
    <w:name w:val="List Paragraph"/>
    <w:basedOn w:val="a"/>
    <w:uiPriority w:val="34"/>
    <w:qFormat/>
    <w:rsid w:val="00657DBC"/>
    <w:pPr>
      <w:ind w:firstLineChars="200" w:firstLine="420"/>
    </w:pPr>
  </w:style>
  <w:style w:type="table" w:customStyle="1" w:styleId="11">
    <w:name w:val="网格型1"/>
    <w:basedOn w:val="a1"/>
    <w:uiPriority w:val="59"/>
    <w:qFormat/>
    <w:rsid w:val="00657DB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qFormat/>
    <w:rsid w:val="00657DBC"/>
    <w:pPr>
      <w:ind w:firstLineChars="200" w:firstLine="420"/>
    </w:pPr>
    <w:rPr>
      <w:rFonts w:cs="Times New Roman" w:hint="eastAsia"/>
      <w:sz w:val="24"/>
      <w:szCs w:val="24"/>
    </w:rPr>
  </w:style>
  <w:style w:type="character" w:customStyle="1" w:styleId="12">
    <w:name w:val="页脚 字符1"/>
    <w:basedOn w:val="a0"/>
    <w:uiPriority w:val="99"/>
    <w:semiHidden/>
    <w:qFormat/>
    <w:rsid w:val="00657DBC"/>
    <w:rPr>
      <w:rFonts w:ascii="Calibri" w:eastAsia="宋体" w:hAnsi="Calibri" w:cs="Times New Roman"/>
      <w:sz w:val="18"/>
      <w:szCs w:val="18"/>
    </w:rPr>
  </w:style>
  <w:style w:type="character" w:customStyle="1" w:styleId="13">
    <w:name w:val="批注框文本 字符1"/>
    <w:basedOn w:val="a0"/>
    <w:uiPriority w:val="99"/>
    <w:semiHidden/>
    <w:qFormat/>
    <w:rsid w:val="00657DBC"/>
    <w:rPr>
      <w:rFonts w:ascii="宋体" w:eastAsia="宋体" w:hAnsi="Calibri" w:cs="Times New Roman"/>
      <w:sz w:val="18"/>
      <w:szCs w:val="18"/>
    </w:rPr>
  </w:style>
  <w:style w:type="character" w:customStyle="1" w:styleId="14">
    <w:name w:val="文档结构图 字符1"/>
    <w:basedOn w:val="a0"/>
    <w:uiPriority w:val="99"/>
    <w:semiHidden/>
    <w:qFormat/>
    <w:rsid w:val="00657DBC"/>
    <w:rPr>
      <w:rFonts w:ascii="ACADEMY ENGRAVED LET PLAIN:1.0" w:eastAsia="宋体" w:hAnsi="ACADEMY ENGRAVED LET PLAIN:1.0" w:cs="Times New Roman"/>
      <w:sz w:val="26"/>
      <w:szCs w:val="26"/>
    </w:rPr>
  </w:style>
  <w:style w:type="character" w:customStyle="1" w:styleId="15">
    <w:name w:val="纯文本 字符1"/>
    <w:basedOn w:val="a0"/>
    <w:uiPriority w:val="99"/>
    <w:semiHidden/>
    <w:qFormat/>
    <w:rsid w:val="00657DBC"/>
    <w:rPr>
      <w:rFonts w:asciiTheme="minorEastAsia" w:hAnsi="Courier New" w:cs="Courier New"/>
      <w:sz w:val="21"/>
    </w:rPr>
  </w:style>
  <w:style w:type="character" w:customStyle="1" w:styleId="16">
    <w:name w:val="脚注文本 字符1"/>
    <w:basedOn w:val="a0"/>
    <w:uiPriority w:val="99"/>
    <w:semiHidden/>
    <w:qFormat/>
    <w:rsid w:val="00657DBC"/>
    <w:rPr>
      <w:rFonts w:ascii="Calibri" w:eastAsia="宋体" w:hAnsi="Calibri" w:cs="Times New Roman"/>
      <w:sz w:val="18"/>
      <w:szCs w:val="18"/>
    </w:rPr>
  </w:style>
  <w:style w:type="character" w:customStyle="1" w:styleId="17">
    <w:name w:val="页眉 字符1"/>
    <w:basedOn w:val="a0"/>
    <w:uiPriority w:val="99"/>
    <w:semiHidden/>
    <w:qFormat/>
    <w:rsid w:val="00657DBC"/>
    <w:rPr>
      <w:rFonts w:ascii="Calibri" w:eastAsia="宋体" w:hAnsi="Calibri" w:cs="Times New Roman"/>
      <w:sz w:val="18"/>
      <w:szCs w:val="18"/>
    </w:rPr>
  </w:style>
  <w:style w:type="paragraph" w:customStyle="1" w:styleId="18">
    <w:name w:val="列出段落1"/>
    <w:basedOn w:val="a"/>
    <w:uiPriority w:val="34"/>
    <w:qFormat/>
    <w:rsid w:val="00657DBC"/>
    <w:pPr>
      <w:ind w:firstLineChars="200" w:firstLine="420"/>
    </w:pPr>
    <w:rPr>
      <w:rFonts w:ascii="Calibri" w:hAnsi="Calibri" w:cs="Times New Roman"/>
      <w:color w:val="auto"/>
      <w:szCs w:val="24"/>
    </w:rPr>
  </w:style>
  <w:style w:type="paragraph" w:customStyle="1" w:styleId="19">
    <w:name w:val="无间隔1"/>
    <w:uiPriority w:val="1"/>
    <w:qFormat/>
    <w:rsid w:val="00657DBC"/>
    <w:pPr>
      <w:widowControl w:val="0"/>
      <w:jc w:val="both"/>
    </w:pPr>
    <w:rPr>
      <w:rFonts w:ascii="Calibri" w:eastAsia="宋体" w:hAnsi="Calibri" w:cs="Times New Roman"/>
      <w:szCs w:val="24"/>
    </w:rPr>
  </w:style>
  <w:style w:type="paragraph" w:customStyle="1" w:styleId="110">
    <w:name w:val="列出段落11"/>
    <w:basedOn w:val="a"/>
    <w:uiPriority w:val="34"/>
    <w:qFormat/>
    <w:rsid w:val="00657DBC"/>
    <w:pPr>
      <w:ind w:firstLineChars="200" w:firstLine="420"/>
    </w:pPr>
    <w:rPr>
      <w:rFonts w:ascii="Calibri" w:hAnsi="Calibri" w:cs="Times New Roman"/>
      <w:color w:val="auto"/>
      <w:szCs w:val="24"/>
    </w:rPr>
  </w:style>
  <w:style w:type="table" w:customStyle="1" w:styleId="TableNormal">
    <w:name w:val="Table Normal"/>
    <w:qFormat/>
    <w:rsid w:val="00657DBC"/>
    <w:rPr>
      <w:rFonts w:ascii="Times New Roman" w:eastAsia="等线" w:hAnsi="Times New Roman" w:cs="Times New Roman"/>
      <w:kern w:val="0"/>
      <w:sz w:val="20"/>
      <w:szCs w:val="20"/>
    </w:rPr>
    <w:tblPr>
      <w:tblCellMar>
        <w:top w:w="0" w:type="dxa"/>
        <w:left w:w="0" w:type="dxa"/>
        <w:bottom w:w="0" w:type="dxa"/>
        <w:right w:w="0" w:type="dxa"/>
      </w:tblCellMar>
    </w:tblPr>
  </w:style>
  <w:style w:type="character" w:customStyle="1" w:styleId="afe">
    <w:name w:val="无"/>
    <w:qFormat/>
    <w:rsid w:val="00657DBC"/>
  </w:style>
  <w:style w:type="table" w:customStyle="1" w:styleId="TableNormal1">
    <w:name w:val="Table Normal1"/>
    <w:qFormat/>
    <w:rsid w:val="00657DBC"/>
    <w:rPr>
      <w:rFonts w:ascii="Times New Roman" w:hAnsi="Times New Roman" w:cs="Times New Roman"/>
      <w:kern w:val="0"/>
      <w:sz w:val="20"/>
      <w:szCs w:val="20"/>
    </w:rPr>
    <w:tblPr>
      <w:tblCellMar>
        <w:top w:w="0" w:type="dxa"/>
        <w:left w:w="0" w:type="dxa"/>
        <w:bottom w:w="0" w:type="dxa"/>
        <w:right w:w="0" w:type="dxa"/>
      </w:tblCellMar>
    </w:tblPr>
  </w:style>
  <w:style w:type="character" w:customStyle="1" w:styleId="Hyperlink1">
    <w:name w:val="Hyperlink.1"/>
    <w:basedOn w:val="afe"/>
    <w:qFormat/>
    <w:rsid w:val="00657DBC"/>
    <w:rPr>
      <w:rFonts w:ascii="宋体" w:eastAsia="宋体" w:hAnsi="宋体" w:cs="宋体"/>
      <w:color w:val="000000"/>
      <w:u w:color="000000"/>
      <w:lang w:val="zh-TW" w:eastAsia="zh-TW"/>
    </w:rPr>
  </w:style>
  <w:style w:type="character" w:customStyle="1" w:styleId="Char">
    <w:name w:val="纯文本 Char"/>
    <w:uiPriority w:val="99"/>
    <w:qFormat/>
    <w:rsid w:val="00657DBC"/>
    <w:rPr>
      <w:rFonts w:ascii="宋体" w:eastAsia="宋体" w:hAnsi="Courier New" w:cs="Courier New"/>
      <w:szCs w:val="21"/>
    </w:rPr>
  </w:style>
  <w:style w:type="character" w:customStyle="1" w:styleId="Char1">
    <w:name w:val="纯文本 Char1"/>
    <w:qFormat/>
    <w:rsid w:val="00657DBC"/>
    <w:rPr>
      <w:rFonts w:ascii="宋体" w:eastAsia="宋体" w:hAnsi="Courier New" w:cs="Courier New"/>
      <w:szCs w:val="21"/>
    </w:rPr>
  </w:style>
  <w:style w:type="paragraph" w:customStyle="1" w:styleId="Other1">
    <w:name w:val="Other|1"/>
    <w:basedOn w:val="a"/>
    <w:qFormat/>
    <w:rsid w:val="00657DBC"/>
    <w:pPr>
      <w:spacing w:line="293" w:lineRule="exact"/>
    </w:pPr>
    <w:rPr>
      <w:color w:val="2C1B1C"/>
      <w:sz w:val="19"/>
      <w:szCs w:val="19"/>
      <w:lang w:val="zh-TW" w:eastAsia="zh-TW" w:bidi="zh-TW"/>
    </w:rPr>
  </w:style>
  <w:style w:type="paragraph" w:customStyle="1" w:styleId="-11">
    <w:name w:val="彩色列表 - 着色 11"/>
    <w:basedOn w:val="a"/>
    <w:uiPriority w:val="34"/>
    <w:unhideWhenUsed/>
    <w:qFormat/>
    <w:rsid w:val="00657DBC"/>
    <w:pPr>
      <w:ind w:firstLineChars="200" w:firstLine="420"/>
    </w:pPr>
    <w:rPr>
      <w:rFonts w:ascii="Calibri" w:hAnsi="Calibri" w:cs="Times New Roman"/>
      <w:color w:val="auto"/>
      <w:szCs w:val="24"/>
    </w:rPr>
  </w:style>
  <w:style w:type="paragraph" w:styleId="aff">
    <w:name w:val="Body Text"/>
    <w:basedOn w:val="a"/>
    <w:link w:val="aff0"/>
    <w:uiPriority w:val="1"/>
    <w:qFormat/>
    <w:rsid w:val="00657DBC"/>
    <w:pPr>
      <w:autoSpaceDE w:val="0"/>
      <w:autoSpaceDN w:val="0"/>
      <w:jc w:val="left"/>
    </w:pPr>
    <w:rPr>
      <w:color w:val="auto"/>
      <w:kern w:val="0"/>
      <w:lang w:val="zh-CN" w:bidi="zh-CN"/>
    </w:rPr>
  </w:style>
  <w:style w:type="character" w:customStyle="1" w:styleId="aff0">
    <w:name w:val="正文文本 字符"/>
    <w:basedOn w:val="a0"/>
    <w:link w:val="aff"/>
    <w:uiPriority w:val="1"/>
    <w:qFormat/>
    <w:rsid w:val="00657DBC"/>
    <w:rPr>
      <w:rFonts w:ascii="宋体" w:eastAsia="宋体" w:hAnsi="宋体" w:cs="宋体"/>
      <w:kern w:val="0"/>
      <w:szCs w:val="21"/>
      <w:lang w:val="zh-CN" w:bidi="zh-CN"/>
    </w:rPr>
  </w:style>
  <w:style w:type="paragraph" w:styleId="aff1">
    <w:name w:val="endnote text"/>
    <w:basedOn w:val="a"/>
    <w:link w:val="aff2"/>
    <w:uiPriority w:val="99"/>
    <w:unhideWhenUsed/>
    <w:qFormat/>
    <w:rsid w:val="00657DBC"/>
    <w:pPr>
      <w:snapToGrid w:val="0"/>
      <w:jc w:val="left"/>
    </w:pPr>
    <w:rPr>
      <w:rFonts w:asciiTheme="minorHAnsi" w:eastAsiaTheme="minorEastAsia" w:hAnsiTheme="minorHAnsi" w:cstheme="minorBidi"/>
      <w:color w:val="auto"/>
      <w:szCs w:val="22"/>
    </w:rPr>
  </w:style>
  <w:style w:type="character" w:customStyle="1" w:styleId="aff2">
    <w:name w:val="尾注文本 字符"/>
    <w:basedOn w:val="a0"/>
    <w:link w:val="aff1"/>
    <w:uiPriority w:val="99"/>
    <w:qFormat/>
    <w:rsid w:val="00657DBC"/>
  </w:style>
  <w:style w:type="paragraph" w:styleId="HTML">
    <w:name w:val="HTML Preformatted"/>
    <w:basedOn w:val="a"/>
    <w:link w:val="HTML0"/>
    <w:uiPriority w:val="99"/>
    <w:unhideWhenUsed/>
    <w:qFormat/>
    <w:rsid w:val="00657D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color w:val="auto"/>
      <w:kern w:val="0"/>
      <w:sz w:val="24"/>
      <w:szCs w:val="24"/>
    </w:rPr>
  </w:style>
  <w:style w:type="character" w:customStyle="1" w:styleId="HTML0">
    <w:name w:val="HTML 预设格式 字符"/>
    <w:basedOn w:val="a0"/>
    <w:link w:val="HTML"/>
    <w:uiPriority w:val="99"/>
    <w:qFormat/>
    <w:rsid w:val="00657DBC"/>
    <w:rPr>
      <w:rFonts w:ascii="宋体" w:eastAsia="宋体" w:hAnsi="宋体" w:cs="宋体"/>
      <w:kern w:val="0"/>
      <w:sz w:val="24"/>
      <w:szCs w:val="24"/>
    </w:rPr>
  </w:style>
  <w:style w:type="character" w:styleId="aff3">
    <w:name w:val="endnote reference"/>
    <w:basedOn w:val="a0"/>
    <w:uiPriority w:val="99"/>
    <w:unhideWhenUsed/>
    <w:qFormat/>
    <w:rsid w:val="00657DBC"/>
    <w:rPr>
      <w:vertAlign w:val="superscript"/>
    </w:rPr>
  </w:style>
  <w:style w:type="character" w:customStyle="1" w:styleId="1Char">
    <w:name w:val="标题 1 Char"/>
    <w:basedOn w:val="a0"/>
    <w:uiPriority w:val="9"/>
    <w:qFormat/>
    <w:rsid w:val="00657DBC"/>
    <w:rPr>
      <w:b/>
      <w:bCs/>
      <w:kern w:val="44"/>
      <w:sz w:val="44"/>
      <w:szCs w:val="44"/>
    </w:rPr>
  </w:style>
  <w:style w:type="character" w:customStyle="1" w:styleId="2Char">
    <w:name w:val="标题 2 Char"/>
    <w:basedOn w:val="a0"/>
    <w:uiPriority w:val="9"/>
    <w:semiHidden/>
    <w:qFormat/>
    <w:rsid w:val="00657DBC"/>
    <w:rPr>
      <w:rFonts w:asciiTheme="majorHAnsi" w:eastAsiaTheme="majorEastAsia" w:hAnsiTheme="majorHAnsi" w:cstheme="majorBidi"/>
      <w:b/>
      <w:bCs/>
      <w:sz w:val="32"/>
      <w:szCs w:val="32"/>
    </w:rPr>
  </w:style>
  <w:style w:type="character" w:customStyle="1" w:styleId="3Char">
    <w:name w:val="标题 3 Char"/>
    <w:basedOn w:val="a0"/>
    <w:uiPriority w:val="9"/>
    <w:semiHidden/>
    <w:qFormat/>
    <w:rsid w:val="00657DBC"/>
    <w:rPr>
      <w:b/>
      <w:bCs/>
      <w:sz w:val="32"/>
      <w:szCs w:val="32"/>
    </w:rPr>
  </w:style>
  <w:style w:type="character" w:customStyle="1" w:styleId="description">
    <w:name w:val="description"/>
    <w:basedOn w:val="a0"/>
    <w:qFormat/>
    <w:rsid w:val="00657DBC"/>
  </w:style>
  <w:style w:type="character" w:customStyle="1" w:styleId="Char0">
    <w:name w:val="页眉 Char"/>
    <w:basedOn w:val="a0"/>
    <w:link w:val="1a"/>
    <w:uiPriority w:val="99"/>
    <w:qFormat/>
    <w:rsid w:val="00657DBC"/>
    <w:rPr>
      <w:sz w:val="18"/>
      <w:szCs w:val="18"/>
    </w:rPr>
  </w:style>
  <w:style w:type="paragraph" w:customStyle="1" w:styleId="1a">
    <w:name w:val="页眉1"/>
    <w:basedOn w:val="a"/>
    <w:next w:val="a3"/>
    <w:link w:val="Char0"/>
    <w:uiPriority w:val="99"/>
    <w:unhideWhenUsed/>
    <w:qFormat/>
    <w:rsid w:val="00657DBC"/>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sz w:val="18"/>
      <w:szCs w:val="18"/>
    </w:rPr>
  </w:style>
  <w:style w:type="character" w:customStyle="1" w:styleId="Char2">
    <w:name w:val="页脚 Char"/>
    <w:basedOn w:val="a0"/>
    <w:link w:val="1b"/>
    <w:uiPriority w:val="99"/>
    <w:qFormat/>
    <w:rsid w:val="00657DBC"/>
    <w:rPr>
      <w:sz w:val="18"/>
      <w:szCs w:val="18"/>
    </w:rPr>
  </w:style>
  <w:style w:type="paragraph" w:customStyle="1" w:styleId="1b">
    <w:name w:val="页脚1"/>
    <w:basedOn w:val="a"/>
    <w:next w:val="a5"/>
    <w:link w:val="Char2"/>
    <w:uiPriority w:val="99"/>
    <w:unhideWhenUsed/>
    <w:qFormat/>
    <w:rsid w:val="00657DBC"/>
    <w:pPr>
      <w:tabs>
        <w:tab w:val="center" w:pos="4153"/>
        <w:tab w:val="right" w:pos="8306"/>
      </w:tabs>
      <w:snapToGrid w:val="0"/>
      <w:jc w:val="left"/>
    </w:pPr>
    <w:rPr>
      <w:rFonts w:asciiTheme="minorHAnsi" w:eastAsiaTheme="minorEastAsia" w:hAnsiTheme="minorHAnsi" w:cstheme="minorBidi"/>
      <w:color w:val="auto"/>
      <w:sz w:val="18"/>
      <w:szCs w:val="18"/>
    </w:rPr>
  </w:style>
  <w:style w:type="character" w:customStyle="1" w:styleId="Char3">
    <w:name w:val="文档结构图 Char"/>
    <w:basedOn w:val="a0"/>
    <w:uiPriority w:val="99"/>
    <w:semiHidden/>
    <w:qFormat/>
    <w:rsid w:val="00657DBC"/>
    <w:rPr>
      <w:rFonts w:ascii="宋体" w:eastAsia="宋体"/>
      <w:sz w:val="18"/>
      <w:szCs w:val="18"/>
    </w:rPr>
  </w:style>
  <w:style w:type="character" w:customStyle="1" w:styleId="Char4">
    <w:name w:val="脚注文本 Char"/>
    <w:basedOn w:val="a0"/>
    <w:uiPriority w:val="99"/>
    <w:semiHidden/>
    <w:qFormat/>
    <w:rsid w:val="00657DBC"/>
    <w:rPr>
      <w:sz w:val="18"/>
      <w:szCs w:val="18"/>
    </w:rPr>
  </w:style>
  <w:style w:type="character" w:customStyle="1" w:styleId="apple-converted-space">
    <w:name w:val="apple-converted-space"/>
    <w:basedOn w:val="a0"/>
    <w:qFormat/>
    <w:rsid w:val="00657DBC"/>
  </w:style>
  <w:style w:type="paragraph" w:customStyle="1" w:styleId="21">
    <w:name w:val="列出段落2"/>
    <w:basedOn w:val="a"/>
    <w:uiPriority w:val="99"/>
    <w:qFormat/>
    <w:rsid w:val="00657DBC"/>
    <w:pPr>
      <w:ind w:firstLineChars="200" w:firstLine="420"/>
    </w:pPr>
    <w:rPr>
      <w:rFonts w:ascii="Calibri" w:hAnsi="Calibri"/>
      <w:color w:val="auto"/>
      <w:szCs w:val="22"/>
    </w:rPr>
  </w:style>
  <w:style w:type="paragraph" w:customStyle="1" w:styleId="TableParagraph">
    <w:name w:val="Table Paragraph"/>
    <w:basedOn w:val="a"/>
    <w:uiPriority w:val="1"/>
    <w:qFormat/>
    <w:rsid w:val="00657DBC"/>
    <w:pPr>
      <w:autoSpaceDE w:val="0"/>
      <w:autoSpaceDN w:val="0"/>
      <w:ind w:left="113"/>
      <w:jc w:val="left"/>
    </w:pPr>
    <w:rPr>
      <w:color w:val="auto"/>
      <w:kern w:val="0"/>
      <w:sz w:val="22"/>
      <w:szCs w:val="22"/>
      <w:lang w:val="zh-CN" w:bidi="zh-CN"/>
    </w:rPr>
  </w:style>
  <w:style w:type="character" w:customStyle="1" w:styleId="Bodytext1">
    <w:name w:val="Body text|1_"/>
    <w:link w:val="Bodytext10"/>
    <w:qFormat/>
    <w:rsid w:val="00657DBC"/>
    <w:rPr>
      <w:rFonts w:ascii="宋体" w:hAnsi="宋体" w:cs="宋体"/>
      <w:color w:val="2E2E2D"/>
      <w:sz w:val="18"/>
      <w:szCs w:val="18"/>
      <w:lang w:val="zh-TW" w:eastAsia="zh-TW" w:bidi="zh-TW"/>
    </w:rPr>
  </w:style>
  <w:style w:type="paragraph" w:customStyle="1" w:styleId="Bodytext10">
    <w:name w:val="Body text|1"/>
    <w:basedOn w:val="a"/>
    <w:link w:val="Bodytext1"/>
    <w:qFormat/>
    <w:rsid w:val="00657DBC"/>
    <w:pPr>
      <w:spacing w:line="360" w:lineRule="auto"/>
      <w:ind w:firstLine="400"/>
      <w:jc w:val="left"/>
    </w:pPr>
    <w:rPr>
      <w:rFonts w:eastAsiaTheme="minorEastAsia"/>
      <w:color w:val="2E2E2D"/>
      <w:sz w:val="18"/>
      <w:szCs w:val="18"/>
      <w:lang w:val="zh-TW" w:eastAsia="zh-TW" w:bidi="zh-TW"/>
    </w:rPr>
  </w:style>
  <w:style w:type="character" w:customStyle="1" w:styleId="1c">
    <w:name w:val="正文文本 字符1"/>
    <w:basedOn w:val="a0"/>
    <w:uiPriority w:val="99"/>
    <w:semiHidden/>
    <w:qFormat/>
    <w:rsid w:val="00657DBC"/>
    <w:rPr>
      <w:kern w:val="2"/>
      <w:sz w:val="21"/>
      <w:szCs w:val="22"/>
    </w:rPr>
  </w:style>
  <w:style w:type="paragraph" w:customStyle="1" w:styleId="1d">
    <w:name w:val="彩色列表1"/>
    <w:basedOn w:val="a"/>
    <w:uiPriority w:val="34"/>
    <w:qFormat/>
    <w:rsid w:val="00657DBC"/>
    <w:pPr>
      <w:ind w:firstLineChars="200" w:firstLine="420"/>
    </w:pPr>
    <w:rPr>
      <w:rFonts w:asciiTheme="minorHAnsi" w:eastAsiaTheme="minorEastAsia" w:hAnsiTheme="minorHAnsi" w:cstheme="minorBidi"/>
      <w:color w:val="auto"/>
      <w:szCs w:val="22"/>
    </w:rPr>
  </w:style>
  <w:style w:type="character" w:styleId="aff4">
    <w:name w:val="Emphasis"/>
    <w:basedOn w:val="a0"/>
    <w:uiPriority w:val="20"/>
    <w:qFormat/>
    <w:rsid w:val="0072718E"/>
    <w:rPr>
      <w:i/>
      <w:iCs/>
    </w:rPr>
  </w:style>
  <w:style w:type="table" w:customStyle="1" w:styleId="111">
    <w:name w:val="网格型11"/>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目录标题1"/>
    <w:basedOn w:val="1"/>
    <w:next w:val="a"/>
    <w:uiPriority w:val="39"/>
    <w:unhideWhenUsed/>
    <w:qFormat/>
    <w:rsid w:val="0072718E"/>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table" w:customStyle="1" w:styleId="120">
    <w:name w:val="网格型12"/>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72718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72718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D48E-A91D-49D2-9B11-38B8ADF2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4</Pages>
  <Words>2399</Words>
  <Characters>2400</Characters>
  <Application>Microsoft Office Word</Application>
  <DocSecurity>0</DocSecurity>
  <Lines>109</Lines>
  <Paragraphs>92</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425</cp:revision>
  <dcterms:created xsi:type="dcterms:W3CDTF">2023-06-01T10:50:00Z</dcterms:created>
  <dcterms:modified xsi:type="dcterms:W3CDTF">2026-07-28T14:31:00Z</dcterms:modified>
</cp:coreProperties>
</file>