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7ABDC" w14:textId="6919EDD4" w:rsidR="00DD4F33" w:rsidRPr="00CC6AB1" w:rsidRDefault="00000000" w:rsidP="00CC6AB1">
      <w:pPr>
        <w:pStyle w:val="1"/>
        <w:spacing w:before="0" w:after="0" w:line="240" w:lineRule="exact"/>
        <w:contextualSpacing/>
        <w:jc w:val="center"/>
        <w:rPr>
          <w:rFonts w:ascii="宋体" w:hAnsi="宋体" w:cs="汉仪大宋简" w:hint="eastAsia"/>
          <w:sz w:val="21"/>
          <w:szCs w:val="21"/>
        </w:rPr>
      </w:pPr>
      <w:bookmarkStart w:id="0" w:name="_Toc4844147"/>
      <w:bookmarkStart w:id="1" w:name="_Toc7712"/>
      <w:bookmarkStart w:id="2" w:name="_Toc137116763"/>
      <w:bookmarkStart w:id="3" w:name="_Toc12215"/>
      <w:bookmarkStart w:id="4" w:name="_Toc137116764"/>
      <w:bookmarkStart w:id="5" w:name="_Toc4844148"/>
      <w:r w:rsidRPr="00CC6AB1">
        <w:rPr>
          <w:rFonts w:ascii="宋体" w:hAnsi="宋体" w:cs="汉仪大宋简" w:hint="eastAsia"/>
          <w:sz w:val="21"/>
          <w:szCs w:val="21"/>
        </w:rPr>
        <w:t>专题六  第一审程序（19</w:t>
      </w:r>
      <w:r w:rsidRPr="00CC6AB1">
        <w:rPr>
          <w:rFonts w:ascii="宋体" w:hAnsi="宋体" w:cs="汉仪大宋简"/>
          <w:sz w:val="21"/>
          <w:szCs w:val="21"/>
        </w:rPr>
        <w:t>:</w:t>
      </w:r>
      <w:r w:rsidRPr="00CC6AB1">
        <w:rPr>
          <w:rFonts w:ascii="宋体" w:hAnsi="宋体" w:cs="汉仪大宋简" w:hint="eastAsia"/>
          <w:sz w:val="21"/>
          <w:szCs w:val="21"/>
        </w:rPr>
        <w:t>30</w:t>
      </w:r>
      <w:r w:rsidRPr="00CC6AB1">
        <w:rPr>
          <w:rFonts w:ascii="宋体" w:hAnsi="宋体" w:cs="汉仪大宋简"/>
          <w:sz w:val="21"/>
          <w:szCs w:val="21"/>
        </w:rPr>
        <w:t>:00-</w:t>
      </w:r>
      <w:r w:rsidR="00590B0D" w:rsidRPr="00CC6AB1">
        <w:rPr>
          <w:rFonts w:ascii="宋体" w:hAnsi="宋体" w:cs="汉仪大宋简" w:hint="eastAsia"/>
          <w:sz w:val="21"/>
          <w:szCs w:val="21"/>
        </w:rPr>
        <w:t>2</w:t>
      </w:r>
      <w:r w:rsidRPr="00CC6AB1">
        <w:rPr>
          <w:rFonts w:ascii="宋体" w:hAnsi="宋体" w:cs="汉仪大宋简" w:hint="eastAsia"/>
          <w:sz w:val="21"/>
          <w:szCs w:val="21"/>
        </w:rPr>
        <w:t>1</w:t>
      </w:r>
      <w:r w:rsidRPr="00CC6AB1">
        <w:rPr>
          <w:rFonts w:ascii="宋体" w:hAnsi="宋体" w:cs="汉仪大宋简"/>
          <w:sz w:val="21"/>
          <w:szCs w:val="21"/>
        </w:rPr>
        <w:t>:</w:t>
      </w:r>
      <w:r w:rsidRPr="00CC6AB1">
        <w:rPr>
          <w:rFonts w:ascii="宋体" w:hAnsi="宋体" w:cs="汉仪大宋简" w:hint="eastAsia"/>
          <w:sz w:val="21"/>
          <w:szCs w:val="21"/>
        </w:rPr>
        <w:t>4</w:t>
      </w:r>
      <w:r w:rsidR="00590B0D" w:rsidRPr="00CC6AB1">
        <w:rPr>
          <w:rFonts w:ascii="宋体" w:hAnsi="宋体" w:cs="汉仪大宋简" w:hint="eastAsia"/>
          <w:sz w:val="21"/>
          <w:szCs w:val="21"/>
        </w:rPr>
        <w:t>4</w:t>
      </w:r>
      <w:r w:rsidRPr="00CC6AB1">
        <w:rPr>
          <w:rFonts w:ascii="宋体" w:hAnsi="宋体" w:cs="汉仪大宋简"/>
          <w:sz w:val="21"/>
          <w:szCs w:val="21"/>
        </w:rPr>
        <w:t>:00）</w:t>
      </w:r>
    </w:p>
    <w:p w14:paraId="425974C1"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一、审判组织</w:t>
      </w:r>
    </w:p>
    <w:p w14:paraId="5BACE51D"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（一）合议庭的组成</w:t>
      </w:r>
    </w:p>
    <w:p w14:paraId="12DE69AC"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基层人民法院、中级人民法院审判第一审案件，应当由审判员三人或者由审判员和人民陪审员共三人或者七人组成合议庭进行，但是基层人民法院适用简易程序、速裁程序的案件可以由审判员一人独任审判。</w:t>
      </w:r>
    </w:p>
    <w:p w14:paraId="7988A0AE"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高级人民法院审判第一审案件，应当由审判员三人至七人或者由审判员和人民陪审员共三人或者七人组成合议庭进行。最高人民法院审判第一审案件，应当由审判员三人至七人组成合议庭进行。</w:t>
      </w:r>
    </w:p>
    <w:p w14:paraId="09893211"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注意：最高人民法院审理一审案件、上诉和抗诉案件以及死刑复核程序中没有人民陪审员。</w:t>
      </w:r>
    </w:p>
    <w:p w14:paraId="4AA89AF0"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（二）七人合议庭的案件范围</w:t>
      </w:r>
    </w:p>
    <w:p w14:paraId="414CD2E9" w14:textId="57CA0375" w:rsidR="00DD4F33" w:rsidRPr="00CC6AB1" w:rsidRDefault="00000000" w:rsidP="00CC6AB1">
      <w:pPr>
        <w:spacing w:line="240" w:lineRule="exact"/>
        <w:ind w:firstLineChars="200" w:firstLine="420"/>
        <w:contextualSpacing/>
        <w:rPr>
          <w:rFonts w:cs="汉仪大宋简" w:hint="eastAsia"/>
          <w:bCs/>
          <w:color w:val="FF0000"/>
        </w:rPr>
      </w:pPr>
      <w:r w:rsidRPr="00CC6AB1">
        <w:rPr>
          <w:rFonts w:cs="汉仪大宋简" w:hint="eastAsia"/>
          <w:bCs/>
          <w:color w:val="FF0000"/>
        </w:rPr>
        <w:t>人民法院审判下列第一审案件，由人民陪审员和法官组成七人合议庭进行：</w:t>
      </w:r>
      <w:r w:rsidR="00432F56" w:rsidRPr="00CC6AB1">
        <w:rPr>
          <w:rFonts w:cs="汉仪大宋简" w:hint="eastAsia"/>
          <w:bCs/>
          <w:color w:val="FF0000"/>
        </w:rPr>
        <w:t>1.</w:t>
      </w:r>
      <w:r w:rsidRPr="00CC6AB1">
        <w:rPr>
          <w:rFonts w:cs="汉仪大宋简" w:hint="eastAsia"/>
          <w:bCs/>
          <w:color w:val="FF0000"/>
        </w:rPr>
        <w:t>可能判处十年以上有期徒刑、无期徒刑、死刑，社会影响重大的刑事案件；</w:t>
      </w:r>
      <w:r w:rsidR="00432F56" w:rsidRPr="00CC6AB1">
        <w:rPr>
          <w:rFonts w:cs="汉仪大宋简" w:hint="eastAsia"/>
          <w:bCs/>
          <w:color w:val="FF0000"/>
        </w:rPr>
        <w:t>2.</w:t>
      </w:r>
      <w:r w:rsidRPr="00CC6AB1">
        <w:rPr>
          <w:rFonts w:cs="汉仪大宋简" w:hint="eastAsia"/>
          <w:bCs/>
          <w:color w:val="FF0000"/>
        </w:rPr>
        <w:t>根据民事诉讼法、行政诉讼法提起的公益诉讼案件；</w:t>
      </w:r>
      <w:r w:rsidR="00432F56" w:rsidRPr="00CC6AB1">
        <w:rPr>
          <w:rFonts w:cs="汉仪大宋简" w:hint="eastAsia"/>
          <w:bCs/>
          <w:color w:val="FF0000"/>
        </w:rPr>
        <w:t>3.</w:t>
      </w:r>
      <w:r w:rsidRPr="00CC6AB1">
        <w:rPr>
          <w:rFonts w:cs="汉仪大宋简" w:hint="eastAsia"/>
          <w:bCs/>
          <w:color w:val="FF0000"/>
        </w:rPr>
        <w:t>涉及征地拆迁、生态环境保护、食品药品安全，社会影响重大的案件；</w:t>
      </w:r>
      <w:r w:rsidR="00432F56" w:rsidRPr="00CC6AB1">
        <w:rPr>
          <w:rFonts w:cs="汉仪大宋简" w:hint="eastAsia"/>
          <w:bCs/>
          <w:color w:val="FF0000"/>
        </w:rPr>
        <w:t>4.</w:t>
      </w:r>
      <w:r w:rsidRPr="00CC6AB1">
        <w:rPr>
          <w:rFonts w:cs="汉仪大宋简" w:hint="eastAsia"/>
          <w:bCs/>
          <w:color w:val="FF0000"/>
        </w:rPr>
        <w:t>其他社会影响重大的案件。</w:t>
      </w:r>
    </w:p>
    <w:p w14:paraId="3E9E8931"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（三）人民陪审员参与审判</w:t>
      </w:r>
    </w:p>
    <w:p w14:paraId="6301EDB9"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1．审判长应当履行与案件审判相关的指引、提示义务，但不得妨碍人民陪审员对案件的独立判断。合议庭评议案件，审判长应当对本案中涉及的事实认定、证据规则、法律规定等事项及应当注意的问题，向人民陪审员进行必要的解释和说明。</w:t>
      </w:r>
    </w:p>
    <w:p w14:paraId="5C09B2A3" w14:textId="77777777" w:rsidR="00DD4F33" w:rsidRPr="00CC6AB1" w:rsidRDefault="00000000" w:rsidP="00CC6AB1">
      <w:pPr>
        <w:spacing w:line="240" w:lineRule="exact"/>
        <w:ind w:firstLineChars="200" w:firstLine="420"/>
        <w:contextualSpacing/>
        <w:rPr>
          <w:rFonts w:cs="汉仪大宋简" w:hint="eastAsia"/>
          <w:bCs/>
          <w:color w:val="FF0000"/>
        </w:rPr>
      </w:pPr>
      <w:r w:rsidRPr="00CC6AB1">
        <w:rPr>
          <w:rFonts w:cs="汉仪大宋简" w:hint="eastAsia"/>
          <w:bCs/>
          <w:color w:val="FF0000"/>
        </w:rPr>
        <w:t>2．人民陪审员参加三人合议庭审判案件，对事实认定、法律适用，独立发表意见，行使表决权。</w:t>
      </w:r>
    </w:p>
    <w:p w14:paraId="7B170EA6"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3．人民陪审员参加七人合议庭审判案件，对事实认定，独立发表意见，并与法官共同表决；对法律适用，可以发表意见，但不参加表决。</w:t>
      </w:r>
    </w:p>
    <w:p w14:paraId="173F80D7" w14:textId="77777777" w:rsidR="00DD4F33" w:rsidRPr="00CC6AB1" w:rsidRDefault="00000000" w:rsidP="00CC6AB1">
      <w:pPr>
        <w:spacing w:line="240" w:lineRule="exact"/>
        <w:ind w:firstLineChars="200" w:firstLine="420"/>
        <w:contextualSpacing/>
        <w:rPr>
          <w:rFonts w:cs="汉仪大宋简" w:hint="eastAsia"/>
          <w:bCs/>
          <w:color w:val="auto"/>
        </w:rPr>
      </w:pPr>
      <w:r w:rsidRPr="00CC6AB1">
        <w:rPr>
          <w:rFonts w:cs="汉仪大宋简" w:hint="eastAsia"/>
          <w:bCs/>
          <w:color w:val="auto"/>
        </w:rPr>
        <w:t>4．合议庭评议案件，实行少数服从多数的原则。人民陪审员同合议庭其他组成人员意见分歧的，应当将其意见写入笔录。合议庭组成人员意见有重大分歧的，人民陪审员或者法官可以要求合议庭将案件提请院长决定是否提交审判委员会讨论决定。</w:t>
      </w:r>
    </w:p>
    <w:p w14:paraId="20EC8A99" w14:textId="64E19781" w:rsidR="00DD4F33" w:rsidRPr="00CC6AB1" w:rsidRDefault="00432F56" w:rsidP="00CC6AB1">
      <w:pPr>
        <w:spacing w:line="240" w:lineRule="exact"/>
        <w:ind w:firstLineChars="200" w:firstLine="422"/>
        <w:contextualSpacing/>
        <w:rPr>
          <w:rFonts w:cs="汉仪大宋简" w:hint="eastAsia"/>
          <w:b/>
          <w:color w:val="FF0000"/>
        </w:rPr>
      </w:pPr>
      <w:r w:rsidRPr="00CC6AB1">
        <w:rPr>
          <w:rFonts w:cs="汉仪大宋简" w:hint="eastAsia"/>
          <w:b/>
          <w:color w:val="FF0000"/>
        </w:rPr>
        <w:t>二、</w:t>
      </w:r>
      <w:r w:rsidRPr="00CC6AB1">
        <w:rPr>
          <w:rFonts w:cs="汉仪大宋简"/>
          <w:b/>
          <w:color w:val="FF0000"/>
        </w:rPr>
        <w:t>庭前审查</w:t>
      </w:r>
    </w:p>
    <w:p w14:paraId="0549FAD8" w14:textId="77777777" w:rsidR="00DD4F33" w:rsidRPr="00CC6AB1" w:rsidRDefault="00000000" w:rsidP="00CC6AB1">
      <w:pPr>
        <w:spacing w:line="240" w:lineRule="exact"/>
        <w:ind w:firstLineChars="200" w:firstLine="420"/>
        <w:contextualSpacing/>
        <w:rPr>
          <w:rFonts w:cs="仿宋_GB2312" w:hint="eastAsia"/>
        </w:rPr>
      </w:pPr>
      <w:r w:rsidRPr="00CC6AB1">
        <w:rPr>
          <w:rFonts w:cs="仿宋_GB2312" w:hint="eastAsia"/>
          <w:color w:val="B00824"/>
        </w:rPr>
        <w:t>对一案起诉的共同犯罪或者关联犯罪案件</w:t>
      </w:r>
      <w:r w:rsidRPr="00CC6AB1">
        <w:rPr>
          <w:rFonts w:cs="仿宋_GB2312" w:hint="eastAsia"/>
        </w:rPr>
        <w:t>，被告人人数众多、案情复杂，人民法院经审查认为，</w:t>
      </w:r>
      <w:r w:rsidRPr="00CC6AB1">
        <w:rPr>
          <w:rFonts w:cs="仿宋_GB2312" w:hint="eastAsia"/>
          <w:color w:val="B00824"/>
        </w:rPr>
        <w:t>分案审理更有利于保障庭审质量和效率的，可以分案审理</w:t>
      </w:r>
      <w:r w:rsidRPr="00CC6AB1">
        <w:rPr>
          <w:rFonts w:cs="仿宋_GB2312" w:hint="eastAsia"/>
        </w:rPr>
        <w:t>。分案审理不得影响当事人质证权等诉讼权利的行使。</w:t>
      </w:r>
    </w:p>
    <w:p w14:paraId="0228F542" w14:textId="77777777" w:rsidR="00DD4F33" w:rsidRPr="00CC6AB1" w:rsidRDefault="00000000" w:rsidP="00CC6AB1">
      <w:pPr>
        <w:spacing w:line="240" w:lineRule="exact"/>
        <w:ind w:firstLineChars="200" w:firstLine="420"/>
        <w:contextualSpacing/>
        <w:rPr>
          <w:rFonts w:cs="仿宋_GB2312" w:hint="eastAsia"/>
        </w:rPr>
      </w:pPr>
      <w:r w:rsidRPr="00CC6AB1">
        <w:rPr>
          <w:rFonts w:cs="仿宋_GB2312" w:hint="eastAsia"/>
          <w:color w:val="B00824"/>
        </w:rPr>
        <w:t>对分案起诉的共同犯罪或者关联犯罪案件</w:t>
      </w:r>
      <w:r w:rsidRPr="00CC6AB1">
        <w:rPr>
          <w:rFonts w:cs="仿宋_GB2312" w:hint="eastAsia"/>
        </w:rPr>
        <w:t>，人民法院经审查认为，</w:t>
      </w:r>
      <w:r w:rsidRPr="00CC6AB1">
        <w:rPr>
          <w:rFonts w:cs="仿宋_GB2312" w:hint="eastAsia"/>
          <w:color w:val="B00824"/>
        </w:rPr>
        <w:t>合并审理更有利于查明案件事实、保障诉讼权利、准确定罪量刑的，可以并案审理</w:t>
      </w:r>
      <w:r w:rsidRPr="00CC6AB1">
        <w:rPr>
          <w:rFonts w:cs="仿宋_GB2312" w:hint="eastAsia"/>
        </w:rPr>
        <w:t>。</w:t>
      </w:r>
    </w:p>
    <w:p w14:paraId="78558EB5" w14:textId="77777777" w:rsidR="00DD4F33" w:rsidRPr="00CC6AB1" w:rsidRDefault="00000000" w:rsidP="00CC6AB1">
      <w:pPr>
        <w:spacing w:line="240" w:lineRule="exact"/>
        <w:ind w:firstLineChars="200" w:firstLine="422"/>
        <w:contextualSpacing/>
        <w:jc w:val="left"/>
        <w:rPr>
          <w:rFonts w:cs="汉仪大宋简" w:hint="eastAsia"/>
          <w:b/>
          <w:color w:val="FF0000"/>
        </w:rPr>
      </w:pPr>
      <w:bookmarkStart w:id="6" w:name="_Toc510879102"/>
      <w:r w:rsidRPr="00CC6AB1">
        <w:rPr>
          <w:rFonts w:cs="汉仪大宋简" w:hint="eastAsia"/>
          <w:b/>
          <w:color w:val="FF0000"/>
        </w:rPr>
        <w:t>三、庭前会议（重点）</w:t>
      </w:r>
    </w:p>
    <w:p w14:paraId="0550BCA2"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（一）适用范围</w:t>
      </w:r>
      <w:bookmarkEnd w:id="6"/>
    </w:p>
    <w:p w14:paraId="0561353F" w14:textId="77777777" w:rsidR="00DD4F33" w:rsidRPr="00CC6AB1" w:rsidRDefault="00000000" w:rsidP="00CC6AB1">
      <w:pPr>
        <w:spacing w:line="240" w:lineRule="exact"/>
        <w:ind w:firstLineChars="200" w:firstLine="420"/>
        <w:contextualSpacing/>
        <w:rPr>
          <w:rFonts w:cs="仿宋_GB2312" w:hint="eastAsia"/>
        </w:rPr>
      </w:pPr>
      <w:r w:rsidRPr="00CC6AB1">
        <w:rPr>
          <w:rFonts w:hint="eastAsia"/>
        </w:rPr>
        <w:t>当事人及其辩护人、诉讼代理人申请排除非法证据的；证据材料较多、案情重大复杂的；社会影响重大的。</w:t>
      </w:r>
      <w:bookmarkStart w:id="7" w:name="_Toc510879103"/>
      <w:r w:rsidRPr="00CC6AB1">
        <w:rPr>
          <w:rFonts w:hint="eastAsia"/>
          <w:bCs/>
          <w:color w:val="B00824"/>
          <w:kern w:val="0"/>
        </w:rPr>
        <w:t>控辩双方可以申请人民法院召开庭前会议，提出申请应当说明理由。人民法院经审查认为有必要的，应当召开庭前会议；决定不召开的，应当告知申请人。</w:t>
      </w:r>
    </w:p>
    <w:p w14:paraId="7D4473AC"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（二）参加人员</w:t>
      </w:r>
      <w:bookmarkEnd w:id="7"/>
      <w:r w:rsidRPr="00CC6AB1">
        <w:rPr>
          <w:rFonts w:cs="汉仪大宋简" w:hint="eastAsia"/>
          <w:bCs/>
          <w:color w:val="auto"/>
        </w:rPr>
        <w:t>及方式</w:t>
      </w:r>
    </w:p>
    <w:p w14:paraId="461679C1" w14:textId="77777777" w:rsidR="00DD4F33" w:rsidRPr="00CC6AB1" w:rsidRDefault="00000000" w:rsidP="00CC6AB1">
      <w:pPr>
        <w:spacing w:line="240" w:lineRule="exact"/>
        <w:ind w:firstLineChars="200" w:firstLine="420"/>
        <w:contextualSpacing/>
        <w:rPr>
          <w:rFonts w:hint="eastAsia"/>
        </w:rPr>
      </w:pPr>
      <w:r w:rsidRPr="00CC6AB1">
        <w:t>在开庭以前，</w:t>
      </w:r>
      <w:r w:rsidRPr="00CC6AB1">
        <w:rPr>
          <w:color w:val="B00824"/>
        </w:rPr>
        <w:t>审判人员</w:t>
      </w:r>
      <w:r w:rsidRPr="00CC6AB1">
        <w:t>可以召集</w:t>
      </w:r>
      <w:r w:rsidRPr="00CC6AB1">
        <w:rPr>
          <w:color w:val="B00824"/>
        </w:rPr>
        <w:t>公诉人、当事人和辩护人、诉讼代理人</w:t>
      </w:r>
      <w:r w:rsidRPr="00CC6AB1">
        <w:t>，对回避、出庭证人名单、非法证据排除等与审判相关的问题，了解情况，听取意见。</w:t>
      </w:r>
      <w:bookmarkStart w:id="8" w:name="_Toc510879104"/>
    </w:p>
    <w:p w14:paraId="6749CD15" w14:textId="77777777" w:rsidR="00DD4F33" w:rsidRPr="00CC6AB1" w:rsidRDefault="00000000" w:rsidP="00CC6AB1">
      <w:pPr>
        <w:spacing w:line="240" w:lineRule="exact"/>
        <w:ind w:firstLineChars="200" w:firstLine="420"/>
        <w:contextualSpacing/>
        <w:rPr>
          <w:rFonts w:hint="eastAsia"/>
        </w:rPr>
      </w:pPr>
      <w:r w:rsidRPr="00CC6AB1">
        <w:rPr>
          <w:rFonts w:hint="eastAsia"/>
        </w:rPr>
        <w:t>庭前会议由审判长主持，合议庭其他审判员也可以主持庭前会议。</w:t>
      </w:r>
      <w:r w:rsidRPr="00CC6AB1">
        <w:rPr>
          <w:rFonts w:hint="eastAsia"/>
          <w:color w:val="B00824"/>
        </w:rPr>
        <w:t>召开庭前会议应当通知公诉人、辩护人到场</w:t>
      </w:r>
      <w:r w:rsidRPr="00CC6AB1">
        <w:rPr>
          <w:rFonts w:hint="eastAsia"/>
        </w:rPr>
        <w:t>。</w:t>
      </w:r>
      <w:r w:rsidRPr="00CC6AB1">
        <w:rPr>
          <w:rFonts w:hint="eastAsia"/>
          <w:color w:val="B00824"/>
        </w:rPr>
        <w:t>庭前会议准备就非法证据排除了解情况、听取意见，或者准备询问控辩双方对证据材料的意见的，应当通知被告人到场</w:t>
      </w:r>
      <w:r w:rsidRPr="00CC6AB1">
        <w:rPr>
          <w:rFonts w:hint="eastAsia"/>
        </w:rPr>
        <w:t>。</w:t>
      </w:r>
    </w:p>
    <w:p w14:paraId="154D9505" w14:textId="77777777" w:rsidR="00DD4F33" w:rsidRPr="00CC6AB1" w:rsidRDefault="00000000" w:rsidP="00CC6AB1">
      <w:pPr>
        <w:spacing w:line="240" w:lineRule="exact"/>
        <w:ind w:firstLineChars="200" w:firstLine="420"/>
        <w:contextualSpacing/>
        <w:rPr>
          <w:rFonts w:hint="eastAsia"/>
        </w:rPr>
      </w:pPr>
      <w:r w:rsidRPr="00CC6AB1">
        <w:rPr>
          <w:rFonts w:hint="eastAsia"/>
          <w:color w:val="B00824"/>
        </w:rPr>
        <w:t>庭前会议一般不公开进行。</w:t>
      </w:r>
      <w:r w:rsidRPr="00CC6AB1">
        <w:rPr>
          <w:rFonts w:hint="eastAsia"/>
        </w:rPr>
        <w:t>根据案件情况，庭前会议可以采用视频等方式进行。</w:t>
      </w:r>
    </w:p>
    <w:p w14:paraId="5C5A93FE"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（三）庭前会议的内容</w:t>
      </w:r>
      <w:bookmarkEnd w:id="8"/>
      <w:r w:rsidRPr="00CC6AB1">
        <w:rPr>
          <w:rFonts w:cs="汉仪大宋简" w:hint="eastAsia"/>
          <w:bCs/>
          <w:color w:val="auto"/>
        </w:rPr>
        <w:t>：</w:t>
      </w:r>
      <w:r w:rsidRPr="00CC6AB1">
        <w:rPr>
          <w:rFonts w:hint="eastAsia"/>
          <w:b/>
        </w:rPr>
        <w:t>了解情况、听取意见（</w:t>
      </w:r>
      <w:r w:rsidRPr="00CC6AB1">
        <w:rPr>
          <w:rFonts w:hint="eastAsia"/>
          <w:color w:val="B00824"/>
        </w:rPr>
        <w:t>不能做出实质性的决定</w:t>
      </w:r>
      <w:r w:rsidRPr="00CC6AB1">
        <w:rPr>
          <w:rFonts w:hint="eastAsia"/>
          <w:b/>
        </w:rPr>
        <w:t>）；</w:t>
      </w:r>
      <w:r w:rsidRPr="00CC6AB1">
        <w:rPr>
          <w:rFonts w:hint="eastAsia"/>
          <w:color w:val="B00824"/>
        </w:rPr>
        <w:t>调解附民</w:t>
      </w:r>
    </w:p>
    <w:p w14:paraId="19EC5370" w14:textId="77777777" w:rsidR="00DD4F33" w:rsidRPr="00CC6AB1" w:rsidRDefault="00000000" w:rsidP="00CC6AB1">
      <w:pPr>
        <w:spacing w:line="240" w:lineRule="exact"/>
        <w:ind w:firstLineChars="130" w:firstLine="274"/>
        <w:contextualSpacing/>
        <w:rPr>
          <w:rFonts w:cs="汉仪大宋简" w:hint="eastAsia"/>
          <w:b/>
          <w:color w:val="FF0000"/>
        </w:rPr>
      </w:pPr>
      <w:r w:rsidRPr="00CC6AB1">
        <w:rPr>
          <w:rFonts w:cs="汉仪大宋简" w:hint="eastAsia"/>
          <w:b/>
          <w:color w:val="FF0000"/>
        </w:rPr>
        <w:t>（四）庭前会议与庭审程序的衔接</w:t>
      </w:r>
    </w:p>
    <w:p w14:paraId="1A49B333" w14:textId="77777777" w:rsidR="00DD4F33" w:rsidRPr="00CC6AB1" w:rsidRDefault="00000000" w:rsidP="00CC6AB1">
      <w:pPr>
        <w:spacing w:line="240" w:lineRule="exact"/>
        <w:ind w:firstLineChars="200" w:firstLine="420"/>
        <w:contextualSpacing/>
        <w:rPr>
          <w:rFonts w:hint="eastAsia"/>
        </w:rPr>
      </w:pPr>
      <w:r w:rsidRPr="00CC6AB1">
        <w:rPr>
          <w:rFonts w:hint="eastAsia"/>
        </w:rPr>
        <w:t>1．人民法院在庭前会议中听取控辩双方对案件事实、证据材料的意见后，对明显事实不清、证据不足的案件，可以建议人民检察院补充材料或者撤回起诉。建议撤回起诉的案件，人民检察院不同意的，</w:t>
      </w:r>
      <w:r w:rsidRPr="00CC6AB1">
        <w:rPr>
          <w:rFonts w:hint="eastAsia"/>
          <w:color w:val="B00824"/>
        </w:rPr>
        <w:t>开庭审理后，没有新的事实和理由，一般不准许撤回起诉</w:t>
      </w:r>
      <w:r w:rsidRPr="00CC6AB1">
        <w:rPr>
          <w:rFonts w:hint="eastAsia"/>
        </w:rPr>
        <w:t>。</w:t>
      </w:r>
    </w:p>
    <w:p w14:paraId="186C7842" w14:textId="77777777" w:rsidR="00DD4F33" w:rsidRPr="00CC6AB1" w:rsidRDefault="00000000" w:rsidP="00CC6AB1">
      <w:pPr>
        <w:spacing w:line="240" w:lineRule="exact"/>
        <w:ind w:firstLineChars="200" w:firstLine="420"/>
        <w:contextualSpacing/>
        <w:rPr>
          <w:rFonts w:hint="eastAsia"/>
          <w:color w:val="B00824"/>
        </w:rPr>
      </w:pPr>
      <w:r w:rsidRPr="00CC6AB1">
        <w:rPr>
          <w:rFonts w:hint="eastAsia"/>
        </w:rPr>
        <w:t>2．对召开庭前会议的案件，可以在开庭时告知庭前会议情况。对庭前会议中达成一致意见的事项，</w:t>
      </w:r>
      <w:r w:rsidRPr="00CC6AB1">
        <w:rPr>
          <w:rFonts w:hint="eastAsia"/>
          <w:color w:val="B00824"/>
        </w:rPr>
        <w:t>法庭在向控辩双方核实后，可以当庭予以确认；</w:t>
      </w:r>
      <w:r w:rsidRPr="00CC6AB1">
        <w:rPr>
          <w:rFonts w:hint="eastAsia"/>
        </w:rPr>
        <w:t>未达成一致意见的事项，法庭可以归纳控辩双方争议焦点，听取控辩双方意见，依法作出处理。控辩双方在庭前会议中就有关事项达成一致意见在庭审中反悔的，</w:t>
      </w:r>
      <w:r w:rsidRPr="00CC6AB1">
        <w:rPr>
          <w:rFonts w:hint="eastAsia"/>
          <w:color w:val="B00824"/>
        </w:rPr>
        <w:t>除有正当理由外，法庭一般不再进行处理。</w:t>
      </w:r>
      <w:bookmarkStart w:id="9" w:name="_Toc510879106"/>
    </w:p>
    <w:p w14:paraId="144E2F75" w14:textId="77777777" w:rsidR="00DD4F33" w:rsidRPr="00CC6AB1" w:rsidRDefault="00000000" w:rsidP="00CC6AB1">
      <w:pPr>
        <w:spacing w:line="240" w:lineRule="exact"/>
        <w:ind w:firstLineChars="200" w:firstLine="420"/>
        <w:contextualSpacing/>
        <w:rPr>
          <w:rFonts w:hint="eastAsia"/>
          <w:color w:val="B00824"/>
        </w:rPr>
      </w:pPr>
      <w:r w:rsidRPr="00CC6AB1">
        <w:rPr>
          <w:rFonts w:cs="汉仪大宋简" w:hint="eastAsia"/>
          <w:bCs/>
          <w:color w:val="auto"/>
        </w:rPr>
        <w:t>四、法庭调查程序</w:t>
      </w:r>
    </w:p>
    <w:p w14:paraId="39EC9CFE" w14:textId="77777777" w:rsidR="002165A7"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（一）通知出庭</w:t>
      </w:r>
    </w:p>
    <w:p w14:paraId="167F46D1" w14:textId="2AEF5069" w:rsidR="00DD4F33" w:rsidRPr="00CC6AB1" w:rsidRDefault="00000000" w:rsidP="00CC6AB1">
      <w:pPr>
        <w:spacing w:line="240" w:lineRule="exact"/>
        <w:ind w:firstLineChars="130" w:firstLine="273"/>
        <w:contextualSpacing/>
        <w:rPr>
          <w:rFonts w:cs="汉仪大宋简" w:hint="eastAsia"/>
          <w:bCs/>
          <w:color w:val="auto"/>
        </w:rPr>
      </w:pPr>
      <w:r w:rsidRPr="00CC6AB1">
        <w:rPr>
          <w:rFonts w:cs="仿宋_GB2312" w:hint="eastAsia"/>
          <w:bCs/>
          <w:color w:val="auto"/>
        </w:rPr>
        <w:t>对被害人人数众多的涉众型犯罪案件，可以通过互联网公布相关文书，通知有关人员出庭。被害人人数众多，且案件不属于附带民事诉讼范围的，被害人可以推选若干</w:t>
      </w:r>
      <w:r w:rsidRPr="00CC6AB1">
        <w:rPr>
          <w:rFonts w:cs="仿宋_GB2312" w:hint="eastAsia"/>
          <w:b/>
          <w:color w:val="auto"/>
        </w:rPr>
        <w:t>代表人</w:t>
      </w:r>
      <w:r w:rsidRPr="00CC6AB1">
        <w:rPr>
          <w:rFonts w:cs="仿宋_GB2312" w:hint="eastAsia"/>
          <w:bCs/>
          <w:color w:val="auto"/>
        </w:rPr>
        <w:t>参加</w:t>
      </w:r>
      <w:r w:rsidRPr="00CC6AB1">
        <w:rPr>
          <w:rFonts w:cs="仿宋_GB2312" w:hint="eastAsia"/>
          <w:bCs/>
          <w:color w:val="auto"/>
        </w:rPr>
        <w:lastRenderedPageBreak/>
        <w:t>庭审。</w:t>
      </w:r>
    </w:p>
    <w:p w14:paraId="2BCC72F4" w14:textId="77777777" w:rsidR="00DD4F33" w:rsidRPr="00CC6AB1" w:rsidRDefault="00000000" w:rsidP="00CC6AB1">
      <w:pPr>
        <w:spacing w:line="240" w:lineRule="exact"/>
        <w:ind w:firstLineChars="200" w:firstLine="422"/>
        <w:contextualSpacing/>
        <w:rPr>
          <w:rFonts w:cs="汉仪大宋简" w:hint="eastAsia"/>
          <w:b/>
          <w:color w:val="FF0000"/>
        </w:rPr>
      </w:pPr>
      <w:r w:rsidRPr="00CC6AB1">
        <w:rPr>
          <w:rFonts w:cs="汉仪大宋简" w:hint="eastAsia"/>
          <w:b/>
          <w:color w:val="FF0000"/>
        </w:rPr>
        <w:t>（二）</w:t>
      </w:r>
      <w:bookmarkStart w:id="10" w:name="_Hlk141647137"/>
      <w:r w:rsidRPr="00CC6AB1">
        <w:rPr>
          <w:rFonts w:cs="汉仪大宋简" w:hint="eastAsia"/>
          <w:b/>
          <w:color w:val="FF0000"/>
        </w:rPr>
        <w:t>证人、鉴定人、有专门知识的人出庭制度</w:t>
      </w:r>
      <w:bookmarkEnd w:id="9"/>
    </w:p>
    <w:p w14:paraId="5D62C8DD" w14:textId="77777777" w:rsidR="00DD4F33" w:rsidRPr="00CC6AB1" w:rsidRDefault="00000000" w:rsidP="00CC6AB1">
      <w:pPr>
        <w:spacing w:line="240" w:lineRule="exact"/>
        <w:ind w:firstLineChars="230" w:firstLine="483"/>
        <w:contextualSpacing/>
        <w:rPr>
          <w:rFonts w:cs="汉仪大宋简" w:hint="eastAsia"/>
          <w:bCs/>
          <w:color w:val="auto"/>
        </w:rPr>
      </w:pPr>
      <w:r w:rsidRPr="00CC6AB1">
        <w:rPr>
          <w:rFonts w:hint="eastAsia"/>
        </w:rPr>
        <w:t>证人（含执行职务时目击犯罪的警察）</w:t>
      </w:r>
      <w:r w:rsidRPr="00CC6AB1">
        <w:rPr>
          <w:rFonts w:hint="eastAsia"/>
          <w:color w:val="FF0000"/>
        </w:rPr>
        <w:t>应当出庭作证</w:t>
      </w:r>
      <w:r w:rsidRPr="00CC6AB1">
        <w:rPr>
          <w:rFonts w:hint="eastAsia"/>
        </w:rPr>
        <w:t>：控辩双方对证人证言有异议、证人证言对案件定罪量刑有重大影响、人民法院认为证人有必要出庭作证。</w:t>
      </w:r>
      <w:r w:rsidRPr="00CC6AB1">
        <w:rPr>
          <w:rFonts w:hint="eastAsia"/>
          <w:bCs/>
        </w:rPr>
        <w:t>拒不出庭时，</w:t>
      </w:r>
      <w:r w:rsidRPr="00CC6AB1">
        <w:rPr>
          <w:rFonts w:hint="eastAsia"/>
        </w:rPr>
        <w:t>强制出庭（被告人的配偶、父母、子女除外）。可以准许其不出庭：庭审期间身患严重疾病或行动极为不便、居所远离开庭地点且交通极为不便的、身处国外短期无法回国的、有其他客观原因，确实无法出庭的。可通过视频等方式作证。</w:t>
      </w:r>
    </w:p>
    <w:p w14:paraId="31C0B867" w14:textId="77777777" w:rsidR="00DD4F33" w:rsidRPr="00CC6AB1" w:rsidRDefault="00000000" w:rsidP="00CC6AB1">
      <w:pPr>
        <w:spacing w:line="240" w:lineRule="exact"/>
        <w:ind w:firstLineChars="230" w:firstLine="483"/>
        <w:contextualSpacing/>
        <w:rPr>
          <w:rFonts w:cs="汉仪大宋简" w:hint="eastAsia"/>
          <w:bCs/>
          <w:color w:val="auto"/>
        </w:rPr>
      </w:pPr>
      <w:r w:rsidRPr="00CC6AB1">
        <w:rPr>
          <w:rFonts w:hint="eastAsia"/>
        </w:rPr>
        <w:t>鉴定人应当出庭作证：控辩双方对鉴定意见有异议、人民法院认为鉴定人有必要出庭。</w:t>
      </w:r>
      <w:r w:rsidRPr="00CC6AB1">
        <w:rPr>
          <w:rFonts w:hint="eastAsia"/>
          <w:bCs/>
        </w:rPr>
        <w:t>拒不出庭时，</w:t>
      </w:r>
      <w:r w:rsidRPr="00CC6AB1">
        <w:rPr>
          <w:rFonts w:hint="eastAsia"/>
        </w:rPr>
        <w:t>鉴定意见不得作为定案的根据。</w:t>
      </w:r>
    </w:p>
    <w:p w14:paraId="496F1365" w14:textId="77777777" w:rsidR="00DD4F33" w:rsidRPr="00CC6AB1" w:rsidRDefault="00000000" w:rsidP="00CC6AB1">
      <w:pPr>
        <w:spacing w:line="240" w:lineRule="exact"/>
        <w:ind w:firstLineChars="230" w:firstLine="483"/>
        <w:contextualSpacing/>
        <w:rPr>
          <w:rFonts w:cs="汉仪大宋简" w:hint="eastAsia"/>
          <w:bCs/>
          <w:color w:val="auto"/>
        </w:rPr>
      </w:pPr>
      <w:r w:rsidRPr="00CC6AB1">
        <w:rPr>
          <w:rFonts w:hint="eastAsia"/>
        </w:rPr>
        <w:t>有专门知识的人应当出庭作证：需要就鉴定意见提出意见的，应当说明理由，人民法院认为有必要的。申请有专门知识的人出庭，不得超过二人。有多种类鉴定意见的，可以相应增加人数。</w:t>
      </w:r>
      <w:r w:rsidRPr="00CC6AB1">
        <w:rPr>
          <w:rFonts w:hint="eastAsia"/>
          <w:color w:val="B00824"/>
        </w:rPr>
        <w:t>注意：有专门知识的人对鉴定意见发表的意见不属于单独的证据，是帮助法官审查判断鉴定意见的参考，根据申请者归属于控诉意见或者辩护意见</w:t>
      </w:r>
    </w:p>
    <w:bookmarkEnd w:id="10"/>
    <w:p w14:paraId="4547EA93" w14:textId="77777777" w:rsidR="00DD4F33" w:rsidRPr="00CC6AB1" w:rsidRDefault="00000000" w:rsidP="00CC6AB1">
      <w:pPr>
        <w:spacing w:line="240" w:lineRule="exact"/>
        <w:ind w:firstLineChars="200" w:firstLine="420"/>
        <w:contextualSpacing/>
        <w:rPr>
          <w:rFonts w:hint="eastAsia"/>
          <w:color w:val="auto"/>
        </w:rPr>
      </w:pPr>
      <w:r w:rsidRPr="00CC6AB1">
        <w:rPr>
          <w:rFonts w:hint="eastAsia"/>
          <w:color w:val="auto"/>
        </w:rPr>
        <w:t>控辩双方对侦破经过、证据来源、证据真实性或者合法性等有异议，申请调查人员、侦查人员或者有关人员出庭，人民法院认为有必要的，应当通知调查人员、侦查人员或者有关人员出庭。</w:t>
      </w:r>
      <w:bookmarkStart w:id="11" w:name="_Toc510879107"/>
    </w:p>
    <w:p w14:paraId="72FEDDEB"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（三）法庭调查的基本流程</w:t>
      </w:r>
      <w:bookmarkEnd w:id="11"/>
    </w:p>
    <w:p w14:paraId="36947C61" w14:textId="77777777" w:rsidR="00DD4F33" w:rsidRPr="00CC6AB1" w:rsidRDefault="00000000" w:rsidP="00CC6AB1">
      <w:pPr>
        <w:spacing w:line="240" w:lineRule="exact"/>
        <w:ind w:firstLineChars="200" w:firstLine="420"/>
        <w:contextualSpacing/>
        <w:rPr>
          <w:rFonts w:hint="eastAsia"/>
          <w:bCs/>
        </w:rPr>
      </w:pPr>
      <w:r w:rsidRPr="00CC6AB1">
        <w:rPr>
          <w:rFonts w:hint="eastAsia"/>
          <w:bCs/>
        </w:rPr>
        <w:t>1．宣读起诉书及向当事人发问</w:t>
      </w:r>
    </w:p>
    <w:p w14:paraId="79746063" w14:textId="77777777" w:rsidR="00DD4F33" w:rsidRPr="00CC6AB1" w:rsidRDefault="00000000" w:rsidP="00CC6AB1">
      <w:pPr>
        <w:spacing w:line="240" w:lineRule="exact"/>
        <w:ind w:firstLineChars="200" w:firstLine="420"/>
        <w:contextualSpacing/>
        <w:rPr>
          <w:rFonts w:hint="eastAsia"/>
        </w:rPr>
      </w:pPr>
      <w:r w:rsidRPr="00CC6AB1">
        <w:rPr>
          <w:rFonts w:hint="eastAsia"/>
        </w:rPr>
        <w:t>对</w:t>
      </w:r>
      <w:r w:rsidRPr="00CC6AB1">
        <w:rPr>
          <w:rFonts w:hint="eastAsia"/>
          <w:color w:val="B00824"/>
        </w:rPr>
        <w:t>可能影响定罪量刑的关键证据和控辩双方存在争议的证据，一般应当单独举证、质证，充分听取质证意见</w:t>
      </w:r>
      <w:r w:rsidRPr="00CC6AB1">
        <w:rPr>
          <w:rFonts w:hint="eastAsia"/>
        </w:rPr>
        <w:t>。对控辩双方无异议的非关键证据，举证方可以</w:t>
      </w:r>
      <w:r w:rsidRPr="00CC6AB1">
        <w:rPr>
          <w:rFonts w:hint="eastAsia"/>
          <w:color w:val="B00824"/>
        </w:rPr>
        <w:t>仅就证据的名称及拟证明的事实作出说明</w:t>
      </w:r>
      <w:r w:rsidRPr="00CC6AB1">
        <w:rPr>
          <w:rFonts w:hint="eastAsia"/>
        </w:rPr>
        <w:t>。召开庭前会议的案件，举证、质证可以按照庭前会议确定的方式进行。</w:t>
      </w:r>
    </w:p>
    <w:p w14:paraId="00A2BD4A" w14:textId="77777777" w:rsidR="00DD4F33" w:rsidRPr="00CC6AB1" w:rsidRDefault="00000000" w:rsidP="00CC6AB1">
      <w:pPr>
        <w:spacing w:line="240" w:lineRule="exact"/>
        <w:ind w:firstLineChars="200" w:firstLine="420"/>
        <w:contextualSpacing/>
        <w:rPr>
          <w:rFonts w:hint="eastAsia"/>
          <w:bCs/>
        </w:rPr>
      </w:pPr>
      <w:bookmarkStart w:id="12" w:name="_Toc4844141"/>
      <w:bookmarkStart w:id="13" w:name="_Toc510879109"/>
      <w:r w:rsidRPr="00CC6AB1">
        <w:rPr>
          <w:rFonts w:hint="eastAsia"/>
          <w:bCs/>
        </w:rPr>
        <w:t>2．庭外调查</w:t>
      </w:r>
    </w:p>
    <w:p w14:paraId="7E447527" w14:textId="77777777" w:rsidR="00DD4F33" w:rsidRPr="00CC6AB1" w:rsidRDefault="00000000" w:rsidP="00CC6AB1">
      <w:pPr>
        <w:spacing w:line="240" w:lineRule="exact"/>
        <w:ind w:firstLineChars="200" w:firstLine="420"/>
        <w:contextualSpacing/>
        <w:rPr>
          <w:rFonts w:cs="仿宋_GB2312" w:hint="eastAsia"/>
          <w:bCs/>
          <w:color w:val="auto"/>
        </w:rPr>
      </w:pPr>
      <w:r w:rsidRPr="00CC6AB1">
        <w:rPr>
          <w:rFonts w:cs="仿宋_GB2312" w:hint="eastAsia"/>
          <w:bCs/>
        </w:rPr>
        <w:t>法庭对证据有疑问的，可以告知公诉人、当事人及其法定代理人、辩护人、诉讼代理人补</w:t>
      </w:r>
      <w:r w:rsidRPr="00CC6AB1">
        <w:rPr>
          <w:rFonts w:cs="仿宋_GB2312" w:hint="eastAsia"/>
          <w:bCs/>
          <w:color w:val="auto"/>
        </w:rPr>
        <w:t>充证据或者作出说明；必要时，可以宣布休庭，对证据进行调查核实。</w:t>
      </w:r>
    </w:p>
    <w:p w14:paraId="234F5EFE" w14:textId="77777777" w:rsidR="00DD4F33" w:rsidRPr="00CC6AB1" w:rsidRDefault="00000000" w:rsidP="00CC6AB1">
      <w:pPr>
        <w:spacing w:line="240" w:lineRule="exact"/>
        <w:ind w:firstLineChars="200" w:firstLine="420"/>
        <w:contextualSpacing/>
        <w:rPr>
          <w:rFonts w:cs="仿宋_GB2312" w:hint="eastAsia"/>
          <w:bCs/>
          <w:color w:val="auto"/>
        </w:rPr>
      </w:pPr>
      <w:r w:rsidRPr="00CC6AB1">
        <w:rPr>
          <w:rFonts w:cs="仿宋_GB2312" w:hint="eastAsia"/>
          <w:bCs/>
          <w:color w:val="auto"/>
        </w:rPr>
        <w:t>对公诉人、当事人及其法定代理人、辩护人、诉讼代理人补充的和审判人员庭外调查核实取得的证据，</w:t>
      </w:r>
      <w:r w:rsidRPr="00CC6AB1">
        <w:rPr>
          <w:rFonts w:cs="仿宋_GB2312" w:hint="eastAsia"/>
          <w:b/>
          <w:color w:val="auto"/>
        </w:rPr>
        <w:t>应当经过当庭质证才能作为定案的根据</w:t>
      </w:r>
      <w:r w:rsidRPr="00CC6AB1">
        <w:rPr>
          <w:rFonts w:cs="仿宋_GB2312" w:hint="eastAsia"/>
          <w:bCs/>
          <w:color w:val="auto"/>
        </w:rPr>
        <w:t>。但是，对不影响定罪量刑的非关键证据、有利于被告人的量刑证据以及认定被告人有犯罪前科的裁判文书等证据，经庭外征求意见，控辩双方没有异议的除外。有关情况，应当记录在案。</w:t>
      </w:r>
    </w:p>
    <w:p w14:paraId="36FC0506" w14:textId="77777777" w:rsidR="00DD4F33" w:rsidRPr="00CC6AB1" w:rsidRDefault="00000000" w:rsidP="00CC6AB1">
      <w:pPr>
        <w:spacing w:line="240" w:lineRule="exact"/>
        <w:ind w:firstLineChars="200" w:firstLine="422"/>
        <w:contextualSpacing/>
        <w:rPr>
          <w:rFonts w:cs="仿宋_GB2312" w:hint="eastAsia"/>
          <w:b/>
          <w:color w:val="FF0000"/>
        </w:rPr>
      </w:pPr>
      <w:r w:rsidRPr="00CC6AB1">
        <w:rPr>
          <w:rFonts w:cs="仿宋_GB2312" w:hint="eastAsia"/>
          <w:b/>
          <w:color w:val="FF0000"/>
        </w:rPr>
        <w:t>注意 法官庭外调查核实证据，不能采取搜查，可以查封、扣押、冻结、鉴定。</w:t>
      </w:r>
      <w:bookmarkEnd w:id="12"/>
      <w:bookmarkEnd w:id="13"/>
    </w:p>
    <w:p w14:paraId="7D598D58" w14:textId="77777777" w:rsidR="00DD4F33" w:rsidRPr="00CC6AB1" w:rsidRDefault="00000000" w:rsidP="00CC6AB1">
      <w:pPr>
        <w:spacing w:line="240" w:lineRule="exact"/>
        <w:ind w:firstLineChars="200" w:firstLine="420"/>
        <w:contextualSpacing/>
        <w:rPr>
          <w:rFonts w:hint="eastAsia"/>
          <w:bCs/>
          <w:color w:val="FF0000"/>
        </w:rPr>
      </w:pPr>
      <w:r w:rsidRPr="00CC6AB1">
        <w:rPr>
          <w:rFonts w:hint="eastAsia"/>
          <w:bCs/>
          <w:color w:val="FF0000"/>
        </w:rPr>
        <w:t>法庭秩序（注意违反法庭秩序的处罚与证人不出庭处罚的区别）</w:t>
      </w:r>
    </w:p>
    <w:p w14:paraId="6F9064D3" w14:textId="765507DB" w:rsidR="00DD4F33" w:rsidRPr="00CC6AB1" w:rsidRDefault="00000000" w:rsidP="00CC6AB1">
      <w:pPr>
        <w:spacing w:line="240" w:lineRule="exact"/>
        <w:ind w:firstLineChars="200" w:firstLine="420"/>
        <w:contextualSpacing/>
        <w:rPr>
          <w:rFonts w:cs="仿宋_GB2312" w:hint="eastAsia"/>
          <w:bCs/>
          <w:color w:val="auto"/>
        </w:rPr>
      </w:pPr>
      <w:r w:rsidRPr="00CC6AB1">
        <w:rPr>
          <w:rFonts w:cs="仿宋_GB2312" w:hint="eastAsia"/>
          <w:bCs/>
          <w:color w:val="auto"/>
        </w:rPr>
        <w:t>辩护人、诉讼代理人违反法庭秩序的处理：（1）辩护人严重扰乱法庭秩序，被责令退出法庭、强行带出法庭或者被处以罚款、拘留，被告人自行辩护的，庭审继续进行；被告人要求另行委托辩护人，或者被告人属于应当提供法律援助情形的，应当宣布休庭。（2）辩护人、诉讼代理人被责令退出法庭、强行带出法庭或者被处以罚款（没有拘留）后，具结保证书，保证服从法庭指挥、不再扰乱法庭秩序的，经法庭许可，可以继续担任辩护人、诉讼代理人。（3）辩护人、诉讼代理人具有下列情形之一的，不得继续担任同一案件的辩护人、诉讼代理人：</w:t>
      </w:r>
      <w:r w:rsidR="001F4224" w:rsidRPr="00CC6AB1">
        <w:rPr>
          <w:rFonts w:cs="仿宋_GB2312" w:hint="eastAsia"/>
          <w:bCs/>
          <w:color w:val="auto"/>
        </w:rPr>
        <w:t>①</w:t>
      </w:r>
      <w:r w:rsidRPr="00CC6AB1">
        <w:rPr>
          <w:rFonts w:cs="仿宋_GB2312" w:hint="eastAsia"/>
          <w:bCs/>
          <w:color w:val="auto"/>
        </w:rPr>
        <w:t>擅自退庭的；</w:t>
      </w:r>
      <w:r w:rsidR="00A90DE4" w:rsidRPr="00CC6AB1">
        <w:rPr>
          <w:rFonts w:cs="仿宋_GB2312" w:hint="eastAsia"/>
          <w:bCs/>
          <w:color w:val="auto"/>
        </w:rPr>
        <w:t>②</w:t>
      </w:r>
      <w:r w:rsidRPr="00CC6AB1">
        <w:rPr>
          <w:rFonts w:cs="仿宋_GB2312" w:hint="eastAsia"/>
          <w:bCs/>
          <w:color w:val="auto"/>
        </w:rPr>
        <w:t>无正当理由不出庭或者不按时出庭，严重影响审判顺利进行的；</w:t>
      </w:r>
      <w:r w:rsidR="00A90DE4" w:rsidRPr="00CC6AB1">
        <w:rPr>
          <w:rFonts w:cs="仿宋_GB2312" w:hint="eastAsia"/>
          <w:bCs/>
          <w:color w:val="auto"/>
        </w:rPr>
        <w:t>③</w:t>
      </w:r>
      <w:r w:rsidRPr="00CC6AB1">
        <w:rPr>
          <w:rFonts w:cs="仿宋_GB2312" w:hint="eastAsia"/>
          <w:bCs/>
          <w:color w:val="auto"/>
        </w:rPr>
        <w:t>被拘留或者具结保证书后再次被责令退出法庭、强行带出法庭的。</w:t>
      </w:r>
    </w:p>
    <w:p w14:paraId="1178D63C" w14:textId="77777777" w:rsidR="00DD4F33" w:rsidRPr="00CC6AB1" w:rsidRDefault="00000000" w:rsidP="00CC6AB1">
      <w:pPr>
        <w:spacing w:line="240" w:lineRule="exact"/>
        <w:ind w:firstLineChars="200" w:firstLine="420"/>
        <w:contextualSpacing/>
        <w:rPr>
          <w:rFonts w:cs="仿宋_GB2312" w:hint="eastAsia"/>
          <w:bCs/>
        </w:rPr>
      </w:pPr>
      <w:r w:rsidRPr="00CC6AB1">
        <w:rPr>
          <w:rFonts w:cs="汉仪大宋简" w:hint="eastAsia"/>
          <w:bCs/>
          <w:color w:val="auto"/>
        </w:rPr>
        <w:t>五、单位犯罪的审理</w:t>
      </w:r>
      <w:r w:rsidRPr="00CC6AB1">
        <w:rPr>
          <w:rFonts w:cs="汉仪大宋简" w:hint="eastAsia"/>
          <w:bCs/>
          <w:color w:val="FF0000"/>
        </w:rPr>
        <w:t>（高性价比考点，考点集中为以下四点）</w:t>
      </w:r>
    </w:p>
    <w:p w14:paraId="63BF7EB5" w14:textId="77777777" w:rsidR="00DD4F33" w:rsidRPr="00CC6AB1" w:rsidRDefault="00000000" w:rsidP="00CC6AB1">
      <w:pPr>
        <w:spacing w:line="240" w:lineRule="exact"/>
        <w:ind w:firstLineChars="130" w:firstLine="273"/>
        <w:contextualSpacing/>
        <w:rPr>
          <w:rFonts w:cs="汉仪大宋简" w:hint="eastAsia"/>
          <w:bCs/>
          <w:color w:val="auto"/>
        </w:rPr>
      </w:pPr>
      <w:bookmarkStart w:id="14" w:name="_Toc510879110"/>
      <w:r w:rsidRPr="00CC6AB1">
        <w:rPr>
          <w:rFonts w:cs="汉仪大宋简" w:hint="eastAsia"/>
          <w:bCs/>
          <w:color w:val="auto"/>
        </w:rPr>
        <w:t>（一）能够担任被告单位诉讼代表人的人员范围及条件</w:t>
      </w:r>
      <w:bookmarkEnd w:id="14"/>
    </w:p>
    <w:p w14:paraId="4E9F7C24"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1.法定代表人、实际控制人或者主要负责人</w:t>
      </w:r>
    </w:p>
    <w:p w14:paraId="576A405A"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（1）积极条件：无特定前置条件（依职权担任）。</w:t>
      </w:r>
    </w:p>
    <w:p w14:paraId="22339D48" w14:textId="77777777" w:rsidR="00DD4F33" w:rsidRPr="00CC6AB1" w:rsidRDefault="00000000" w:rsidP="00CC6AB1">
      <w:pPr>
        <w:spacing w:line="240" w:lineRule="exact"/>
        <w:ind w:firstLineChars="130" w:firstLine="273"/>
        <w:contextualSpacing/>
        <w:rPr>
          <w:rFonts w:cs="汉仪大宋简" w:hint="eastAsia"/>
          <w:bCs/>
          <w:color w:val="EE0000"/>
        </w:rPr>
      </w:pPr>
      <w:r w:rsidRPr="00CC6AB1">
        <w:rPr>
          <w:rFonts w:cs="汉仪大宋简" w:hint="eastAsia"/>
          <w:bCs/>
          <w:color w:val="EE0000"/>
        </w:rPr>
        <w:t>（2）消极条件：</w:t>
      </w:r>
    </w:p>
    <w:p w14:paraId="31258BCE" w14:textId="77777777" w:rsidR="00DD4F33" w:rsidRPr="00CC6AB1" w:rsidRDefault="00000000" w:rsidP="00CC6AB1">
      <w:pPr>
        <w:spacing w:line="240" w:lineRule="exact"/>
        <w:ind w:firstLineChars="130" w:firstLine="273"/>
        <w:contextualSpacing/>
        <w:rPr>
          <w:rFonts w:cs="汉仪大宋简" w:hint="eastAsia"/>
          <w:bCs/>
          <w:color w:val="EE0000"/>
        </w:rPr>
      </w:pPr>
      <w:r w:rsidRPr="00CC6AB1">
        <w:rPr>
          <w:rFonts w:cs="汉仪大宋简" w:hint="eastAsia"/>
          <w:bCs/>
          <w:color w:val="EE0000"/>
        </w:rPr>
        <w:t>①被指控为单位犯罪直接负责的主管人员；</w:t>
      </w:r>
    </w:p>
    <w:p w14:paraId="08711D9B" w14:textId="77777777" w:rsidR="00DD4F33" w:rsidRPr="00CC6AB1" w:rsidRDefault="00000000" w:rsidP="00CC6AB1">
      <w:pPr>
        <w:spacing w:line="240" w:lineRule="exact"/>
        <w:ind w:firstLineChars="130" w:firstLine="273"/>
        <w:contextualSpacing/>
        <w:rPr>
          <w:rFonts w:cs="汉仪大宋简" w:hint="eastAsia"/>
          <w:bCs/>
          <w:color w:val="EE0000"/>
        </w:rPr>
      </w:pPr>
      <w:r w:rsidRPr="00CC6AB1">
        <w:rPr>
          <w:rFonts w:cs="汉仪大宋简" w:hint="eastAsia"/>
          <w:bCs/>
          <w:color w:val="EE0000"/>
        </w:rPr>
        <w:t>②因客观原因无法出庭。</w:t>
      </w:r>
    </w:p>
    <w:p w14:paraId="76896686"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2.其他负责人或者职工</w:t>
      </w:r>
    </w:p>
    <w:p w14:paraId="102F0AC2"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（1）积极条件：法定代表人、实际控制人、主要负责人无法担任诉讼代表人，由被告单位委托。</w:t>
      </w:r>
    </w:p>
    <w:p w14:paraId="77BC737D" w14:textId="77777777" w:rsidR="00DD4F33" w:rsidRPr="00CC6AB1" w:rsidRDefault="00000000" w:rsidP="00CC6AB1">
      <w:pPr>
        <w:spacing w:line="240" w:lineRule="exact"/>
        <w:ind w:firstLineChars="130" w:firstLine="273"/>
        <w:contextualSpacing/>
        <w:rPr>
          <w:rFonts w:cs="汉仪大宋简" w:hint="eastAsia"/>
          <w:bCs/>
          <w:color w:val="EE0000"/>
        </w:rPr>
      </w:pPr>
      <w:r w:rsidRPr="00CC6AB1">
        <w:rPr>
          <w:rFonts w:cs="汉仪大宋简" w:hint="eastAsia"/>
          <w:bCs/>
          <w:color w:val="EE0000"/>
        </w:rPr>
        <w:t>（2）消极条件：</w:t>
      </w:r>
    </w:p>
    <w:p w14:paraId="13A77966" w14:textId="77777777" w:rsidR="00DD4F33" w:rsidRPr="00CC6AB1" w:rsidRDefault="00000000" w:rsidP="00CC6AB1">
      <w:pPr>
        <w:spacing w:line="240" w:lineRule="exact"/>
        <w:ind w:firstLineChars="130" w:firstLine="273"/>
        <w:contextualSpacing/>
        <w:rPr>
          <w:rFonts w:cs="汉仪大宋简" w:hint="eastAsia"/>
          <w:bCs/>
          <w:color w:val="EE0000"/>
        </w:rPr>
      </w:pPr>
      <w:r w:rsidRPr="00CC6AB1">
        <w:rPr>
          <w:rFonts w:cs="汉仪大宋简" w:hint="eastAsia"/>
          <w:bCs/>
          <w:color w:val="EE0000"/>
        </w:rPr>
        <w:t>①被指控为单位犯罪的其他直接责任人员；</w:t>
      </w:r>
    </w:p>
    <w:p w14:paraId="1AE9029E" w14:textId="77777777" w:rsidR="00DD4F33" w:rsidRPr="00CC6AB1" w:rsidRDefault="00000000" w:rsidP="00CC6AB1">
      <w:pPr>
        <w:spacing w:line="240" w:lineRule="exact"/>
        <w:ind w:firstLineChars="130" w:firstLine="273"/>
        <w:contextualSpacing/>
        <w:rPr>
          <w:rFonts w:cs="汉仪大宋简" w:hint="eastAsia"/>
          <w:bCs/>
          <w:color w:val="EE0000"/>
        </w:rPr>
      </w:pPr>
      <w:r w:rsidRPr="00CC6AB1">
        <w:rPr>
          <w:rFonts w:cs="汉仪大宋简" w:hint="eastAsia"/>
          <w:bCs/>
          <w:color w:val="EE0000"/>
        </w:rPr>
        <w:t>②知道案件情况、负有作证义务。</w:t>
      </w:r>
    </w:p>
    <w:p w14:paraId="78162297"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3.被告单位委托律师等单位以外的人员</w:t>
      </w:r>
    </w:p>
    <w:p w14:paraId="0439E7BB"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（1）积极条件：前两类人员均无法担任的。</w:t>
      </w:r>
    </w:p>
    <w:p w14:paraId="68D7A646"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（2）消极条件：诉讼代表人不得同时担任被告单位或者被指控为单位犯罪直接责任人员的有关人员的辩护人。</w:t>
      </w:r>
    </w:p>
    <w:p w14:paraId="1AE363AA" w14:textId="77777777" w:rsidR="00DD4F33" w:rsidRPr="00CC6AB1" w:rsidRDefault="00000000" w:rsidP="00CC6AB1">
      <w:pPr>
        <w:spacing w:line="240" w:lineRule="exact"/>
        <w:ind w:firstLineChars="130" w:firstLine="273"/>
        <w:contextualSpacing/>
        <w:rPr>
          <w:rFonts w:cs="汉仪大宋简" w:hint="eastAsia"/>
          <w:bCs/>
          <w:color w:val="auto"/>
        </w:rPr>
      </w:pPr>
      <w:bookmarkStart w:id="15" w:name="_Toc510879111"/>
      <w:r w:rsidRPr="00CC6AB1">
        <w:rPr>
          <w:rFonts w:cs="汉仪大宋简" w:hint="eastAsia"/>
          <w:bCs/>
          <w:color w:val="auto"/>
        </w:rPr>
        <w:t>（二）被告单位诉讼代表人的出庭程序</w:t>
      </w:r>
      <w:bookmarkEnd w:id="15"/>
      <w:r w:rsidRPr="00CC6AB1">
        <w:rPr>
          <w:rFonts w:cs="汉仪大宋简" w:hint="eastAsia"/>
          <w:bCs/>
          <w:color w:val="auto"/>
        </w:rPr>
        <w:t>：</w:t>
      </w:r>
      <w:r w:rsidRPr="00CC6AB1">
        <w:rPr>
          <w:rFonts w:hint="eastAsia"/>
        </w:rPr>
        <w:t>诉讼代表人系被告单位的法定代表人、实际控制人或者主要负责人，无正当理由拒不出庭的可以拘传其到庭；因客观原因无法出庭或下落不明的要求人民检察院另行确定诉讼代表人</w:t>
      </w:r>
    </w:p>
    <w:p w14:paraId="20734342"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lastRenderedPageBreak/>
        <w:t>（三）对单位被告的追加起诉</w:t>
      </w:r>
    </w:p>
    <w:p w14:paraId="00E7EDEF" w14:textId="77777777" w:rsidR="00DD4F33" w:rsidRPr="00CC6AB1" w:rsidRDefault="00000000" w:rsidP="00CC6AB1">
      <w:pPr>
        <w:spacing w:line="240" w:lineRule="exact"/>
        <w:ind w:firstLineChars="200" w:firstLine="420"/>
        <w:contextualSpacing/>
        <w:rPr>
          <w:rFonts w:hint="eastAsia"/>
        </w:rPr>
      </w:pPr>
      <w:r w:rsidRPr="00CC6AB1">
        <w:rPr>
          <w:rFonts w:hint="eastAsia"/>
          <w:color w:val="auto"/>
        </w:rPr>
        <w:t>对应当认定为单位犯罪的案件，人民检察院只作为自然人犯罪起诉的，人民法院应当建议人民检察院对犯罪单位追加起诉。人民检察院</w:t>
      </w:r>
      <w:r w:rsidRPr="00CC6AB1">
        <w:rPr>
          <w:rFonts w:hint="eastAsia"/>
        </w:rPr>
        <w:t>仍以自然人犯罪起诉的，人民法院应当依法审理，</w:t>
      </w:r>
      <w:r w:rsidRPr="00CC6AB1">
        <w:rPr>
          <w:rFonts w:hint="eastAsia"/>
          <w:color w:val="B00824"/>
        </w:rPr>
        <w:t>按照单位犯罪直接负责的主管人员或者其他直接责任人员追究刑事责任，并援引刑法分则关于追究单位犯罪中直接负责的主管人员和其他直接责任员刑事责任的条款</w:t>
      </w:r>
      <w:r w:rsidRPr="00CC6AB1">
        <w:rPr>
          <w:rFonts w:hint="eastAsia"/>
        </w:rPr>
        <w:t>。</w:t>
      </w:r>
    </w:p>
    <w:p w14:paraId="5C9F8AB7" w14:textId="77777777" w:rsidR="00DD4F33" w:rsidRPr="00CC6AB1" w:rsidRDefault="00000000" w:rsidP="00CC6AB1">
      <w:pPr>
        <w:spacing w:line="240" w:lineRule="exact"/>
        <w:ind w:firstLineChars="130" w:firstLine="273"/>
        <w:contextualSpacing/>
        <w:rPr>
          <w:rFonts w:cs="汉仪大宋简" w:hint="eastAsia"/>
          <w:bCs/>
          <w:color w:val="FF0000"/>
        </w:rPr>
      </w:pPr>
      <w:bookmarkStart w:id="16" w:name="_Toc510879114"/>
      <w:r w:rsidRPr="00CC6AB1">
        <w:rPr>
          <w:rFonts w:cs="汉仪大宋简" w:hint="eastAsia"/>
          <w:bCs/>
          <w:color w:val="auto"/>
        </w:rPr>
        <w:t>（四）</w:t>
      </w:r>
      <w:r w:rsidRPr="00CC6AB1">
        <w:rPr>
          <w:rFonts w:cs="汉仪大宋简" w:hint="eastAsia"/>
          <w:bCs/>
          <w:color w:val="FF0000"/>
        </w:rPr>
        <w:t>被告单位发生变化的处理</w:t>
      </w:r>
      <w:bookmarkEnd w:id="16"/>
    </w:p>
    <w:p w14:paraId="6F9984B7"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《法院解释》第三百四十四条 审判期间，被告单位被吊销营业执照、宣告破产但尚未完成清算、注销登记的，应当继续审理；被告单位被撤销、注销的，对单位犯罪直接负责的主管人员和其他直接责任人员应当继续审理。</w:t>
      </w:r>
    </w:p>
    <w:p w14:paraId="6F855DE8" w14:textId="77777777" w:rsidR="00DD4F33" w:rsidRPr="00CC6AB1" w:rsidRDefault="00000000" w:rsidP="00CC6AB1">
      <w:pPr>
        <w:spacing w:line="240" w:lineRule="exact"/>
        <w:ind w:firstLineChars="130" w:firstLine="273"/>
        <w:contextualSpacing/>
        <w:rPr>
          <w:rFonts w:cs="汉仪大宋简" w:hint="eastAsia"/>
          <w:bCs/>
          <w:color w:val="auto"/>
        </w:rPr>
      </w:pPr>
      <w:r w:rsidRPr="00CC6AB1">
        <w:rPr>
          <w:rFonts w:cs="汉仪大宋简" w:hint="eastAsia"/>
          <w:bCs/>
          <w:color w:val="auto"/>
        </w:rPr>
        <w:t>《法院解释》第三百四十五条 审判期间，被告单位合并、分立的，应当将原单位列为被告单位，并注明合并、分立情况。对被告单位所判处的罚金以其在新单位的财产及收益为限。</w:t>
      </w:r>
    </w:p>
    <w:p w14:paraId="7F93D1D8" w14:textId="0B5A2E51" w:rsidR="00DD4F33" w:rsidRPr="00CC6AB1" w:rsidRDefault="00000000" w:rsidP="00CC6AB1">
      <w:pPr>
        <w:pStyle w:val="1"/>
        <w:spacing w:before="0" w:after="0" w:line="240" w:lineRule="exact"/>
        <w:contextualSpacing/>
        <w:jc w:val="center"/>
        <w:rPr>
          <w:rFonts w:ascii="宋体" w:hAnsi="宋体" w:cs="汉仪大宋简" w:hint="eastAsia"/>
          <w:sz w:val="21"/>
          <w:szCs w:val="21"/>
        </w:rPr>
      </w:pPr>
      <w:r w:rsidRPr="00CC6AB1">
        <w:rPr>
          <w:rFonts w:ascii="宋体" w:hAnsi="宋体" w:cs="汉仪大宋简" w:hint="eastAsia"/>
          <w:sz w:val="21"/>
          <w:szCs w:val="21"/>
        </w:rPr>
        <w:t>专题七</w:t>
      </w:r>
      <w:r w:rsidRPr="00CC6AB1">
        <w:rPr>
          <w:rFonts w:ascii="宋体" w:hAnsi="宋体" w:cs="汉仪大宋简"/>
          <w:sz w:val="21"/>
          <w:szCs w:val="21"/>
        </w:rPr>
        <w:t xml:space="preserve">  </w:t>
      </w:r>
      <w:r w:rsidRPr="00CC6AB1">
        <w:rPr>
          <w:rFonts w:ascii="宋体" w:hAnsi="宋体" w:cs="汉仪大宋简" w:hint="eastAsia"/>
          <w:sz w:val="21"/>
          <w:szCs w:val="21"/>
        </w:rPr>
        <w:t>认罪认罚从宽制度、速裁程序</w:t>
      </w:r>
      <w:bookmarkEnd w:id="0"/>
      <w:r w:rsidRPr="00CC6AB1">
        <w:rPr>
          <w:rFonts w:ascii="宋体" w:hAnsi="宋体" w:cs="汉仪大宋简" w:hint="eastAsia"/>
          <w:sz w:val="21"/>
          <w:szCs w:val="21"/>
        </w:rPr>
        <w:t>与简易程序</w:t>
      </w:r>
      <w:bookmarkEnd w:id="1"/>
      <w:bookmarkEnd w:id="2"/>
      <w:r w:rsidRPr="00CC6AB1">
        <w:rPr>
          <w:rFonts w:ascii="宋体" w:hAnsi="宋体" w:cs="汉仪大宋简" w:hint="eastAsia"/>
          <w:sz w:val="21"/>
          <w:szCs w:val="21"/>
        </w:rPr>
        <w:t>（</w:t>
      </w:r>
      <w:r w:rsidR="00590B0D" w:rsidRPr="00CC6AB1">
        <w:rPr>
          <w:rFonts w:ascii="宋体" w:hAnsi="宋体" w:cs="汉仪大宋简" w:hint="eastAsia"/>
          <w:sz w:val="21"/>
          <w:szCs w:val="21"/>
        </w:rPr>
        <w:t>21</w:t>
      </w:r>
      <w:r w:rsidRPr="00CC6AB1">
        <w:rPr>
          <w:rFonts w:ascii="宋体" w:hAnsi="宋体" w:cs="汉仪大宋简"/>
          <w:sz w:val="21"/>
          <w:szCs w:val="21"/>
        </w:rPr>
        <w:t>:</w:t>
      </w:r>
      <w:r w:rsidR="007F0E9A" w:rsidRPr="00CC6AB1">
        <w:rPr>
          <w:rFonts w:ascii="宋体" w:hAnsi="宋体" w:cs="汉仪大宋简" w:hint="eastAsia"/>
          <w:sz w:val="21"/>
          <w:szCs w:val="21"/>
        </w:rPr>
        <w:t>51</w:t>
      </w:r>
      <w:r w:rsidRPr="00CC6AB1">
        <w:rPr>
          <w:rFonts w:ascii="宋体" w:hAnsi="宋体" w:cs="汉仪大宋简"/>
          <w:sz w:val="21"/>
          <w:szCs w:val="21"/>
        </w:rPr>
        <w:t>:00-</w:t>
      </w:r>
      <w:r w:rsidR="00700FF2">
        <w:rPr>
          <w:rFonts w:ascii="宋体" w:hAnsi="宋体" w:cs="汉仪大宋简" w:hint="eastAsia"/>
          <w:sz w:val="21"/>
          <w:szCs w:val="21"/>
        </w:rPr>
        <w:t>22</w:t>
      </w:r>
      <w:r w:rsidRPr="00CC6AB1">
        <w:rPr>
          <w:rFonts w:ascii="宋体" w:hAnsi="宋体" w:cs="汉仪大宋简"/>
          <w:sz w:val="21"/>
          <w:szCs w:val="21"/>
        </w:rPr>
        <w:t>:</w:t>
      </w:r>
      <w:r w:rsidRPr="00CC6AB1">
        <w:rPr>
          <w:rFonts w:ascii="宋体" w:hAnsi="宋体" w:cs="汉仪大宋简" w:hint="eastAsia"/>
          <w:sz w:val="21"/>
          <w:szCs w:val="21"/>
        </w:rPr>
        <w:t>3</w:t>
      </w:r>
      <w:r w:rsidR="00700FF2">
        <w:rPr>
          <w:rFonts w:ascii="宋体" w:hAnsi="宋体" w:cs="汉仪大宋简" w:hint="eastAsia"/>
          <w:sz w:val="21"/>
          <w:szCs w:val="21"/>
        </w:rPr>
        <w:t>2</w:t>
      </w:r>
      <w:r w:rsidRPr="00CC6AB1">
        <w:rPr>
          <w:rFonts w:ascii="宋体" w:hAnsi="宋体" w:cs="汉仪大宋简"/>
          <w:sz w:val="21"/>
          <w:szCs w:val="21"/>
        </w:rPr>
        <w:t>:00）</w:t>
      </w:r>
    </w:p>
    <w:p w14:paraId="485E8A8B" w14:textId="2D9A4867" w:rsidR="00D124A8" w:rsidRDefault="00540AC3" w:rsidP="00CC6AB1">
      <w:pPr>
        <w:spacing w:line="240" w:lineRule="exact"/>
        <w:ind w:firstLineChars="200" w:firstLine="420"/>
        <w:contextualSpacing/>
        <w:jc w:val="left"/>
        <w:rPr>
          <w:rFonts w:cs="汉仪大宋简" w:hint="eastAsia"/>
          <w:bCs/>
          <w:color w:val="auto"/>
        </w:rPr>
      </w:pPr>
      <w:r>
        <w:rPr>
          <w:rFonts w:cs="汉仪大宋简" w:hint="eastAsia"/>
          <w:bCs/>
          <w:color w:val="auto"/>
        </w:rPr>
        <w:t>一、</w:t>
      </w:r>
      <w:r w:rsidR="00D124A8">
        <w:rPr>
          <w:rFonts w:cs="汉仪大宋简" w:hint="eastAsia"/>
          <w:bCs/>
          <w:color w:val="auto"/>
        </w:rPr>
        <w:t>认罪认罚从宽</w:t>
      </w:r>
    </w:p>
    <w:p w14:paraId="64E6442D" w14:textId="0BC45AD6" w:rsidR="00DD4F33" w:rsidRPr="00CC6AB1" w:rsidRDefault="00D124A8" w:rsidP="00CC6AB1">
      <w:pPr>
        <w:spacing w:line="240" w:lineRule="exact"/>
        <w:ind w:firstLineChars="200" w:firstLine="420"/>
        <w:contextualSpacing/>
        <w:jc w:val="left"/>
        <w:rPr>
          <w:rFonts w:cs="汉仪大宋简" w:hint="eastAsia"/>
          <w:bCs/>
          <w:color w:val="auto"/>
        </w:rPr>
      </w:pPr>
      <w:r>
        <w:rPr>
          <w:rFonts w:cs="汉仪大宋简" w:hint="eastAsia"/>
          <w:bCs/>
          <w:color w:val="auto"/>
        </w:rPr>
        <w:t>（一）</w:t>
      </w:r>
      <w:r w:rsidRPr="00CC6AB1">
        <w:rPr>
          <w:rFonts w:cs="汉仪大宋简" w:hint="eastAsia"/>
          <w:bCs/>
          <w:color w:val="auto"/>
        </w:rPr>
        <w:t>被害方的权益保障</w:t>
      </w:r>
    </w:p>
    <w:p w14:paraId="70D26429" w14:textId="6E6A24B7" w:rsidR="00DD4F33" w:rsidRPr="00CC6AB1" w:rsidRDefault="00D124A8" w:rsidP="00CC6AB1">
      <w:pPr>
        <w:spacing w:line="240" w:lineRule="exact"/>
        <w:ind w:firstLineChars="200" w:firstLine="420"/>
        <w:contextualSpacing/>
        <w:rPr>
          <w:rFonts w:cs="Times New Roman" w:hint="eastAsia"/>
          <w:color w:val="FF0000"/>
          <w:spacing w:val="-3"/>
        </w:rPr>
      </w:pPr>
      <w:r>
        <w:rPr>
          <w:rFonts w:cs="汉仪大宋简" w:hint="eastAsia"/>
          <w:bCs/>
          <w:color w:val="auto"/>
        </w:rPr>
        <w:t>1.</w:t>
      </w:r>
      <w:r w:rsidRPr="00CC6AB1">
        <w:rPr>
          <w:rFonts w:cs="汉仪大宋简"/>
          <w:bCs/>
          <w:color w:val="auto"/>
        </w:rPr>
        <w:t>听取意见</w:t>
      </w:r>
    </w:p>
    <w:p w14:paraId="525975B9" w14:textId="77777777" w:rsidR="00DD4F33" w:rsidRPr="00CC6AB1" w:rsidRDefault="00000000" w:rsidP="00CC6AB1">
      <w:pPr>
        <w:spacing w:line="240" w:lineRule="exact"/>
        <w:ind w:firstLineChars="200" w:firstLine="420"/>
        <w:contextualSpacing/>
        <w:rPr>
          <w:rFonts w:cs="Times New Roman" w:hint="eastAsia"/>
          <w:color w:val="FF0000"/>
          <w:spacing w:val="-3"/>
        </w:rPr>
      </w:pPr>
      <w:r w:rsidRPr="00CC6AB1">
        <w:rPr>
          <w:color w:val="B00824"/>
        </w:rPr>
        <w:t>应当听取被害人及其诉讼代理人的意见</w:t>
      </w:r>
      <w:r w:rsidRPr="00CC6AB1">
        <w:t>，并将犯罪嫌疑人、被告人是否与被害方达成和解协议、调解协议或者赔偿被害方损失，取得被害方谅解，作为从宽处罚的重要考虑因素。</w:t>
      </w:r>
    </w:p>
    <w:p w14:paraId="4D062BB9" w14:textId="1B13638E" w:rsidR="00DD4F33" w:rsidRPr="00CC6AB1" w:rsidRDefault="00D124A8" w:rsidP="00CC6AB1">
      <w:pPr>
        <w:spacing w:line="240" w:lineRule="exact"/>
        <w:ind w:firstLineChars="200" w:firstLine="420"/>
        <w:contextualSpacing/>
        <w:rPr>
          <w:rFonts w:cs="汉仪大宋简" w:hint="eastAsia"/>
          <w:bCs/>
          <w:color w:val="auto"/>
        </w:rPr>
      </w:pPr>
      <w:r>
        <w:rPr>
          <w:rFonts w:cs="汉仪大宋简" w:hint="eastAsia"/>
          <w:bCs/>
          <w:color w:val="auto"/>
        </w:rPr>
        <w:t>2.</w:t>
      </w:r>
      <w:r w:rsidRPr="00CC6AB1">
        <w:rPr>
          <w:rFonts w:cs="汉仪大宋简"/>
          <w:bCs/>
          <w:color w:val="auto"/>
        </w:rPr>
        <w:t>被害方异议的处理</w:t>
      </w:r>
      <w:r w:rsidRPr="00CC6AB1">
        <w:rPr>
          <w:rFonts w:cs="汉仪大宋简" w:hint="eastAsia"/>
          <w:bCs/>
          <w:color w:val="auto"/>
        </w:rPr>
        <w:t>：</w:t>
      </w:r>
      <w:r w:rsidRPr="00CC6AB1">
        <w:rPr>
          <w:color w:val="B00824"/>
        </w:rPr>
        <w:t>不影响认罪认罚从宽制度的适用</w:t>
      </w:r>
      <w:r w:rsidRPr="00CC6AB1">
        <w:t>。</w:t>
      </w:r>
    </w:p>
    <w:p w14:paraId="1C45DBBF" w14:textId="0356E8F9" w:rsidR="00DD4F33" w:rsidRPr="00CC6AB1" w:rsidRDefault="00D124A8" w:rsidP="00CC6AB1">
      <w:pPr>
        <w:spacing w:line="240" w:lineRule="exact"/>
        <w:ind w:firstLineChars="200" w:firstLine="420"/>
        <w:contextualSpacing/>
        <w:jc w:val="left"/>
        <w:rPr>
          <w:rFonts w:cs="汉仪大宋简" w:hint="eastAsia"/>
          <w:bCs/>
          <w:color w:val="auto"/>
        </w:rPr>
      </w:pPr>
      <w:r>
        <w:rPr>
          <w:rFonts w:cs="汉仪大宋简" w:hint="eastAsia"/>
          <w:bCs/>
          <w:color w:val="auto"/>
        </w:rPr>
        <w:t>（二）</w:t>
      </w:r>
      <w:r w:rsidRPr="00CC6AB1">
        <w:rPr>
          <w:rFonts w:cs="汉仪大宋简" w:hint="eastAsia"/>
          <w:bCs/>
          <w:color w:val="auto"/>
        </w:rPr>
        <w:t>审查起诉阶段认罪认罚的程序</w:t>
      </w:r>
    </w:p>
    <w:p w14:paraId="3F0BFFE9" w14:textId="0692AC79" w:rsidR="00DD4F33" w:rsidRPr="00CC6AB1" w:rsidRDefault="00D124A8" w:rsidP="00CC6AB1">
      <w:pPr>
        <w:spacing w:line="240" w:lineRule="exact"/>
        <w:ind w:firstLineChars="200" w:firstLine="420"/>
        <w:contextualSpacing/>
        <w:rPr>
          <w:rFonts w:cs="汉仪大宋简" w:hint="eastAsia"/>
          <w:bCs/>
          <w:color w:val="auto"/>
        </w:rPr>
      </w:pPr>
      <w:r>
        <w:rPr>
          <w:rFonts w:cs="汉仪大宋简" w:hint="eastAsia"/>
          <w:bCs/>
          <w:color w:val="auto"/>
        </w:rPr>
        <w:t>1.</w:t>
      </w:r>
      <w:r w:rsidRPr="00CC6AB1">
        <w:rPr>
          <w:rFonts w:cs="汉仪大宋简"/>
          <w:bCs/>
          <w:color w:val="auto"/>
        </w:rPr>
        <w:t>听取意见</w:t>
      </w:r>
    </w:p>
    <w:p w14:paraId="4A656499" w14:textId="6EB4E8B7" w:rsidR="00DD4F33" w:rsidRPr="00CC6AB1" w:rsidRDefault="00000000" w:rsidP="00CC6AB1">
      <w:pPr>
        <w:spacing w:line="240" w:lineRule="exact"/>
        <w:ind w:firstLineChars="200" w:firstLine="420"/>
        <w:contextualSpacing/>
        <w:rPr>
          <w:rFonts w:cs="Times New Roman" w:hint="eastAsia"/>
          <w:color w:val="auto"/>
        </w:rPr>
      </w:pPr>
      <w:r w:rsidRPr="00CC6AB1">
        <w:rPr>
          <w:rFonts w:cs="Times New Roman"/>
        </w:rPr>
        <w:t>犯罪嫌疑人认罪认罚的，人民检察院应当就下列事项听取犯罪嫌疑人、辩护人或者值班律师的意见，记录</w:t>
      </w:r>
      <w:r w:rsidRPr="00CC6AB1">
        <w:rPr>
          <w:rFonts w:cs="Times New Roman"/>
          <w:color w:val="auto"/>
        </w:rPr>
        <w:t>在案并附卷：</w:t>
      </w:r>
      <w:r w:rsidR="00D124A8">
        <w:rPr>
          <w:rFonts w:hint="eastAsia"/>
          <w:color w:val="auto"/>
        </w:rPr>
        <w:t>（1）</w:t>
      </w:r>
      <w:r w:rsidRPr="00CC6AB1">
        <w:rPr>
          <w:color w:val="auto"/>
        </w:rPr>
        <w:t>涉嫌的犯罪事实、罪名及适用的法律规定</w:t>
      </w:r>
      <w:r w:rsidRPr="00CC6AB1">
        <w:rPr>
          <w:rFonts w:hint="eastAsia"/>
          <w:color w:val="auto"/>
        </w:rPr>
        <w:t>；</w:t>
      </w:r>
      <w:r w:rsidR="00D124A8">
        <w:rPr>
          <w:rFonts w:hint="eastAsia"/>
          <w:color w:val="auto"/>
        </w:rPr>
        <w:t>（2）</w:t>
      </w:r>
      <w:r w:rsidRPr="00CC6AB1">
        <w:rPr>
          <w:color w:val="auto"/>
        </w:rPr>
        <w:t>从轻、减轻或者免除处罚等从宽处罚的建议</w:t>
      </w:r>
      <w:r w:rsidRPr="00CC6AB1">
        <w:rPr>
          <w:rFonts w:hint="eastAsia"/>
          <w:color w:val="auto"/>
        </w:rPr>
        <w:t>；</w:t>
      </w:r>
      <w:r w:rsidR="00D124A8">
        <w:rPr>
          <w:rFonts w:hint="eastAsia"/>
          <w:color w:val="auto"/>
        </w:rPr>
        <w:t>（3）</w:t>
      </w:r>
      <w:r w:rsidRPr="00CC6AB1">
        <w:rPr>
          <w:color w:val="auto"/>
        </w:rPr>
        <w:t>认罪认罚后案件审理适用的程序</w:t>
      </w:r>
      <w:r w:rsidRPr="00CC6AB1">
        <w:rPr>
          <w:rFonts w:hint="eastAsia"/>
          <w:color w:val="auto"/>
        </w:rPr>
        <w:t>；</w:t>
      </w:r>
      <w:r w:rsidR="00D124A8">
        <w:rPr>
          <w:rFonts w:hint="eastAsia"/>
          <w:color w:val="auto"/>
        </w:rPr>
        <w:t>（4）</w:t>
      </w:r>
      <w:r w:rsidRPr="00CC6AB1">
        <w:rPr>
          <w:color w:val="auto"/>
        </w:rPr>
        <w:t>其他需要听取意见的情形。</w:t>
      </w:r>
      <w:r w:rsidRPr="00CC6AB1">
        <w:rPr>
          <w:rFonts w:cs="Times New Roman" w:hint="eastAsia"/>
          <w:color w:val="auto"/>
        </w:rPr>
        <w:t>人民检察院未采纳辩护人、值班律师意见的，应当说明理由。</w:t>
      </w:r>
    </w:p>
    <w:p w14:paraId="2ED126BD" w14:textId="201770DE" w:rsidR="00DD4F33" w:rsidRPr="00CC6AB1" w:rsidRDefault="00D124A8" w:rsidP="00CC6AB1">
      <w:pPr>
        <w:spacing w:line="240" w:lineRule="exact"/>
        <w:ind w:firstLineChars="200" w:firstLine="420"/>
        <w:contextualSpacing/>
        <w:rPr>
          <w:rFonts w:cs="汉仪大宋简" w:hint="eastAsia"/>
          <w:bCs/>
          <w:color w:val="FF0000"/>
        </w:rPr>
      </w:pPr>
      <w:r>
        <w:rPr>
          <w:rFonts w:cs="汉仪大宋简" w:hint="eastAsia"/>
          <w:bCs/>
          <w:color w:val="FF0000"/>
        </w:rPr>
        <w:t>2.</w:t>
      </w:r>
      <w:r w:rsidRPr="00CC6AB1">
        <w:rPr>
          <w:rFonts w:cs="汉仪大宋简"/>
          <w:bCs/>
          <w:color w:val="FF0000"/>
        </w:rPr>
        <w:t>签署具结书</w:t>
      </w:r>
    </w:p>
    <w:p w14:paraId="28C7DC61" w14:textId="200FB832" w:rsidR="00DD4F33" w:rsidRPr="00CC6AB1" w:rsidRDefault="00000000" w:rsidP="00CC6AB1">
      <w:pPr>
        <w:spacing w:line="240" w:lineRule="exact"/>
        <w:ind w:firstLineChars="200" w:firstLine="420"/>
        <w:contextualSpacing/>
        <w:rPr>
          <w:rFonts w:cs="Times New Roman" w:hint="eastAsia"/>
        </w:rPr>
      </w:pPr>
      <w:r w:rsidRPr="00CC6AB1">
        <w:rPr>
          <w:rFonts w:cs="Times New Roman"/>
          <w:color w:val="auto"/>
        </w:rPr>
        <w:t>犯罪嫌疑人自愿认罪，同意量刑建议和程序适用的，应当在辩护人或者值班律师在场的情况下签署认罪认罚具结书。犯罪嫌疑人被羁押的，看守所应当为签署具结书提供场所。</w:t>
      </w:r>
      <w:r w:rsidRPr="00CC6AB1">
        <w:rPr>
          <w:rFonts w:cs="Times New Roman"/>
          <w:color w:val="B00824"/>
        </w:rPr>
        <w:t>具结书应当包括犯罪嫌疑人如实供述罪行、同意量刑建议、程序适用等内容，由犯罪嫌疑人、辩护人或者值班律师签名</w:t>
      </w:r>
      <w:r w:rsidRPr="00CC6AB1">
        <w:rPr>
          <w:rFonts w:cs="Times New Roman"/>
        </w:rPr>
        <w:t>。</w:t>
      </w:r>
      <w:r w:rsidRPr="00CC6AB1">
        <w:rPr>
          <w:rFonts w:cs="Times New Roman" w:hint="eastAsia"/>
        </w:rPr>
        <w:t>犯罪嫌疑人认罪认罚，有下列情形之一的，不需要签署认罪认罚具结书：</w:t>
      </w:r>
      <w:r w:rsidR="00D124A8">
        <w:rPr>
          <w:rFonts w:cs="Times New Roman" w:hint="eastAsia"/>
        </w:rPr>
        <w:t>（1）</w:t>
      </w:r>
      <w:r w:rsidRPr="00CC6AB1">
        <w:rPr>
          <w:rFonts w:cs="Times New Roman"/>
        </w:rPr>
        <w:t>犯罪嫌疑人是盲、聋、哑人，或者是尚未完全丧失辨认或者控制自己行为能力的精神病人的</w:t>
      </w:r>
      <w:r w:rsidRPr="00CC6AB1">
        <w:rPr>
          <w:rFonts w:cs="Times New Roman" w:hint="eastAsia"/>
        </w:rPr>
        <w:t>；</w:t>
      </w:r>
      <w:r w:rsidR="00D124A8">
        <w:rPr>
          <w:rFonts w:cs="Times New Roman" w:hint="eastAsia"/>
        </w:rPr>
        <w:t>（2）</w:t>
      </w:r>
      <w:r w:rsidRPr="00CC6AB1">
        <w:rPr>
          <w:rFonts w:cs="Times New Roman"/>
        </w:rPr>
        <w:t>未成年犯罪嫌疑人的法定代理人、辩护人对未成年人认罪认罚有异议的</w:t>
      </w:r>
      <w:r w:rsidRPr="00CC6AB1">
        <w:rPr>
          <w:rFonts w:cs="Times New Roman" w:hint="eastAsia"/>
        </w:rPr>
        <w:t>；</w:t>
      </w:r>
      <w:r w:rsidR="00D124A8">
        <w:rPr>
          <w:rFonts w:cs="Times New Roman" w:hint="eastAsia"/>
        </w:rPr>
        <w:t>（3）</w:t>
      </w:r>
      <w:r w:rsidRPr="00CC6AB1">
        <w:rPr>
          <w:rFonts w:cs="Times New Roman"/>
        </w:rPr>
        <w:t>其他不需要签署认罪认罚具结书的情形。</w:t>
      </w:r>
      <w:r w:rsidRPr="00CC6AB1">
        <w:rPr>
          <w:rFonts w:cs="Times New Roman" w:hint="eastAsia"/>
          <w:color w:val="B00824"/>
        </w:rPr>
        <w:t>上述情形犯罪嫌疑人未签署认罪认罚具结书的，不影响认罪认罚从宽制度的适用</w:t>
      </w:r>
      <w:r w:rsidRPr="00CC6AB1">
        <w:rPr>
          <w:rFonts w:cs="Times New Roman" w:hint="eastAsia"/>
        </w:rPr>
        <w:t>。</w:t>
      </w:r>
    </w:p>
    <w:p w14:paraId="165E462A" w14:textId="77777777" w:rsidR="00DD4F33" w:rsidRPr="00CC6AB1" w:rsidRDefault="00000000" w:rsidP="00CC6AB1">
      <w:pPr>
        <w:spacing w:line="240" w:lineRule="exact"/>
        <w:ind w:firstLineChars="200" w:firstLine="420"/>
        <w:contextualSpacing/>
        <w:rPr>
          <w:rFonts w:cs="Times New Roman" w:hint="eastAsia"/>
        </w:rPr>
      </w:pPr>
      <w:r w:rsidRPr="00CC6AB1">
        <w:rPr>
          <w:rFonts w:cs="Times New Roman" w:hint="eastAsia"/>
        </w:rPr>
        <w:t>犯罪嫌疑人有辩护人的，应当由辩护人在场见证具结并签字，不得绕开辩护人安排值班律师代为见证具结。辩护人确因客观原因无法到场的，可以通过远程视频方式见证具结。</w:t>
      </w:r>
    </w:p>
    <w:p w14:paraId="39B67354" w14:textId="44E06700" w:rsidR="00DD4F33" w:rsidRPr="00CC6AB1" w:rsidRDefault="00D124A8" w:rsidP="00CC6AB1">
      <w:pPr>
        <w:spacing w:line="240" w:lineRule="exact"/>
        <w:ind w:firstLineChars="200" w:firstLine="420"/>
        <w:contextualSpacing/>
        <w:rPr>
          <w:rFonts w:cs="汉仪大宋简" w:hint="eastAsia"/>
          <w:bCs/>
          <w:color w:val="auto"/>
        </w:rPr>
      </w:pPr>
      <w:r>
        <w:rPr>
          <w:rFonts w:cs="汉仪大宋简" w:hint="eastAsia"/>
          <w:bCs/>
          <w:color w:val="auto"/>
        </w:rPr>
        <w:t>3.</w:t>
      </w:r>
      <w:r w:rsidRPr="00CC6AB1">
        <w:rPr>
          <w:rFonts w:cs="汉仪大宋简"/>
          <w:bCs/>
          <w:color w:val="auto"/>
        </w:rPr>
        <w:t>量刑建议的提出</w:t>
      </w:r>
    </w:p>
    <w:p w14:paraId="27732E97" w14:textId="77777777" w:rsidR="00DD4F33" w:rsidRPr="00CC6AB1" w:rsidRDefault="00000000" w:rsidP="00CC6AB1">
      <w:pPr>
        <w:spacing w:line="240" w:lineRule="exact"/>
        <w:ind w:firstLineChars="200" w:firstLine="420"/>
        <w:contextualSpacing/>
        <w:rPr>
          <w:rFonts w:cs="Times New Roman" w:hint="eastAsia"/>
        </w:rPr>
      </w:pPr>
      <w:r w:rsidRPr="00CC6AB1">
        <w:rPr>
          <w:rFonts w:cs="Times New Roman"/>
        </w:rPr>
        <w:t>犯罪嫌疑人认罪认罚的，人民检察院</w:t>
      </w:r>
      <w:r w:rsidRPr="00CC6AB1">
        <w:rPr>
          <w:rFonts w:cs="Times New Roman"/>
          <w:color w:val="B00824"/>
        </w:rPr>
        <w:t>应当就主刑、附加刑、是否适用缓刑等提出量刑建议</w:t>
      </w:r>
      <w:r w:rsidRPr="00CC6AB1">
        <w:rPr>
          <w:rFonts w:cs="Times New Roman"/>
        </w:rPr>
        <w:t>。人民检察院提出量刑建议前，应当充分听取犯罪嫌疑人、辩护人或者值班律师的意见，尽量协商一致。</w:t>
      </w:r>
      <w:r w:rsidRPr="00CC6AB1">
        <w:rPr>
          <w:rFonts w:cs="Times New Roman" w:hint="eastAsia"/>
          <w:color w:val="B00824"/>
        </w:rPr>
        <w:t>人民检察院一般应当提出确定刑量刑建议</w:t>
      </w:r>
      <w:r w:rsidRPr="00CC6AB1">
        <w:rPr>
          <w:rFonts w:cs="Times New Roman" w:hint="eastAsia"/>
        </w:rPr>
        <w:t>。对新类型、不常见犯罪案件，量刑情节复杂的重罪案件等，也可以提出幅度刑量刑建议。提出量刑建议，应当按照有关规定对听取意见情况进行同步录音录像。</w:t>
      </w:r>
    </w:p>
    <w:p w14:paraId="087876B9" w14:textId="642924BF" w:rsidR="00DD4F33" w:rsidRPr="00CC6AB1" w:rsidRDefault="00D124A8" w:rsidP="00CC6AB1">
      <w:pPr>
        <w:spacing w:line="240" w:lineRule="exact"/>
        <w:ind w:firstLineChars="200" w:firstLine="422"/>
        <w:contextualSpacing/>
        <w:jc w:val="left"/>
        <w:rPr>
          <w:rFonts w:cs="汉仪大宋简" w:hint="eastAsia"/>
          <w:b/>
          <w:color w:val="auto"/>
        </w:rPr>
      </w:pPr>
      <w:r>
        <w:rPr>
          <w:rFonts w:cs="汉仪大宋简" w:hint="eastAsia"/>
          <w:b/>
          <w:color w:val="auto"/>
        </w:rPr>
        <w:t>（三）</w:t>
      </w:r>
      <w:r w:rsidRPr="00CC6AB1">
        <w:rPr>
          <w:rFonts w:cs="汉仪大宋简" w:hint="eastAsia"/>
          <w:b/>
          <w:color w:val="auto"/>
        </w:rPr>
        <w:t>审判阶段认罪认罚的程序</w:t>
      </w:r>
    </w:p>
    <w:p w14:paraId="106F3F69" w14:textId="5D833CAD" w:rsidR="00DD4F33" w:rsidRPr="00CC6AB1" w:rsidRDefault="00D124A8" w:rsidP="00CC6AB1">
      <w:pPr>
        <w:spacing w:line="240" w:lineRule="exact"/>
        <w:ind w:firstLineChars="200" w:firstLine="420"/>
        <w:contextualSpacing/>
        <w:rPr>
          <w:rFonts w:cs="汉仪大宋简" w:hint="eastAsia"/>
          <w:bCs/>
          <w:color w:val="auto"/>
        </w:rPr>
      </w:pPr>
      <w:r>
        <w:rPr>
          <w:rFonts w:cs="汉仪大宋简" w:hint="eastAsia"/>
          <w:bCs/>
          <w:color w:val="auto"/>
        </w:rPr>
        <w:t>1.</w:t>
      </w:r>
      <w:r w:rsidRPr="00CC6AB1">
        <w:rPr>
          <w:rFonts w:cs="汉仪大宋简"/>
          <w:bCs/>
          <w:color w:val="auto"/>
        </w:rPr>
        <w:t>量刑建议的采纳</w:t>
      </w:r>
    </w:p>
    <w:p w14:paraId="16E050B6" w14:textId="5A499EE5" w:rsidR="00DD4F33" w:rsidRPr="00CC6AB1" w:rsidRDefault="00000000" w:rsidP="00CC6AB1">
      <w:pPr>
        <w:spacing w:line="240" w:lineRule="exact"/>
        <w:ind w:firstLineChars="200" w:firstLine="420"/>
        <w:contextualSpacing/>
        <w:rPr>
          <w:rFonts w:cs="Times New Roman" w:hint="eastAsia"/>
          <w:color w:val="auto"/>
        </w:rPr>
      </w:pPr>
      <w:r w:rsidRPr="00CC6AB1">
        <w:rPr>
          <w:rFonts w:cs="Times New Roman"/>
        </w:rPr>
        <w:t>对于人民检察院提出的量刑建议，人民法院应当依法进</w:t>
      </w:r>
      <w:r w:rsidRPr="00CC6AB1">
        <w:rPr>
          <w:rFonts w:cs="Times New Roman"/>
          <w:color w:val="auto"/>
        </w:rPr>
        <w:t>行审查。对于事实清楚，证据确实、充分，指控的罪名准确，量刑建议适当的，人民法院应当采纳。</w:t>
      </w:r>
      <w:r w:rsidRPr="00CC6AB1">
        <w:rPr>
          <w:rFonts w:cs="Times New Roman"/>
          <w:color w:val="B00824"/>
        </w:rPr>
        <w:t>具有下列情形之一的，不予采纳</w:t>
      </w:r>
      <w:r w:rsidRPr="00CC6AB1">
        <w:rPr>
          <w:rFonts w:cs="Times New Roman"/>
          <w:color w:val="auto"/>
        </w:rPr>
        <w:t>：</w:t>
      </w:r>
      <w:r w:rsidR="00D124A8">
        <w:rPr>
          <w:rFonts w:hint="eastAsia"/>
          <w:color w:val="auto"/>
        </w:rPr>
        <w:t>（1）</w:t>
      </w:r>
      <w:r w:rsidRPr="00CC6AB1">
        <w:rPr>
          <w:color w:val="auto"/>
        </w:rPr>
        <w:t>被告人的行为不构成犯罪或者不应当追究刑事责任的</w:t>
      </w:r>
      <w:r w:rsidRPr="00CC6AB1">
        <w:rPr>
          <w:rFonts w:hint="eastAsia"/>
          <w:color w:val="auto"/>
        </w:rPr>
        <w:t>；</w:t>
      </w:r>
      <w:r w:rsidR="00D124A8">
        <w:rPr>
          <w:rFonts w:hint="eastAsia"/>
          <w:color w:val="auto"/>
        </w:rPr>
        <w:t>（2）</w:t>
      </w:r>
      <w:r w:rsidRPr="00CC6AB1">
        <w:rPr>
          <w:color w:val="auto"/>
        </w:rPr>
        <w:t>被告人违背意愿认罪认罚的</w:t>
      </w:r>
      <w:r w:rsidRPr="00CC6AB1">
        <w:rPr>
          <w:rFonts w:hint="eastAsia"/>
          <w:color w:val="auto"/>
        </w:rPr>
        <w:t>；</w:t>
      </w:r>
      <w:r w:rsidR="00D124A8">
        <w:rPr>
          <w:rFonts w:hint="eastAsia"/>
          <w:color w:val="auto"/>
        </w:rPr>
        <w:t>（3）</w:t>
      </w:r>
      <w:r w:rsidRPr="00CC6AB1">
        <w:rPr>
          <w:color w:val="auto"/>
        </w:rPr>
        <w:t>被告人否认指控的犯罪事实的</w:t>
      </w:r>
      <w:r w:rsidRPr="00CC6AB1">
        <w:rPr>
          <w:rFonts w:hint="eastAsia"/>
          <w:color w:val="auto"/>
        </w:rPr>
        <w:t>；</w:t>
      </w:r>
      <w:r w:rsidR="00D124A8">
        <w:rPr>
          <w:rFonts w:hint="eastAsia"/>
          <w:color w:val="auto"/>
        </w:rPr>
        <w:t>（4）</w:t>
      </w:r>
      <w:r w:rsidRPr="00CC6AB1">
        <w:rPr>
          <w:color w:val="auto"/>
        </w:rPr>
        <w:t>起诉指控的罪名与审理认定的罪名不一致的</w:t>
      </w:r>
      <w:r w:rsidRPr="00CC6AB1">
        <w:rPr>
          <w:rFonts w:hint="eastAsia"/>
          <w:color w:val="auto"/>
        </w:rPr>
        <w:t>；</w:t>
      </w:r>
      <w:r w:rsidR="00D124A8">
        <w:rPr>
          <w:rFonts w:hint="eastAsia"/>
          <w:color w:val="auto"/>
        </w:rPr>
        <w:t>（5）</w:t>
      </w:r>
      <w:r w:rsidRPr="00CC6AB1">
        <w:rPr>
          <w:color w:val="auto"/>
        </w:rPr>
        <w:t>其他可能影响公正审判的情形。</w:t>
      </w:r>
    </w:p>
    <w:p w14:paraId="368522BB" w14:textId="77777777" w:rsidR="00DD4F33" w:rsidRPr="00CC6AB1" w:rsidRDefault="00000000" w:rsidP="00CC6AB1">
      <w:pPr>
        <w:spacing w:line="240" w:lineRule="exact"/>
        <w:ind w:firstLineChars="200" w:firstLine="422"/>
        <w:contextualSpacing/>
        <w:rPr>
          <w:rFonts w:cs="Times New Roman" w:hint="eastAsia"/>
          <w:b/>
          <w:bCs/>
        </w:rPr>
      </w:pPr>
      <w:bookmarkStart w:id="17" w:name="_Hlk141813636"/>
      <w:r w:rsidRPr="00CC6AB1">
        <w:rPr>
          <w:rFonts w:cs="Times New Roman"/>
          <w:b/>
          <w:bCs/>
        </w:rPr>
        <w:t>对于人民检察院起诉指控的事实清楚，量刑建议适当，但指控的罪名与审理认定的罪名不一致的，人民法院可以听取人民检察院、被告人及其辩护人对审理认定罪名的意见，依法作出裁判。</w:t>
      </w:r>
      <w:r w:rsidRPr="00CC6AB1">
        <w:rPr>
          <w:rFonts w:cs="Times New Roman" w:hint="eastAsia"/>
          <w:b/>
          <w:bCs/>
        </w:rPr>
        <w:t>（</w:t>
      </w:r>
      <w:r w:rsidRPr="00CC6AB1">
        <w:rPr>
          <w:rFonts w:cs="Times New Roman" w:hint="eastAsia"/>
          <w:b/>
          <w:bCs/>
          <w:color w:val="B00824"/>
        </w:rPr>
        <w:t>即可以改变罪名</w:t>
      </w:r>
      <w:r w:rsidRPr="00CC6AB1">
        <w:rPr>
          <w:rFonts w:cs="Times New Roman" w:hint="eastAsia"/>
          <w:b/>
          <w:bCs/>
        </w:rPr>
        <w:t>）</w:t>
      </w:r>
      <w:r w:rsidRPr="00CC6AB1">
        <w:rPr>
          <w:rFonts w:cs="Times New Roman"/>
          <w:b/>
          <w:bCs/>
        </w:rPr>
        <w:t>人民法院不采纳人民检察院量刑建议的，应当说明理由和依据。</w:t>
      </w:r>
      <w:r w:rsidRPr="00CC6AB1">
        <w:rPr>
          <w:rFonts w:cs="汉仪大宋简" w:hint="eastAsia"/>
          <w:b/>
          <w:bCs/>
          <w:color w:val="FF0000"/>
        </w:rPr>
        <w:t>（缺席审判中罪名不一致的裁定终止审理，而不是变更罪名）</w:t>
      </w:r>
    </w:p>
    <w:bookmarkEnd w:id="17"/>
    <w:p w14:paraId="2C924281" w14:textId="0CCB1C3B" w:rsidR="00DD4F33" w:rsidRPr="00CC6AB1" w:rsidRDefault="00D124A8" w:rsidP="00CC6AB1">
      <w:pPr>
        <w:spacing w:line="240" w:lineRule="exact"/>
        <w:ind w:firstLineChars="200" w:firstLine="420"/>
        <w:contextualSpacing/>
        <w:rPr>
          <w:rFonts w:cs="汉仪大宋简" w:hint="eastAsia"/>
          <w:bCs/>
          <w:color w:val="auto"/>
        </w:rPr>
      </w:pPr>
      <w:r>
        <w:rPr>
          <w:rFonts w:cs="汉仪大宋简" w:hint="eastAsia"/>
          <w:bCs/>
          <w:color w:val="auto"/>
        </w:rPr>
        <w:t>2.</w:t>
      </w:r>
      <w:r w:rsidRPr="00CC6AB1">
        <w:rPr>
          <w:rFonts w:cs="汉仪大宋简"/>
          <w:bCs/>
          <w:color w:val="auto"/>
        </w:rPr>
        <w:t>量刑建议的调整</w:t>
      </w:r>
    </w:p>
    <w:p w14:paraId="020E1380" w14:textId="77777777" w:rsidR="00DD4F33" w:rsidRPr="00CC6AB1" w:rsidRDefault="00000000" w:rsidP="00CC6AB1">
      <w:pPr>
        <w:spacing w:line="240" w:lineRule="exact"/>
        <w:ind w:firstLineChars="200" w:firstLine="420"/>
        <w:contextualSpacing/>
        <w:rPr>
          <w:rFonts w:cs="Times New Roman" w:hint="eastAsia"/>
          <w:color w:val="B00824"/>
        </w:rPr>
      </w:pPr>
      <w:r w:rsidRPr="00CC6AB1">
        <w:rPr>
          <w:rFonts w:cs="Times New Roman"/>
        </w:rPr>
        <w:t>人民法院经审理，认为量刑建议明显不当，或者被告人、辩护人对量刑建议有异议且有理有据的，人民法院应当告知人民检察院，人民检察院可以调整量刑建议。人民法院认为调整后的量刑建议适当的，应当予以采纳</w:t>
      </w:r>
      <w:r w:rsidRPr="00CC6AB1">
        <w:rPr>
          <w:rFonts w:cs="Times New Roman" w:hint="eastAsia"/>
        </w:rPr>
        <w:t>；</w:t>
      </w:r>
      <w:r w:rsidRPr="00CC6AB1">
        <w:rPr>
          <w:rFonts w:cs="Times New Roman"/>
          <w:color w:val="B00824"/>
        </w:rPr>
        <w:t>人民检察院不调整量刑建议或者调整后仍然明显不当的，人民法院应当依法作出判决</w:t>
      </w:r>
      <w:r w:rsidRPr="00CC6AB1">
        <w:rPr>
          <w:rFonts w:cs="Times New Roman" w:hint="eastAsia"/>
          <w:color w:val="B00824"/>
        </w:rPr>
        <w:t>（即最终的定罪量刑权）</w:t>
      </w:r>
      <w:r w:rsidRPr="00CC6AB1">
        <w:rPr>
          <w:rFonts w:cs="Times New Roman"/>
          <w:color w:val="B00824"/>
        </w:rPr>
        <w:t>。</w:t>
      </w:r>
    </w:p>
    <w:p w14:paraId="6C3EFBBA" w14:textId="77777777" w:rsidR="00DD4F33" w:rsidRPr="00CC6AB1" w:rsidRDefault="00000000" w:rsidP="00CC6AB1">
      <w:pPr>
        <w:spacing w:line="240" w:lineRule="exact"/>
        <w:ind w:firstLineChars="200" w:firstLine="420"/>
        <w:contextualSpacing/>
        <w:rPr>
          <w:rFonts w:cs="Times New Roman" w:hint="eastAsia"/>
        </w:rPr>
      </w:pPr>
      <w:r w:rsidRPr="00CC6AB1">
        <w:rPr>
          <w:rFonts w:cs="Times New Roman"/>
        </w:rPr>
        <w:t>适用速裁程序审理的，人民检察院调整量刑建议应当在庭前或者当庭提出。调整量刑建</w:t>
      </w:r>
      <w:r w:rsidRPr="00CC6AB1">
        <w:rPr>
          <w:rFonts w:cs="Times New Roman"/>
        </w:rPr>
        <w:lastRenderedPageBreak/>
        <w:t>议后，被告人同意继续适用速裁程序的，不需要转换程序处理。</w:t>
      </w:r>
    </w:p>
    <w:p w14:paraId="2C5F4373" w14:textId="3F456A18" w:rsidR="00DD4F33" w:rsidRPr="00CC6AB1" w:rsidRDefault="00D124A8" w:rsidP="00CC6AB1">
      <w:pPr>
        <w:spacing w:line="240" w:lineRule="exact"/>
        <w:ind w:firstLineChars="200" w:firstLine="420"/>
        <w:contextualSpacing/>
        <w:rPr>
          <w:rFonts w:cs="汉仪大宋简" w:hint="eastAsia"/>
          <w:bCs/>
          <w:color w:val="auto"/>
        </w:rPr>
      </w:pPr>
      <w:r>
        <w:rPr>
          <w:rFonts w:cs="汉仪大宋简" w:hint="eastAsia"/>
          <w:bCs/>
          <w:color w:val="auto"/>
        </w:rPr>
        <w:t>3.</w:t>
      </w:r>
      <w:r w:rsidRPr="00CC6AB1">
        <w:rPr>
          <w:rFonts w:cs="汉仪大宋简"/>
          <w:bCs/>
          <w:color w:val="auto"/>
        </w:rPr>
        <w:t>被告人当庭认罪认罚案件的处理</w:t>
      </w:r>
      <w:r w:rsidRPr="00CC6AB1">
        <w:rPr>
          <w:rFonts w:cs="汉仪大宋简" w:hint="eastAsia"/>
          <w:bCs/>
          <w:color w:val="auto"/>
        </w:rPr>
        <w:t>：</w:t>
      </w:r>
      <w:r w:rsidRPr="00CC6AB1">
        <w:rPr>
          <w:rFonts w:cs="Times New Roman"/>
        </w:rPr>
        <w:t>被告人在侦查、审查起诉阶段没有认罪认罚，但当庭认罪，愿意接受处罚的，</w:t>
      </w:r>
      <w:r w:rsidRPr="00CC6AB1">
        <w:rPr>
          <w:rFonts w:cs="Times New Roman" w:hint="eastAsia"/>
          <w:color w:val="B00824"/>
        </w:rPr>
        <w:t>人民法院可以不再通知人民检察院提出或者调整量刑建议</w:t>
      </w:r>
      <w:r w:rsidRPr="00CC6AB1">
        <w:rPr>
          <w:rFonts w:cs="Times New Roman" w:hint="eastAsia"/>
        </w:rPr>
        <w:t>，</w:t>
      </w:r>
      <w:r w:rsidRPr="00CC6AB1">
        <w:rPr>
          <w:rFonts w:cs="Times New Roman"/>
          <w:color w:val="B00824"/>
        </w:rPr>
        <w:t>应当根据审理查明的事实，</w:t>
      </w:r>
      <w:r w:rsidRPr="00CC6AB1">
        <w:rPr>
          <w:rFonts w:cs="Times New Roman" w:hint="eastAsia"/>
          <w:color w:val="B00824"/>
        </w:rPr>
        <w:t>应当就</w:t>
      </w:r>
      <w:r w:rsidRPr="00CC6AB1">
        <w:rPr>
          <w:rFonts w:cs="Times New Roman"/>
          <w:color w:val="B00824"/>
        </w:rPr>
        <w:t>定罪和量刑听取控辩双方意见，依法作出裁判</w:t>
      </w:r>
      <w:r w:rsidRPr="00CC6AB1">
        <w:rPr>
          <w:rFonts w:cs="Times New Roman"/>
        </w:rPr>
        <w:t>。</w:t>
      </w:r>
      <w:bookmarkEnd w:id="3"/>
      <w:bookmarkEnd w:id="4"/>
      <w:bookmarkEnd w:id="5"/>
    </w:p>
    <w:sectPr w:rsidR="00DD4F33" w:rsidRPr="00CC6A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AA4A3" w14:textId="77777777" w:rsidR="004F2FA0" w:rsidRDefault="004F2FA0" w:rsidP="001F4224">
      <w:pPr>
        <w:rPr>
          <w:rFonts w:hint="eastAsia"/>
        </w:rPr>
      </w:pPr>
      <w:r>
        <w:separator/>
      </w:r>
    </w:p>
  </w:endnote>
  <w:endnote w:type="continuationSeparator" w:id="0">
    <w:p w14:paraId="493CD0B9" w14:textId="77777777" w:rsidR="004F2FA0" w:rsidRDefault="004F2FA0" w:rsidP="001F422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汉仪大宋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ACADEMY ENGRAVED LET PLAIN:1.0">
    <w:altName w:val="FFont-Family"/>
    <w:charset w:val="00"/>
    <w:family w:val="auto"/>
    <w:pitch w:val="default"/>
    <w:sig w:usb0="00000000" w:usb1="00000000" w:usb2="00000000" w:usb3="00000000" w:csb0="0000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DD4E1" w14:textId="77777777" w:rsidR="004F2FA0" w:rsidRDefault="004F2FA0" w:rsidP="001F4224">
      <w:pPr>
        <w:rPr>
          <w:rFonts w:hint="eastAsia"/>
        </w:rPr>
      </w:pPr>
      <w:r>
        <w:separator/>
      </w:r>
    </w:p>
  </w:footnote>
  <w:footnote w:type="continuationSeparator" w:id="0">
    <w:p w14:paraId="4AB7CC77" w14:textId="77777777" w:rsidR="004F2FA0" w:rsidRDefault="004F2FA0" w:rsidP="001F422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7D4"/>
    <w:rsid w:val="00005E96"/>
    <w:rsid w:val="00014540"/>
    <w:rsid w:val="00015021"/>
    <w:rsid w:val="000159C7"/>
    <w:rsid w:val="0003263D"/>
    <w:rsid w:val="00037BF7"/>
    <w:rsid w:val="00050941"/>
    <w:rsid w:val="00067708"/>
    <w:rsid w:val="00070A34"/>
    <w:rsid w:val="00073190"/>
    <w:rsid w:val="00080A54"/>
    <w:rsid w:val="0009282F"/>
    <w:rsid w:val="000A70B7"/>
    <w:rsid w:val="000B0E26"/>
    <w:rsid w:val="000C37BD"/>
    <w:rsid w:val="000C5539"/>
    <w:rsid w:val="000C58DF"/>
    <w:rsid w:val="000C6AA4"/>
    <w:rsid w:val="000D2A58"/>
    <w:rsid w:val="000D4AD7"/>
    <w:rsid w:val="000D590A"/>
    <w:rsid w:val="000E25CC"/>
    <w:rsid w:val="000E29B5"/>
    <w:rsid w:val="000E4D25"/>
    <w:rsid w:val="000F54F8"/>
    <w:rsid w:val="000F6F07"/>
    <w:rsid w:val="00101202"/>
    <w:rsid w:val="00104E88"/>
    <w:rsid w:val="00106472"/>
    <w:rsid w:val="00106DB1"/>
    <w:rsid w:val="00111BAE"/>
    <w:rsid w:val="0011528D"/>
    <w:rsid w:val="0011627E"/>
    <w:rsid w:val="00117B40"/>
    <w:rsid w:val="00123B9D"/>
    <w:rsid w:val="0013249F"/>
    <w:rsid w:val="001330DB"/>
    <w:rsid w:val="0014712C"/>
    <w:rsid w:val="001516C3"/>
    <w:rsid w:val="0016016C"/>
    <w:rsid w:val="001721C3"/>
    <w:rsid w:val="00173399"/>
    <w:rsid w:val="001819F1"/>
    <w:rsid w:val="00182AC0"/>
    <w:rsid w:val="001900D8"/>
    <w:rsid w:val="00190383"/>
    <w:rsid w:val="00195437"/>
    <w:rsid w:val="00197FBF"/>
    <w:rsid w:val="001B05DA"/>
    <w:rsid w:val="001B1DAA"/>
    <w:rsid w:val="001C500A"/>
    <w:rsid w:val="001C6896"/>
    <w:rsid w:val="001C6B35"/>
    <w:rsid w:val="001C7DAC"/>
    <w:rsid w:val="001D2D50"/>
    <w:rsid w:val="001E7875"/>
    <w:rsid w:val="001F02ED"/>
    <w:rsid w:val="001F23B2"/>
    <w:rsid w:val="001F4224"/>
    <w:rsid w:val="002101E4"/>
    <w:rsid w:val="00210260"/>
    <w:rsid w:val="00210347"/>
    <w:rsid w:val="0021199C"/>
    <w:rsid w:val="00213D5C"/>
    <w:rsid w:val="002165A7"/>
    <w:rsid w:val="002205A0"/>
    <w:rsid w:val="0023254E"/>
    <w:rsid w:val="00250109"/>
    <w:rsid w:val="00253FA7"/>
    <w:rsid w:val="00255C84"/>
    <w:rsid w:val="002570AC"/>
    <w:rsid w:val="002654ED"/>
    <w:rsid w:val="00266EB1"/>
    <w:rsid w:val="002A2A22"/>
    <w:rsid w:val="002A6988"/>
    <w:rsid w:val="002B3BCF"/>
    <w:rsid w:val="002B4F08"/>
    <w:rsid w:val="002C071D"/>
    <w:rsid w:val="002C62AA"/>
    <w:rsid w:val="002C70A4"/>
    <w:rsid w:val="002E37B3"/>
    <w:rsid w:val="002E4B09"/>
    <w:rsid w:val="002E4B2A"/>
    <w:rsid w:val="002E5CA5"/>
    <w:rsid w:val="002F088B"/>
    <w:rsid w:val="00304191"/>
    <w:rsid w:val="00311C36"/>
    <w:rsid w:val="00313E47"/>
    <w:rsid w:val="0031551A"/>
    <w:rsid w:val="0032215B"/>
    <w:rsid w:val="00327F52"/>
    <w:rsid w:val="00332C5B"/>
    <w:rsid w:val="003333C3"/>
    <w:rsid w:val="0033584B"/>
    <w:rsid w:val="0034354D"/>
    <w:rsid w:val="00362B5C"/>
    <w:rsid w:val="0037368E"/>
    <w:rsid w:val="003A2FC8"/>
    <w:rsid w:val="003B0773"/>
    <w:rsid w:val="003B6BAA"/>
    <w:rsid w:val="003C2FCA"/>
    <w:rsid w:val="003C3C56"/>
    <w:rsid w:val="003C7905"/>
    <w:rsid w:val="003D6311"/>
    <w:rsid w:val="003D6786"/>
    <w:rsid w:val="003E0A30"/>
    <w:rsid w:val="003E560F"/>
    <w:rsid w:val="003E770D"/>
    <w:rsid w:val="003F3CFC"/>
    <w:rsid w:val="00402393"/>
    <w:rsid w:val="0041768B"/>
    <w:rsid w:val="00423C31"/>
    <w:rsid w:val="00424898"/>
    <w:rsid w:val="00427A63"/>
    <w:rsid w:val="00432018"/>
    <w:rsid w:val="00432F56"/>
    <w:rsid w:val="00445015"/>
    <w:rsid w:val="00447959"/>
    <w:rsid w:val="0046573E"/>
    <w:rsid w:val="00471D73"/>
    <w:rsid w:val="00482986"/>
    <w:rsid w:val="004947D4"/>
    <w:rsid w:val="00497240"/>
    <w:rsid w:val="004A21E3"/>
    <w:rsid w:val="004A3723"/>
    <w:rsid w:val="004B0631"/>
    <w:rsid w:val="004C7303"/>
    <w:rsid w:val="004D0175"/>
    <w:rsid w:val="004D1B8A"/>
    <w:rsid w:val="004D2CCE"/>
    <w:rsid w:val="004D66A1"/>
    <w:rsid w:val="004E1D82"/>
    <w:rsid w:val="004F29D8"/>
    <w:rsid w:val="004F2FA0"/>
    <w:rsid w:val="004F42D8"/>
    <w:rsid w:val="004F6FC4"/>
    <w:rsid w:val="00501E3E"/>
    <w:rsid w:val="00504BB8"/>
    <w:rsid w:val="00505AC7"/>
    <w:rsid w:val="00506D12"/>
    <w:rsid w:val="005107A2"/>
    <w:rsid w:val="005145B4"/>
    <w:rsid w:val="0051749F"/>
    <w:rsid w:val="00527648"/>
    <w:rsid w:val="00527F6F"/>
    <w:rsid w:val="0054067D"/>
    <w:rsid w:val="00540AC3"/>
    <w:rsid w:val="00562DFF"/>
    <w:rsid w:val="0056519D"/>
    <w:rsid w:val="00574429"/>
    <w:rsid w:val="005745F1"/>
    <w:rsid w:val="00586A3D"/>
    <w:rsid w:val="00587555"/>
    <w:rsid w:val="00590B0D"/>
    <w:rsid w:val="00594752"/>
    <w:rsid w:val="00594F5A"/>
    <w:rsid w:val="00594FEE"/>
    <w:rsid w:val="005A4E8E"/>
    <w:rsid w:val="005A512E"/>
    <w:rsid w:val="005B19CC"/>
    <w:rsid w:val="005B314C"/>
    <w:rsid w:val="005B3791"/>
    <w:rsid w:val="005B4E79"/>
    <w:rsid w:val="005B7544"/>
    <w:rsid w:val="005C50A2"/>
    <w:rsid w:val="005C78E8"/>
    <w:rsid w:val="00603B93"/>
    <w:rsid w:val="006048BA"/>
    <w:rsid w:val="00611C7E"/>
    <w:rsid w:val="006169CF"/>
    <w:rsid w:val="00625CEF"/>
    <w:rsid w:val="00656AB4"/>
    <w:rsid w:val="00657DBC"/>
    <w:rsid w:val="00670CF3"/>
    <w:rsid w:val="00687FFB"/>
    <w:rsid w:val="00690274"/>
    <w:rsid w:val="00690716"/>
    <w:rsid w:val="00693646"/>
    <w:rsid w:val="006A6E20"/>
    <w:rsid w:val="006B1D4D"/>
    <w:rsid w:val="006B3543"/>
    <w:rsid w:val="006B6D38"/>
    <w:rsid w:val="006D0FCF"/>
    <w:rsid w:val="006D3169"/>
    <w:rsid w:val="006E1D0E"/>
    <w:rsid w:val="006E359B"/>
    <w:rsid w:val="006F2FFC"/>
    <w:rsid w:val="006F4BB2"/>
    <w:rsid w:val="006F73D8"/>
    <w:rsid w:val="00700FF2"/>
    <w:rsid w:val="007037C8"/>
    <w:rsid w:val="007164EE"/>
    <w:rsid w:val="0071746E"/>
    <w:rsid w:val="0072718E"/>
    <w:rsid w:val="007320CA"/>
    <w:rsid w:val="00755E4D"/>
    <w:rsid w:val="00761777"/>
    <w:rsid w:val="007653E4"/>
    <w:rsid w:val="0076547F"/>
    <w:rsid w:val="00767B4A"/>
    <w:rsid w:val="00780EA5"/>
    <w:rsid w:val="00783C33"/>
    <w:rsid w:val="00786067"/>
    <w:rsid w:val="007A4598"/>
    <w:rsid w:val="007A5B09"/>
    <w:rsid w:val="007B2315"/>
    <w:rsid w:val="007B30C4"/>
    <w:rsid w:val="007B6E1C"/>
    <w:rsid w:val="007C3B59"/>
    <w:rsid w:val="007C74C8"/>
    <w:rsid w:val="007D5B56"/>
    <w:rsid w:val="007D67D3"/>
    <w:rsid w:val="007D73C7"/>
    <w:rsid w:val="007D7CC3"/>
    <w:rsid w:val="007E0BE2"/>
    <w:rsid w:val="007E3049"/>
    <w:rsid w:val="007E3ED1"/>
    <w:rsid w:val="007E5BE4"/>
    <w:rsid w:val="007E700D"/>
    <w:rsid w:val="007F0E9A"/>
    <w:rsid w:val="007F2962"/>
    <w:rsid w:val="007F63EB"/>
    <w:rsid w:val="007F6FB0"/>
    <w:rsid w:val="008027B3"/>
    <w:rsid w:val="00802B10"/>
    <w:rsid w:val="008049E7"/>
    <w:rsid w:val="00811793"/>
    <w:rsid w:val="00821A1B"/>
    <w:rsid w:val="00823949"/>
    <w:rsid w:val="008252E3"/>
    <w:rsid w:val="00840F4D"/>
    <w:rsid w:val="00850088"/>
    <w:rsid w:val="00850473"/>
    <w:rsid w:val="00865EBB"/>
    <w:rsid w:val="00881C8E"/>
    <w:rsid w:val="008A3F7E"/>
    <w:rsid w:val="008A5396"/>
    <w:rsid w:val="008A7511"/>
    <w:rsid w:val="008B3993"/>
    <w:rsid w:val="008C469D"/>
    <w:rsid w:val="008C6EAD"/>
    <w:rsid w:val="008C7292"/>
    <w:rsid w:val="008D6B7B"/>
    <w:rsid w:val="008F35A9"/>
    <w:rsid w:val="00907B9C"/>
    <w:rsid w:val="00910D8F"/>
    <w:rsid w:val="0091394F"/>
    <w:rsid w:val="0091504E"/>
    <w:rsid w:val="009458BA"/>
    <w:rsid w:val="0094665A"/>
    <w:rsid w:val="00946CA1"/>
    <w:rsid w:val="00956589"/>
    <w:rsid w:val="009634BA"/>
    <w:rsid w:val="00964D67"/>
    <w:rsid w:val="00965DDF"/>
    <w:rsid w:val="00975F23"/>
    <w:rsid w:val="0098757F"/>
    <w:rsid w:val="009A4657"/>
    <w:rsid w:val="009B45A2"/>
    <w:rsid w:val="009B66F4"/>
    <w:rsid w:val="009C2EC1"/>
    <w:rsid w:val="009C7DE2"/>
    <w:rsid w:val="009D4898"/>
    <w:rsid w:val="009D7638"/>
    <w:rsid w:val="009E0B1E"/>
    <w:rsid w:val="009F133B"/>
    <w:rsid w:val="00A11C9A"/>
    <w:rsid w:val="00A169B9"/>
    <w:rsid w:val="00A258C8"/>
    <w:rsid w:val="00A27B0C"/>
    <w:rsid w:val="00A36F49"/>
    <w:rsid w:val="00A4023C"/>
    <w:rsid w:val="00A437C2"/>
    <w:rsid w:val="00A447D0"/>
    <w:rsid w:val="00A63795"/>
    <w:rsid w:val="00A672A3"/>
    <w:rsid w:val="00A67A85"/>
    <w:rsid w:val="00A7669F"/>
    <w:rsid w:val="00A836A4"/>
    <w:rsid w:val="00A85BAA"/>
    <w:rsid w:val="00A90DE4"/>
    <w:rsid w:val="00A92A4E"/>
    <w:rsid w:val="00AB65C7"/>
    <w:rsid w:val="00AC2072"/>
    <w:rsid w:val="00AC420C"/>
    <w:rsid w:val="00AC427C"/>
    <w:rsid w:val="00AC4410"/>
    <w:rsid w:val="00AD13AB"/>
    <w:rsid w:val="00AD1D6F"/>
    <w:rsid w:val="00AD2769"/>
    <w:rsid w:val="00B041FC"/>
    <w:rsid w:val="00B13046"/>
    <w:rsid w:val="00B2391A"/>
    <w:rsid w:val="00B41FDA"/>
    <w:rsid w:val="00B47144"/>
    <w:rsid w:val="00B5143B"/>
    <w:rsid w:val="00B606D9"/>
    <w:rsid w:val="00B6100C"/>
    <w:rsid w:val="00B61715"/>
    <w:rsid w:val="00B72AC1"/>
    <w:rsid w:val="00B742DA"/>
    <w:rsid w:val="00B77BC4"/>
    <w:rsid w:val="00B808AF"/>
    <w:rsid w:val="00B94D4A"/>
    <w:rsid w:val="00BA061B"/>
    <w:rsid w:val="00BA11C6"/>
    <w:rsid w:val="00BA4A96"/>
    <w:rsid w:val="00BB6FB3"/>
    <w:rsid w:val="00BC4FA1"/>
    <w:rsid w:val="00BE2936"/>
    <w:rsid w:val="00BF1009"/>
    <w:rsid w:val="00C16264"/>
    <w:rsid w:val="00C23A41"/>
    <w:rsid w:val="00C257B8"/>
    <w:rsid w:val="00C306CC"/>
    <w:rsid w:val="00C33D2D"/>
    <w:rsid w:val="00C36150"/>
    <w:rsid w:val="00C37536"/>
    <w:rsid w:val="00C50B4B"/>
    <w:rsid w:val="00C61A96"/>
    <w:rsid w:val="00C6442D"/>
    <w:rsid w:val="00C80540"/>
    <w:rsid w:val="00C8166F"/>
    <w:rsid w:val="00C85E2D"/>
    <w:rsid w:val="00C86AC6"/>
    <w:rsid w:val="00CA5262"/>
    <w:rsid w:val="00CB1AC1"/>
    <w:rsid w:val="00CB22F8"/>
    <w:rsid w:val="00CB4F7C"/>
    <w:rsid w:val="00CB555C"/>
    <w:rsid w:val="00CB66C9"/>
    <w:rsid w:val="00CC2D52"/>
    <w:rsid w:val="00CC6AB1"/>
    <w:rsid w:val="00CD15CD"/>
    <w:rsid w:val="00CE094D"/>
    <w:rsid w:val="00CF03CF"/>
    <w:rsid w:val="00CF277B"/>
    <w:rsid w:val="00CF2CEF"/>
    <w:rsid w:val="00CF4EC1"/>
    <w:rsid w:val="00D03359"/>
    <w:rsid w:val="00D124A8"/>
    <w:rsid w:val="00D15B3E"/>
    <w:rsid w:val="00D2546A"/>
    <w:rsid w:val="00D30A9E"/>
    <w:rsid w:val="00D33806"/>
    <w:rsid w:val="00D43E77"/>
    <w:rsid w:val="00D50CCC"/>
    <w:rsid w:val="00D661B0"/>
    <w:rsid w:val="00D7482D"/>
    <w:rsid w:val="00D76E8A"/>
    <w:rsid w:val="00D8396B"/>
    <w:rsid w:val="00DA3432"/>
    <w:rsid w:val="00DB05CA"/>
    <w:rsid w:val="00DB2868"/>
    <w:rsid w:val="00DD3553"/>
    <w:rsid w:val="00DD4F33"/>
    <w:rsid w:val="00DD70AB"/>
    <w:rsid w:val="00DE1FDE"/>
    <w:rsid w:val="00DE7A89"/>
    <w:rsid w:val="00DF1D18"/>
    <w:rsid w:val="00DF2765"/>
    <w:rsid w:val="00DF3F96"/>
    <w:rsid w:val="00DF6667"/>
    <w:rsid w:val="00E1753C"/>
    <w:rsid w:val="00E21280"/>
    <w:rsid w:val="00E31367"/>
    <w:rsid w:val="00E338DE"/>
    <w:rsid w:val="00E346BB"/>
    <w:rsid w:val="00E37CA7"/>
    <w:rsid w:val="00E4596F"/>
    <w:rsid w:val="00E64D0C"/>
    <w:rsid w:val="00E706AE"/>
    <w:rsid w:val="00E74855"/>
    <w:rsid w:val="00E803EF"/>
    <w:rsid w:val="00E807A6"/>
    <w:rsid w:val="00E842C3"/>
    <w:rsid w:val="00E85FEC"/>
    <w:rsid w:val="00E86E10"/>
    <w:rsid w:val="00E86F45"/>
    <w:rsid w:val="00E93ABB"/>
    <w:rsid w:val="00E97439"/>
    <w:rsid w:val="00EA0FD6"/>
    <w:rsid w:val="00EB443D"/>
    <w:rsid w:val="00EC59E1"/>
    <w:rsid w:val="00ED141C"/>
    <w:rsid w:val="00ED3245"/>
    <w:rsid w:val="00ED4B6B"/>
    <w:rsid w:val="00EF2090"/>
    <w:rsid w:val="00F01C02"/>
    <w:rsid w:val="00F02BB4"/>
    <w:rsid w:val="00F106EE"/>
    <w:rsid w:val="00F21534"/>
    <w:rsid w:val="00F254B2"/>
    <w:rsid w:val="00F32AD1"/>
    <w:rsid w:val="00F34CD8"/>
    <w:rsid w:val="00F41C11"/>
    <w:rsid w:val="00F42516"/>
    <w:rsid w:val="00F456AB"/>
    <w:rsid w:val="00F7744E"/>
    <w:rsid w:val="00F81F8A"/>
    <w:rsid w:val="00F8476E"/>
    <w:rsid w:val="00F86CC2"/>
    <w:rsid w:val="00F87D1B"/>
    <w:rsid w:val="00F9290D"/>
    <w:rsid w:val="00FA0EEA"/>
    <w:rsid w:val="00FA22CD"/>
    <w:rsid w:val="00FB7A39"/>
    <w:rsid w:val="00FB7E6B"/>
    <w:rsid w:val="00FC1D3F"/>
    <w:rsid w:val="00FC28AC"/>
    <w:rsid w:val="00FC2C99"/>
    <w:rsid w:val="00FC2FD2"/>
    <w:rsid w:val="00FC42B1"/>
    <w:rsid w:val="00FD26DB"/>
    <w:rsid w:val="00FD6020"/>
    <w:rsid w:val="00FE33F2"/>
    <w:rsid w:val="00FF5AC8"/>
    <w:rsid w:val="6C501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59219"/>
  <w15:docId w15:val="{A00EC73A-FAE8-42CB-A284-79109BF9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unhideWhenUsed="1"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宋体" w:hAnsi="宋体" w:cs="宋体"/>
      <w:color w:val="000000" w:themeColor="text1"/>
      <w:kern w:val="2"/>
      <w:sz w:val="21"/>
      <w:szCs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cs="Times New Roman"/>
      <w:b/>
      <w:bCs/>
      <w:color w:val="auto"/>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tabs>
        <w:tab w:val="left" w:pos="420"/>
      </w:tabs>
      <w:spacing w:line="384" w:lineRule="exact"/>
      <w:jc w:val="left"/>
      <w:outlineLvl w:val="2"/>
    </w:pPr>
    <w:rPr>
      <w:rFonts w:eastAsia="汉仪大宋简"/>
      <w:sz w:val="26"/>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pPr>
  </w:style>
  <w:style w:type="paragraph" w:styleId="a3">
    <w:name w:val="Document Map"/>
    <w:basedOn w:val="a"/>
    <w:link w:val="a4"/>
    <w:uiPriority w:val="99"/>
    <w:unhideWhenUsed/>
    <w:qFormat/>
    <w:rPr>
      <w:sz w:val="24"/>
      <w:szCs w:val="24"/>
    </w:rPr>
  </w:style>
  <w:style w:type="paragraph" w:styleId="a5">
    <w:name w:val="annotation text"/>
    <w:basedOn w:val="a"/>
    <w:link w:val="a6"/>
    <w:uiPriority w:val="99"/>
    <w:unhideWhenUsed/>
    <w:qFormat/>
    <w:pPr>
      <w:jc w:val="left"/>
    </w:pPr>
  </w:style>
  <w:style w:type="paragraph" w:styleId="a7">
    <w:name w:val="Body Text"/>
    <w:basedOn w:val="a"/>
    <w:link w:val="a8"/>
    <w:uiPriority w:val="1"/>
    <w:qFormat/>
    <w:pPr>
      <w:autoSpaceDE w:val="0"/>
      <w:autoSpaceDN w:val="0"/>
      <w:jc w:val="left"/>
    </w:pPr>
    <w:rPr>
      <w:color w:val="auto"/>
      <w:kern w:val="0"/>
      <w:lang w:val="zh-CN" w:bidi="zh-CN"/>
    </w:rPr>
  </w:style>
  <w:style w:type="paragraph" w:styleId="TOC5">
    <w:name w:val="toc 5"/>
    <w:basedOn w:val="a"/>
    <w:next w:val="a"/>
    <w:uiPriority w:val="39"/>
    <w:unhideWhenUsed/>
    <w:qFormat/>
    <w:pPr>
      <w:ind w:left="840"/>
    </w:pPr>
  </w:style>
  <w:style w:type="paragraph" w:styleId="TOC3">
    <w:name w:val="toc 3"/>
    <w:basedOn w:val="a"/>
    <w:next w:val="a"/>
    <w:uiPriority w:val="39"/>
    <w:unhideWhenUsed/>
    <w:qFormat/>
    <w:pPr>
      <w:ind w:left="420"/>
    </w:pPr>
  </w:style>
  <w:style w:type="paragraph" w:styleId="a9">
    <w:name w:val="Plain Text"/>
    <w:basedOn w:val="a"/>
    <w:link w:val="aa"/>
    <w:uiPriority w:val="99"/>
    <w:unhideWhenUsed/>
    <w:qFormat/>
    <w:pPr>
      <w:spacing w:beforeLines="10" w:afterLines="10" w:line="240" w:lineRule="exact"/>
    </w:pPr>
    <w:rPr>
      <w:rFonts w:hAnsi="Courier New" w:cs="Courier New"/>
      <w:color w:val="auto"/>
    </w:rPr>
  </w:style>
  <w:style w:type="paragraph" w:styleId="TOC8">
    <w:name w:val="toc 8"/>
    <w:basedOn w:val="a"/>
    <w:next w:val="a"/>
    <w:uiPriority w:val="39"/>
    <w:unhideWhenUsed/>
    <w:qFormat/>
    <w:pPr>
      <w:ind w:left="1470"/>
    </w:pPr>
  </w:style>
  <w:style w:type="paragraph" w:styleId="ab">
    <w:name w:val="endnote text"/>
    <w:basedOn w:val="a"/>
    <w:link w:val="ac"/>
    <w:uiPriority w:val="99"/>
    <w:unhideWhenUsed/>
    <w:qFormat/>
    <w:pPr>
      <w:snapToGrid w:val="0"/>
      <w:jc w:val="left"/>
    </w:pPr>
    <w:rPr>
      <w:rFonts w:asciiTheme="minorHAnsi" w:eastAsiaTheme="minorEastAsia" w:hAnsiTheme="minorHAnsi" w:cstheme="minorBidi"/>
      <w:color w:val="auto"/>
      <w:szCs w:val="22"/>
    </w:rPr>
  </w:style>
  <w:style w:type="paragraph" w:styleId="ad">
    <w:name w:val="Balloon Text"/>
    <w:basedOn w:val="a"/>
    <w:link w:val="ae"/>
    <w:uiPriority w:val="99"/>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rFonts w:asciiTheme="minorHAnsi" w:eastAsiaTheme="minorEastAsia" w:hAnsiTheme="minorHAnsi" w:cstheme="minorBidi"/>
      <w:color w:val="auto"/>
      <w:sz w:val="18"/>
      <w:szCs w:val="18"/>
    </w:rPr>
  </w:style>
  <w:style w:type="paragraph" w:styleId="af1">
    <w:name w:val="header"/>
    <w:basedOn w:val="a"/>
    <w:link w:val="af2"/>
    <w:uiPriority w:val="99"/>
    <w:unhideWhenUsed/>
    <w:qFormat/>
    <w:pPr>
      <w:tabs>
        <w:tab w:val="center" w:pos="4153"/>
        <w:tab w:val="right" w:pos="8306"/>
      </w:tabs>
      <w:snapToGrid w:val="0"/>
      <w:jc w:val="center"/>
    </w:pPr>
    <w:rPr>
      <w:rFonts w:asciiTheme="minorHAnsi" w:eastAsiaTheme="minorEastAsia" w:hAnsiTheme="minorHAnsi" w:cstheme="minorBidi"/>
      <w:color w:val="auto"/>
      <w:sz w:val="18"/>
      <w:szCs w:val="18"/>
    </w:rPr>
  </w:style>
  <w:style w:type="paragraph" w:styleId="TOC1">
    <w:name w:val="toc 1"/>
    <w:basedOn w:val="a"/>
    <w:next w:val="a"/>
    <w:uiPriority w:val="39"/>
    <w:unhideWhenUsed/>
    <w:qFormat/>
  </w:style>
  <w:style w:type="paragraph" w:styleId="TOC4">
    <w:name w:val="toc 4"/>
    <w:basedOn w:val="a"/>
    <w:next w:val="a"/>
    <w:uiPriority w:val="39"/>
    <w:unhideWhenUsed/>
    <w:qFormat/>
    <w:pPr>
      <w:ind w:left="630"/>
    </w:pPr>
  </w:style>
  <w:style w:type="paragraph" w:styleId="af3">
    <w:name w:val="footnote text"/>
    <w:basedOn w:val="a"/>
    <w:link w:val="af4"/>
    <w:unhideWhenUsed/>
    <w:qFormat/>
    <w:pPr>
      <w:snapToGrid w:val="0"/>
      <w:jc w:val="left"/>
    </w:pPr>
    <w:rPr>
      <w:sz w:val="18"/>
    </w:rPr>
  </w:style>
  <w:style w:type="paragraph" w:styleId="TOC6">
    <w:name w:val="toc 6"/>
    <w:basedOn w:val="a"/>
    <w:next w:val="a"/>
    <w:uiPriority w:val="39"/>
    <w:unhideWhenUsed/>
    <w:qFormat/>
    <w:pPr>
      <w:ind w:left="1050"/>
    </w:pPr>
  </w:style>
  <w:style w:type="paragraph" w:styleId="TOC2">
    <w:name w:val="toc 2"/>
    <w:basedOn w:val="a"/>
    <w:next w:val="a"/>
    <w:uiPriority w:val="39"/>
    <w:unhideWhenUsed/>
    <w:qFormat/>
    <w:pPr>
      <w:ind w:left="210"/>
    </w:pPr>
  </w:style>
  <w:style w:type="paragraph" w:styleId="TOC9">
    <w:name w:val="toc 9"/>
    <w:basedOn w:val="a"/>
    <w:next w:val="a"/>
    <w:uiPriority w:val="39"/>
    <w:unhideWhenUsed/>
    <w:qFormat/>
    <w:pPr>
      <w:ind w:left="1680"/>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color w:val="auto"/>
      <w:kern w:val="0"/>
      <w:sz w:val="24"/>
      <w:szCs w:val="24"/>
    </w:rPr>
  </w:style>
  <w:style w:type="paragraph" w:styleId="af5">
    <w:name w:val="Normal (Web)"/>
    <w:basedOn w:val="a"/>
    <w:uiPriority w:val="99"/>
    <w:unhideWhenUsed/>
    <w:qFormat/>
    <w:pPr>
      <w:widowControl/>
      <w:spacing w:before="100" w:beforeAutospacing="1" w:after="100" w:afterAutospacing="1"/>
      <w:jc w:val="left"/>
    </w:pPr>
    <w:rPr>
      <w:color w:val="auto"/>
      <w:kern w:val="0"/>
      <w:sz w:val="24"/>
      <w:szCs w:val="24"/>
    </w:rPr>
  </w:style>
  <w:style w:type="paragraph" w:styleId="af6">
    <w:name w:val="Title"/>
    <w:basedOn w:val="a"/>
    <w:next w:val="a"/>
    <w:link w:val="af7"/>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8">
    <w:name w:val="annotation subject"/>
    <w:basedOn w:val="a5"/>
    <w:next w:val="a5"/>
    <w:link w:val="af9"/>
    <w:uiPriority w:val="99"/>
    <w:unhideWhenUsed/>
    <w:qFormat/>
    <w:rPr>
      <w:b/>
      <w:bCs/>
    </w:rPr>
  </w:style>
  <w:style w:type="table" w:styleId="afa">
    <w:name w:val="Table Grid"/>
    <w:basedOn w:val="a1"/>
    <w:uiPriority w:val="59"/>
    <w:qFormat/>
    <w:pPr>
      <w:spacing w:beforeLines="10" w:afterLines="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uiPriority w:val="22"/>
    <w:qFormat/>
    <w:rPr>
      <w:b/>
    </w:rPr>
  </w:style>
  <w:style w:type="character" w:styleId="afc">
    <w:name w:val="endnote reference"/>
    <w:basedOn w:val="a0"/>
    <w:uiPriority w:val="99"/>
    <w:unhideWhenUsed/>
    <w:qFormat/>
    <w:rPr>
      <w:vertAlign w:val="superscript"/>
    </w:rPr>
  </w:style>
  <w:style w:type="character" w:styleId="afd">
    <w:name w:val="page number"/>
    <w:basedOn w:val="a0"/>
    <w:uiPriority w:val="99"/>
    <w:unhideWhenUsed/>
    <w:qFormat/>
  </w:style>
  <w:style w:type="character" w:styleId="afe">
    <w:name w:val="FollowedHyperlink"/>
    <w:basedOn w:val="a0"/>
    <w:uiPriority w:val="99"/>
    <w:semiHidden/>
    <w:unhideWhenUsed/>
    <w:qFormat/>
    <w:rPr>
      <w:color w:val="954F72"/>
      <w:u w:val="single"/>
    </w:rPr>
  </w:style>
  <w:style w:type="character" w:styleId="aff">
    <w:name w:val="Emphasis"/>
    <w:basedOn w:val="a0"/>
    <w:uiPriority w:val="20"/>
    <w:qFormat/>
    <w:rPr>
      <w:i/>
      <w:iCs/>
    </w:rPr>
  </w:style>
  <w:style w:type="character" w:styleId="aff0">
    <w:name w:val="Hyperlink"/>
    <w:basedOn w:val="a0"/>
    <w:uiPriority w:val="99"/>
    <w:unhideWhenUsed/>
    <w:qFormat/>
    <w:rPr>
      <w:color w:val="0563C1" w:themeColor="hyperlink"/>
      <w:u w:val="single"/>
    </w:rPr>
  </w:style>
  <w:style w:type="character" w:styleId="aff1">
    <w:name w:val="annotation reference"/>
    <w:basedOn w:val="a0"/>
    <w:uiPriority w:val="99"/>
    <w:unhideWhenUsed/>
    <w:qFormat/>
    <w:rPr>
      <w:sz w:val="21"/>
      <w:szCs w:val="21"/>
    </w:rPr>
  </w:style>
  <w:style w:type="character" w:styleId="aff2">
    <w:name w:val="footnote reference"/>
    <w:basedOn w:val="a0"/>
    <w:unhideWhenUsed/>
    <w:qFormat/>
    <w:rPr>
      <w:vertAlign w:val="superscript"/>
    </w:rPr>
  </w:style>
  <w:style w:type="character" w:customStyle="1" w:styleId="10">
    <w:name w:val="标题 1 字符"/>
    <w:basedOn w:val="a0"/>
    <w:link w:val="1"/>
    <w:uiPriority w:val="9"/>
    <w:qFormat/>
    <w:rPr>
      <w:rFonts w:ascii="Calibri" w:eastAsia="宋体" w:hAnsi="Calibri" w:cs="Times New Roman"/>
      <w:b/>
      <w:bCs/>
      <w:kern w:val="44"/>
      <w:sz w:val="44"/>
      <w:szCs w:val="44"/>
    </w:rPr>
  </w:style>
  <w:style w:type="character" w:customStyle="1" w:styleId="30">
    <w:name w:val="标题 3 字符"/>
    <w:basedOn w:val="a0"/>
    <w:link w:val="3"/>
    <w:uiPriority w:val="9"/>
    <w:qFormat/>
    <w:rPr>
      <w:rFonts w:ascii="宋体" w:eastAsia="汉仪大宋简" w:hAnsi="宋体" w:cs="宋体"/>
      <w:color w:val="000000" w:themeColor="text1"/>
      <w:sz w:val="26"/>
      <w:szCs w:val="21"/>
    </w:rPr>
  </w:style>
  <w:style w:type="character" w:customStyle="1" w:styleId="af2">
    <w:name w:val="页眉 字符"/>
    <w:basedOn w:val="a0"/>
    <w:link w:val="af1"/>
    <w:uiPriority w:val="99"/>
    <w:qFormat/>
    <w:rPr>
      <w:sz w:val="18"/>
      <w:szCs w:val="18"/>
    </w:rPr>
  </w:style>
  <w:style w:type="character" w:customStyle="1" w:styleId="af0">
    <w:name w:val="页脚 字符"/>
    <w:basedOn w:val="a0"/>
    <w:link w:val="af"/>
    <w:uiPriority w:val="99"/>
    <w:qFormat/>
    <w:rPr>
      <w:sz w:val="18"/>
      <w:szCs w:val="18"/>
    </w:rPr>
  </w:style>
  <w:style w:type="character" w:customStyle="1" w:styleId="aa">
    <w:name w:val="纯文本 字符"/>
    <w:basedOn w:val="a0"/>
    <w:link w:val="a9"/>
    <w:uiPriority w:val="99"/>
    <w:qFormat/>
    <w:rPr>
      <w:rFonts w:ascii="宋体" w:eastAsia="宋体" w:hAnsi="Courier New" w:cs="Courier New"/>
      <w:szCs w:val="21"/>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20">
    <w:name w:val="标题 2 字符"/>
    <w:basedOn w:val="a0"/>
    <w:link w:val="2"/>
    <w:uiPriority w:val="9"/>
    <w:qFormat/>
    <w:rPr>
      <w:rFonts w:asciiTheme="majorHAnsi" w:eastAsiaTheme="majorEastAsia" w:hAnsiTheme="majorHAnsi" w:cstheme="majorBidi"/>
      <w:b/>
      <w:bCs/>
      <w:color w:val="000000" w:themeColor="text1"/>
      <w:sz w:val="32"/>
      <w:szCs w:val="32"/>
    </w:rPr>
  </w:style>
  <w:style w:type="character" w:customStyle="1" w:styleId="a4">
    <w:name w:val="文档结构图 字符"/>
    <w:basedOn w:val="a0"/>
    <w:link w:val="a3"/>
    <w:uiPriority w:val="99"/>
    <w:qFormat/>
    <w:rPr>
      <w:rFonts w:ascii="宋体" w:eastAsia="宋体" w:hAnsi="宋体" w:cs="宋体"/>
      <w:color w:val="000000" w:themeColor="text1"/>
      <w:sz w:val="24"/>
      <w:szCs w:val="24"/>
    </w:rPr>
  </w:style>
  <w:style w:type="character" w:customStyle="1" w:styleId="a6">
    <w:name w:val="批注文字 字符"/>
    <w:basedOn w:val="a0"/>
    <w:link w:val="a5"/>
    <w:uiPriority w:val="99"/>
    <w:qFormat/>
    <w:rPr>
      <w:rFonts w:ascii="宋体" w:eastAsia="宋体" w:hAnsi="宋体" w:cs="宋体"/>
      <w:color w:val="000000" w:themeColor="text1"/>
      <w:szCs w:val="21"/>
    </w:rPr>
  </w:style>
  <w:style w:type="character" w:customStyle="1" w:styleId="ae">
    <w:name w:val="批注框文本 字符"/>
    <w:basedOn w:val="a0"/>
    <w:link w:val="ad"/>
    <w:uiPriority w:val="99"/>
    <w:qFormat/>
    <w:rPr>
      <w:rFonts w:ascii="宋体" w:eastAsia="宋体" w:hAnsi="宋体" w:cs="宋体"/>
      <w:color w:val="000000" w:themeColor="text1"/>
      <w:sz w:val="18"/>
      <w:szCs w:val="18"/>
    </w:rPr>
  </w:style>
  <w:style w:type="character" w:customStyle="1" w:styleId="af4">
    <w:name w:val="脚注文本 字符"/>
    <w:basedOn w:val="a0"/>
    <w:link w:val="af3"/>
    <w:qFormat/>
    <w:rPr>
      <w:rFonts w:ascii="宋体" w:eastAsia="宋体" w:hAnsi="宋体" w:cs="宋体"/>
      <w:color w:val="000000" w:themeColor="text1"/>
      <w:sz w:val="18"/>
      <w:szCs w:val="21"/>
    </w:rPr>
  </w:style>
  <w:style w:type="character" w:customStyle="1" w:styleId="af7">
    <w:name w:val="标题 字符"/>
    <w:basedOn w:val="a0"/>
    <w:link w:val="af6"/>
    <w:uiPriority w:val="10"/>
    <w:qFormat/>
    <w:rPr>
      <w:rFonts w:asciiTheme="majorHAnsi" w:eastAsiaTheme="majorEastAsia" w:hAnsiTheme="majorHAnsi" w:cstheme="majorBidi"/>
      <w:b/>
      <w:bCs/>
      <w:color w:val="000000" w:themeColor="text1"/>
      <w:sz w:val="32"/>
      <w:szCs w:val="32"/>
    </w:rPr>
  </w:style>
  <w:style w:type="character" w:customStyle="1" w:styleId="af9">
    <w:name w:val="批注主题 字符"/>
    <w:basedOn w:val="a6"/>
    <w:link w:val="af8"/>
    <w:uiPriority w:val="99"/>
    <w:qFormat/>
    <w:rPr>
      <w:rFonts w:ascii="宋体" w:eastAsia="宋体" w:hAnsi="宋体" w:cs="宋体"/>
      <w:b/>
      <w:bCs/>
      <w:color w:val="000000" w:themeColor="text1"/>
      <w:szCs w:val="21"/>
    </w:rPr>
  </w:style>
  <w:style w:type="paragraph" w:styleId="aff3">
    <w:name w:val="List Paragraph"/>
    <w:basedOn w:val="a"/>
    <w:uiPriority w:val="34"/>
    <w:qFormat/>
    <w:pPr>
      <w:ind w:firstLineChars="200" w:firstLine="420"/>
    </w:p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a"/>
    <w:qFormat/>
    <w:pPr>
      <w:ind w:firstLineChars="200" w:firstLine="420"/>
    </w:pPr>
    <w:rPr>
      <w:rFonts w:cs="Times New Roman" w:hint="eastAsia"/>
      <w:sz w:val="24"/>
      <w:szCs w:val="24"/>
    </w:rPr>
  </w:style>
  <w:style w:type="character" w:customStyle="1" w:styleId="12">
    <w:name w:val="页脚 字符1"/>
    <w:basedOn w:val="a0"/>
    <w:uiPriority w:val="99"/>
    <w:semiHidden/>
    <w:qFormat/>
    <w:rPr>
      <w:rFonts w:ascii="Calibri" w:eastAsia="宋体" w:hAnsi="Calibri" w:cs="Times New Roman"/>
      <w:sz w:val="18"/>
      <w:szCs w:val="18"/>
    </w:rPr>
  </w:style>
  <w:style w:type="character" w:customStyle="1" w:styleId="13">
    <w:name w:val="批注框文本 字符1"/>
    <w:basedOn w:val="a0"/>
    <w:uiPriority w:val="99"/>
    <w:semiHidden/>
    <w:qFormat/>
    <w:rPr>
      <w:rFonts w:ascii="宋体" w:eastAsia="宋体" w:hAnsi="Calibri" w:cs="Times New Roman"/>
      <w:sz w:val="18"/>
      <w:szCs w:val="18"/>
    </w:rPr>
  </w:style>
  <w:style w:type="character" w:customStyle="1" w:styleId="14">
    <w:name w:val="文档结构图 字符1"/>
    <w:basedOn w:val="a0"/>
    <w:uiPriority w:val="99"/>
    <w:semiHidden/>
    <w:qFormat/>
    <w:rPr>
      <w:rFonts w:ascii="ACADEMY ENGRAVED LET PLAIN:1.0" w:eastAsia="宋体" w:hAnsi="ACADEMY ENGRAVED LET PLAIN:1.0" w:cs="Times New Roman"/>
      <w:sz w:val="26"/>
      <w:szCs w:val="26"/>
    </w:rPr>
  </w:style>
  <w:style w:type="character" w:customStyle="1" w:styleId="15">
    <w:name w:val="纯文本 字符1"/>
    <w:basedOn w:val="a0"/>
    <w:uiPriority w:val="99"/>
    <w:semiHidden/>
    <w:qFormat/>
    <w:rPr>
      <w:rFonts w:asciiTheme="minorEastAsia" w:hAnsi="Courier New" w:cs="Courier New"/>
      <w:sz w:val="21"/>
    </w:rPr>
  </w:style>
  <w:style w:type="character" w:customStyle="1" w:styleId="16">
    <w:name w:val="脚注文本 字符1"/>
    <w:basedOn w:val="a0"/>
    <w:uiPriority w:val="99"/>
    <w:semiHidden/>
    <w:qFormat/>
    <w:rPr>
      <w:rFonts w:ascii="Calibri" w:eastAsia="宋体" w:hAnsi="Calibri" w:cs="Times New Roman"/>
      <w:sz w:val="18"/>
      <w:szCs w:val="18"/>
    </w:rPr>
  </w:style>
  <w:style w:type="character" w:customStyle="1" w:styleId="17">
    <w:name w:val="页眉 字符1"/>
    <w:basedOn w:val="a0"/>
    <w:uiPriority w:val="99"/>
    <w:semiHidden/>
    <w:qFormat/>
    <w:rPr>
      <w:rFonts w:ascii="Calibri" w:eastAsia="宋体" w:hAnsi="Calibri" w:cs="Times New Roman"/>
      <w:sz w:val="18"/>
      <w:szCs w:val="18"/>
    </w:rPr>
  </w:style>
  <w:style w:type="paragraph" w:customStyle="1" w:styleId="18">
    <w:name w:val="列出段落1"/>
    <w:basedOn w:val="a"/>
    <w:uiPriority w:val="34"/>
    <w:qFormat/>
    <w:pPr>
      <w:ind w:firstLineChars="200" w:firstLine="420"/>
    </w:pPr>
    <w:rPr>
      <w:rFonts w:ascii="Calibri" w:hAnsi="Calibri" w:cs="Times New Roman"/>
      <w:color w:val="auto"/>
      <w:szCs w:val="24"/>
    </w:rPr>
  </w:style>
  <w:style w:type="paragraph" w:customStyle="1" w:styleId="19">
    <w:name w:val="无间隔1"/>
    <w:uiPriority w:val="1"/>
    <w:qFormat/>
    <w:pPr>
      <w:widowControl w:val="0"/>
      <w:jc w:val="both"/>
    </w:pPr>
    <w:rPr>
      <w:rFonts w:ascii="Calibri" w:eastAsia="宋体" w:hAnsi="Calibri" w:cs="Times New Roman"/>
      <w:kern w:val="2"/>
      <w:sz w:val="21"/>
      <w:szCs w:val="24"/>
    </w:rPr>
  </w:style>
  <w:style w:type="paragraph" w:customStyle="1" w:styleId="110">
    <w:name w:val="列出段落11"/>
    <w:basedOn w:val="a"/>
    <w:uiPriority w:val="34"/>
    <w:qFormat/>
    <w:pPr>
      <w:ind w:firstLineChars="200" w:firstLine="420"/>
    </w:pPr>
    <w:rPr>
      <w:rFonts w:ascii="Calibri" w:hAnsi="Calibri" w:cs="Times New Roman"/>
      <w:color w:val="auto"/>
      <w:szCs w:val="24"/>
    </w:rPr>
  </w:style>
  <w:style w:type="table" w:customStyle="1" w:styleId="TableNormal">
    <w:name w:val="Table Normal"/>
    <w:qFormat/>
    <w:rPr>
      <w:rFonts w:ascii="Times New Roman" w:eastAsia="等线" w:hAnsi="Times New Roman" w:cs="Times New Roman"/>
    </w:rPr>
    <w:tblPr>
      <w:tblCellMar>
        <w:top w:w="0" w:type="dxa"/>
        <w:left w:w="0" w:type="dxa"/>
        <w:bottom w:w="0" w:type="dxa"/>
        <w:right w:w="0" w:type="dxa"/>
      </w:tblCellMar>
    </w:tblPr>
  </w:style>
  <w:style w:type="character" w:customStyle="1" w:styleId="aff4">
    <w:name w:val="无"/>
    <w:qFormat/>
  </w:style>
  <w:style w:type="table" w:customStyle="1" w:styleId="TableNormal1">
    <w:name w:val="Table Normal1"/>
    <w:qFormat/>
    <w:rPr>
      <w:rFonts w:ascii="Times New Roman" w:hAnsi="Times New Roman" w:cs="Times New Roman"/>
    </w:rPr>
    <w:tblPr>
      <w:tblCellMar>
        <w:top w:w="0" w:type="dxa"/>
        <w:left w:w="0" w:type="dxa"/>
        <w:bottom w:w="0" w:type="dxa"/>
        <w:right w:w="0" w:type="dxa"/>
      </w:tblCellMar>
    </w:tblPr>
  </w:style>
  <w:style w:type="character" w:customStyle="1" w:styleId="Hyperlink1">
    <w:name w:val="Hyperlink.1"/>
    <w:basedOn w:val="aff4"/>
    <w:qFormat/>
    <w:rPr>
      <w:rFonts w:ascii="宋体" w:eastAsia="宋体" w:hAnsi="宋体" w:cs="宋体"/>
      <w:color w:val="000000"/>
      <w:u w:color="000000"/>
      <w:lang w:val="zh-TW" w:eastAsia="zh-TW"/>
    </w:rPr>
  </w:style>
  <w:style w:type="character" w:customStyle="1" w:styleId="Char">
    <w:name w:val="纯文本 Char"/>
    <w:uiPriority w:val="99"/>
    <w:qFormat/>
    <w:rPr>
      <w:rFonts w:ascii="宋体" w:eastAsia="宋体" w:hAnsi="Courier New" w:cs="Courier New"/>
      <w:szCs w:val="21"/>
    </w:rPr>
  </w:style>
  <w:style w:type="character" w:customStyle="1" w:styleId="Char1">
    <w:name w:val="纯文本 Char1"/>
    <w:qFormat/>
    <w:rPr>
      <w:rFonts w:ascii="宋体" w:eastAsia="宋体" w:hAnsi="Courier New" w:cs="Courier New"/>
      <w:szCs w:val="21"/>
    </w:rPr>
  </w:style>
  <w:style w:type="paragraph" w:customStyle="1" w:styleId="Other1">
    <w:name w:val="Other|1"/>
    <w:basedOn w:val="a"/>
    <w:qFormat/>
    <w:pPr>
      <w:spacing w:line="293" w:lineRule="exact"/>
    </w:pPr>
    <w:rPr>
      <w:color w:val="2C1B1C"/>
      <w:sz w:val="19"/>
      <w:szCs w:val="19"/>
      <w:lang w:val="zh-TW" w:eastAsia="zh-TW" w:bidi="zh-TW"/>
    </w:rPr>
  </w:style>
  <w:style w:type="paragraph" w:customStyle="1" w:styleId="-11">
    <w:name w:val="彩色列表 - 着色 11"/>
    <w:basedOn w:val="a"/>
    <w:uiPriority w:val="34"/>
    <w:unhideWhenUsed/>
    <w:qFormat/>
    <w:pPr>
      <w:ind w:firstLineChars="200" w:firstLine="420"/>
    </w:pPr>
    <w:rPr>
      <w:rFonts w:ascii="Calibri" w:hAnsi="Calibri" w:cs="Times New Roman"/>
      <w:color w:val="auto"/>
      <w:szCs w:val="24"/>
    </w:rPr>
  </w:style>
  <w:style w:type="character" w:customStyle="1" w:styleId="a8">
    <w:name w:val="正文文本 字符"/>
    <w:basedOn w:val="a0"/>
    <w:link w:val="a7"/>
    <w:uiPriority w:val="1"/>
    <w:qFormat/>
    <w:rPr>
      <w:rFonts w:ascii="宋体" w:eastAsia="宋体" w:hAnsi="宋体" w:cs="宋体"/>
      <w:kern w:val="0"/>
      <w:szCs w:val="21"/>
      <w:lang w:val="zh-CN" w:bidi="zh-CN"/>
    </w:rPr>
  </w:style>
  <w:style w:type="character" w:customStyle="1" w:styleId="ac">
    <w:name w:val="尾注文本 字符"/>
    <w:basedOn w:val="a0"/>
    <w:link w:val="ab"/>
    <w:uiPriority w:val="99"/>
    <w:qFormat/>
  </w:style>
  <w:style w:type="character" w:customStyle="1" w:styleId="HTML0">
    <w:name w:val="HTML 预设格式 字符"/>
    <w:basedOn w:val="a0"/>
    <w:link w:val="HTML"/>
    <w:uiPriority w:val="99"/>
    <w:qFormat/>
    <w:rPr>
      <w:rFonts w:ascii="宋体" w:eastAsia="宋体" w:hAnsi="宋体" w:cs="宋体"/>
      <w:kern w:val="0"/>
      <w:sz w:val="24"/>
      <w:szCs w:val="24"/>
    </w:rPr>
  </w:style>
  <w:style w:type="character" w:customStyle="1" w:styleId="1Char">
    <w:name w:val="标题 1 Char"/>
    <w:basedOn w:val="a0"/>
    <w:uiPriority w:val="9"/>
    <w:qFormat/>
    <w:rPr>
      <w:b/>
      <w:bCs/>
      <w:kern w:val="44"/>
      <w:sz w:val="44"/>
      <w:szCs w:val="44"/>
    </w:rPr>
  </w:style>
  <w:style w:type="character" w:customStyle="1" w:styleId="2Char">
    <w:name w:val="标题 2 Char"/>
    <w:basedOn w:val="a0"/>
    <w:uiPriority w:val="9"/>
    <w:semiHidden/>
    <w:qFormat/>
    <w:rPr>
      <w:rFonts w:asciiTheme="majorHAnsi" w:eastAsiaTheme="majorEastAsia" w:hAnsiTheme="majorHAnsi" w:cstheme="majorBidi"/>
      <w:b/>
      <w:bCs/>
      <w:sz w:val="32"/>
      <w:szCs w:val="32"/>
    </w:rPr>
  </w:style>
  <w:style w:type="character" w:customStyle="1" w:styleId="3Char">
    <w:name w:val="标题 3 Char"/>
    <w:basedOn w:val="a0"/>
    <w:uiPriority w:val="9"/>
    <w:semiHidden/>
    <w:qFormat/>
    <w:rPr>
      <w:b/>
      <w:bCs/>
      <w:sz w:val="32"/>
      <w:szCs w:val="32"/>
    </w:rPr>
  </w:style>
  <w:style w:type="character" w:customStyle="1" w:styleId="description">
    <w:name w:val="description"/>
    <w:basedOn w:val="a0"/>
    <w:qFormat/>
  </w:style>
  <w:style w:type="character" w:customStyle="1" w:styleId="Char0">
    <w:name w:val="页眉 Char"/>
    <w:basedOn w:val="a0"/>
    <w:link w:val="1a"/>
    <w:uiPriority w:val="99"/>
    <w:qFormat/>
    <w:rPr>
      <w:sz w:val="18"/>
      <w:szCs w:val="18"/>
    </w:rPr>
  </w:style>
  <w:style w:type="paragraph" w:customStyle="1" w:styleId="1a">
    <w:name w:val="页眉1"/>
    <w:basedOn w:val="a"/>
    <w:next w:val="af1"/>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color w:val="auto"/>
      <w:sz w:val="18"/>
      <w:szCs w:val="18"/>
    </w:rPr>
  </w:style>
  <w:style w:type="character" w:customStyle="1" w:styleId="Char2">
    <w:name w:val="页脚 Char"/>
    <w:basedOn w:val="a0"/>
    <w:link w:val="1b"/>
    <w:uiPriority w:val="99"/>
    <w:qFormat/>
    <w:rPr>
      <w:sz w:val="18"/>
      <w:szCs w:val="18"/>
    </w:rPr>
  </w:style>
  <w:style w:type="paragraph" w:customStyle="1" w:styleId="1b">
    <w:name w:val="页脚1"/>
    <w:basedOn w:val="a"/>
    <w:next w:val="af"/>
    <w:link w:val="Char2"/>
    <w:uiPriority w:val="99"/>
    <w:unhideWhenUsed/>
    <w:qFormat/>
    <w:pPr>
      <w:tabs>
        <w:tab w:val="center" w:pos="4153"/>
        <w:tab w:val="right" w:pos="8306"/>
      </w:tabs>
      <w:snapToGrid w:val="0"/>
      <w:jc w:val="left"/>
    </w:pPr>
    <w:rPr>
      <w:rFonts w:asciiTheme="minorHAnsi" w:eastAsiaTheme="minorEastAsia" w:hAnsiTheme="minorHAnsi" w:cstheme="minorBidi"/>
      <w:color w:val="auto"/>
      <w:sz w:val="18"/>
      <w:szCs w:val="18"/>
    </w:rPr>
  </w:style>
  <w:style w:type="character" w:customStyle="1" w:styleId="Char3">
    <w:name w:val="文档结构图 Char"/>
    <w:basedOn w:val="a0"/>
    <w:uiPriority w:val="99"/>
    <w:semiHidden/>
    <w:qFormat/>
    <w:rPr>
      <w:rFonts w:ascii="宋体" w:eastAsia="宋体"/>
      <w:sz w:val="18"/>
      <w:szCs w:val="18"/>
    </w:rPr>
  </w:style>
  <w:style w:type="character" w:customStyle="1" w:styleId="Char4">
    <w:name w:val="脚注文本 Char"/>
    <w:basedOn w:val="a0"/>
    <w:uiPriority w:val="99"/>
    <w:semiHidden/>
    <w:qFormat/>
    <w:rPr>
      <w:sz w:val="18"/>
      <w:szCs w:val="18"/>
    </w:rPr>
  </w:style>
  <w:style w:type="character" w:customStyle="1" w:styleId="apple-converted-space">
    <w:name w:val="apple-converted-space"/>
    <w:basedOn w:val="a0"/>
    <w:qFormat/>
  </w:style>
  <w:style w:type="paragraph" w:customStyle="1" w:styleId="21">
    <w:name w:val="列出段落2"/>
    <w:basedOn w:val="a"/>
    <w:uiPriority w:val="99"/>
    <w:qFormat/>
    <w:pPr>
      <w:ind w:firstLineChars="200" w:firstLine="420"/>
    </w:pPr>
    <w:rPr>
      <w:rFonts w:ascii="Calibri" w:hAnsi="Calibri"/>
      <w:color w:val="auto"/>
      <w:szCs w:val="22"/>
    </w:rPr>
  </w:style>
  <w:style w:type="paragraph" w:customStyle="1" w:styleId="TableParagraph">
    <w:name w:val="Table Paragraph"/>
    <w:basedOn w:val="a"/>
    <w:uiPriority w:val="1"/>
    <w:qFormat/>
    <w:pPr>
      <w:autoSpaceDE w:val="0"/>
      <w:autoSpaceDN w:val="0"/>
      <w:ind w:left="113"/>
      <w:jc w:val="left"/>
    </w:pPr>
    <w:rPr>
      <w:color w:val="auto"/>
      <w:kern w:val="0"/>
      <w:sz w:val="22"/>
      <w:szCs w:val="22"/>
      <w:lang w:val="zh-CN" w:bidi="zh-CN"/>
    </w:rPr>
  </w:style>
  <w:style w:type="character" w:customStyle="1" w:styleId="Bodytext1">
    <w:name w:val="Body text|1_"/>
    <w:link w:val="Bodytext10"/>
    <w:qFormat/>
    <w:rPr>
      <w:rFonts w:ascii="宋体" w:hAnsi="宋体" w:cs="宋体"/>
      <w:color w:val="2E2E2D"/>
      <w:sz w:val="18"/>
      <w:szCs w:val="18"/>
      <w:lang w:val="zh-TW" w:eastAsia="zh-TW" w:bidi="zh-TW"/>
    </w:rPr>
  </w:style>
  <w:style w:type="paragraph" w:customStyle="1" w:styleId="Bodytext10">
    <w:name w:val="Body text|1"/>
    <w:basedOn w:val="a"/>
    <w:link w:val="Bodytext1"/>
    <w:qFormat/>
    <w:pPr>
      <w:spacing w:line="360" w:lineRule="auto"/>
      <w:ind w:firstLine="400"/>
      <w:jc w:val="left"/>
    </w:pPr>
    <w:rPr>
      <w:rFonts w:eastAsiaTheme="minorEastAsia"/>
      <w:color w:val="2E2E2D"/>
      <w:sz w:val="18"/>
      <w:szCs w:val="18"/>
      <w:lang w:val="zh-TW" w:eastAsia="zh-TW" w:bidi="zh-TW"/>
    </w:rPr>
  </w:style>
  <w:style w:type="character" w:customStyle="1" w:styleId="1c">
    <w:name w:val="正文文本 字符1"/>
    <w:basedOn w:val="a0"/>
    <w:uiPriority w:val="99"/>
    <w:semiHidden/>
    <w:qFormat/>
    <w:rPr>
      <w:kern w:val="2"/>
      <w:sz w:val="21"/>
      <w:szCs w:val="22"/>
    </w:rPr>
  </w:style>
  <w:style w:type="paragraph" w:customStyle="1" w:styleId="1d">
    <w:name w:val="彩色列表1"/>
    <w:basedOn w:val="a"/>
    <w:uiPriority w:val="34"/>
    <w:qFormat/>
    <w:pPr>
      <w:ind w:firstLineChars="200" w:firstLine="420"/>
    </w:pPr>
    <w:rPr>
      <w:rFonts w:asciiTheme="minorHAnsi" w:eastAsiaTheme="minorEastAsia" w:hAnsiTheme="minorHAnsi" w:cstheme="minorBidi"/>
      <w:color w:val="auto"/>
      <w:szCs w:val="22"/>
    </w:rPr>
  </w:style>
  <w:style w:type="table" w:customStyle="1" w:styleId="111">
    <w:name w:val="网格型1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目录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table" w:customStyle="1" w:styleId="120">
    <w:name w:val="网格型1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D48E-A91D-49D2-9B11-38B8ADF2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4</Pages>
  <Words>2680</Words>
  <Characters>2681</Characters>
  <Application>Microsoft Office Word</Application>
  <DocSecurity>0</DocSecurity>
  <Lines>92</Lines>
  <Paragraphs>87</Paragraphs>
  <ScaleCrop>false</ScaleCrop>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文琦</dc:creator>
  <cp:lastModifiedBy>文琦 刘</cp:lastModifiedBy>
  <cp:revision>383</cp:revision>
  <dcterms:created xsi:type="dcterms:W3CDTF">2023-06-01T10:50:00Z</dcterms:created>
  <dcterms:modified xsi:type="dcterms:W3CDTF">2026-07-27T14:40:00Z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eyJoZGlkIjoiOTc3M2Y5NzIzMDFlZjAyY2Q4Njk5ODkyYjFjNzBiNTQiLCJ1c2VySWQiOiIxNzQ5ODEwMjY0In0=</vt:lpwstr>
  </property>
  <property fmtid="{D5CDD505-2E9C-101B-9397-08002B2CF9AE}" pid="3" name="KSOProductBuildVer">
    <vt:lpwstr>2052-12.1.0.26895</vt:lpwstr>
  </property>
  <property fmtid="{D5CDD505-2E9C-101B-9397-08002B2CF9AE}" pid="4" name="ICV">
    <vt:lpwstr>560CD8245FEF42D1B9B432C0DA482FDF_12</vt:lpwstr>
  </property>
</Properties>
</file>