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7A1C6" w14:textId="51802C71" w:rsidR="001A1D86" w:rsidRPr="00960DE6" w:rsidRDefault="001A1D86" w:rsidP="001A1D86">
      <w:pPr>
        <w:pStyle w:val="1"/>
        <w:spacing w:before="0" w:after="0" w:line="240" w:lineRule="auto"/>
        <w:jc w:val="center"/>
        <w:rPr>
          <w:rFonts w:ascii="宋体" w:hAnsi="宋体" w:cs="汉仪大宋简" w:hint="eastAsia"/>
          <w:sz w:val="24"/>
          <w:szCs w:val="24"/>
        </w:rPr>
      </w:pPr>
      <w:bookmarkStart w:id="0" w:name="_Toc18503"/>
      <w:bookmarkStart w:id="1" w:name="_Toc137116757"/>
      <w:r w:rsidRPr="00960DE6">
        <w:rPr>
          <w:rFonts w:ascii="宋体" w:hAnsi="宋体" w:cs="汉仪大宋简" w:hint="eastAsia"/>
          <w:sz w:val="24"/>
          <w:szCs w:val="24"/>
        </w:rPr>
        <w:t>专题</w:t>
      </w:r>
      <w:r>
        <w:rPr>
          <w:rFonts w:ascii="宋体" w:hAnsi="宋体" w:cs="汉仪大宋简" w:hint="eastAsia"/>
          <w:sz w:val="24"/>
          <w:szCs w:val="24"/>
        </w:rPr>
        <w:t>三</w:t>
      </w:r>
      <w:r w:rsidRPr="00960DE6">
        <w:rPr>
          <w:rFonts w:ascii="宋体" w:hAnsi="宋体" w:cs="汉仪大宋简"/>
          <w:sz w:val="24"/>
          <w:szCs w:val="24"/>
        </w:rPr>
        <w:t xml:space="preserve">  </w:t>
      </w:r>
      <w:r w:rsidRPr="001A1D86">
        <w:rPr>
          <w:rFonts w:ascii="宋体" w:hAnsi="宋体" w:cs="汉仪大宋简"/>
          <w:sz w:val="24"/>
          <w:szCs w:val="24"/>
        </w:rPr>
        <w:t>刑事证据的审查与判断</w:t>
      </w:r>
      <w:r>
        <w:rPr>
          <w:rFonts w:ascii="宋体" w:hAnsi="宋体" w:cs="汉仪大宋简" w:hint="eastAsia"/>
          <w:sz w:val="24"/>
          <w:szCs w:val="24"/>
        </w:rPr>
        <w:t>剩余内容</w:t>
      </w:r>
    </w:p>
    <w:p w14:paraId="34F94325" w14:textId="675E33A1" w:rsidR="00E56977" w:rsidRDefault="00E56977" w:rsidP="001A1D86">
      <w:pPr>
        <w:spacing w:line="300" w:lineRule="exact"/>
        <w:ind w:firstLineChars="200" w:firstLine="420"/>
        <w:rPr>
          <w:rFonts w:cs="汉仪大宋简" w:hint="eastAsia"/>
          <w:bCs/>
        </w:rPr>
      </w:pPr>
      <w:r>
        <w:rPr>
          <w:rFonts w:cs="汉仪大宋简" w:hint="eastAsia"/>
          <w:bCs/>
        </w:rPr>
        <w:t>一、</w:t>
      </w:r>
      <w:r w:rsidRPr="00E56977">
        <w:rPr>
          <w:rFonts w:cs="汉仪大宋简"/>
          <w:bCs/>
        </w:rPr>
        <w:t>各类证据的审查与判断</w:t>
      </w:r>
    </w:p>
    <w:p w14:paraId="626AAE58" w14:textId="733AE1E7" w:rsidR="001A1D86" w:rsidRPr="00E30E4A" w:rsidRDefault="001A1D86" w:rsidP="001A1D86">
      <w:pPr>
        <w:spacing w:line="300" w:lineRule="exact"/>
        <w:ind w:firstLineChars="200" w:firstLine="420"/>
        <w:rPr>
          <w:rFonts w:cs="汉仪大宋简" w:hint="eastAsia"/>
          <w:bCs/>
        </w:rPr>
      </w:pPr>
      <w:r w:rsidRPr="00E30E4A">
        <w:rPr>
          <w:rFonts w:cs="汉仪大宋简" w:hint="eastAsia"/>
          <w:bCs/>
        </w:rPr>
        <w:t>（</w:t>
      </w:r>
      <w:r w:rsidR="00E56977">
        <w:rPr>
          <w:rFonts w:cs="汉仪大宋简" w:hint="eastAsia"/>
          <w:bCs/>
        </w:rPr>
        <w:t>一</w:t>
      </w:r>
      <w:r w:rsidRPr="00E30E4A">
        <w:rPr>
          <w:rFonts w:cs="汉仪大宋简" w:hint="eastAsia"/>
          <w:bCs/>
        </w:rPr>
        <w:t>）电子数据的审查判断</w:t>
      </w:r>
    </w:p>
    <w:p w14:paraId="571895F0" w14:textId="5F5BD1BD" w:rsidR="00B636FF" w:rsidRPr="00B636FF" w:rsidRDefault="00B636FF" w:rsidP="00B636FF">
      <w:pPr>
        <w:spacing w:line="300" w:lineRule="exact"/>
        <w:ind w:firstLineChars="200" w:firstLine="420"/>
        <w:rPr>
          <w:rFonts w:cs="仿宋_GB2312" w:hint="eastAsia"/>
          <w:bCs/>
        </w:rPr>
      </w:pPr>
      <w:r w:rsidRPr="00B636FF">
        <w:rPr>
          <w:rFonts w:cs="仿宋_GB2312" w:hint="eastAsia"/>
          <w:bCs/>
        </w:rPr>
        <w:t>关于电子数据的审查判断，依据其真实性及</w:t>
      </w:r>
      <w:r>
        <w:rPr>
          <w:rFonts w:cs="仿宋_GB2312" w:hint="eastAsia"/>
          <w:bCs/>
        </w:rPr>
        <w:t>完整性</w:t>
      </w:r>
      <w:r w:rsidRPr="00B636FF">
        <w:rPr>
          <w:rFonts w:cs="仿宋_GB2312" w:hint="eastAsia"/>
          <w:bCs/>
        </w:rPr>
        <w:t>，从以下两个层面进行把握：</w:t>
      </w:r>
    </w:p>
    <w:p w14:paraId="653D0A27" w14:textId="6228030D" w:rsidR="00B636FF" w:rsidRPr="00B636FF" w:rsidRDefault="00B636FF" w:rsidP="00B636FF">
      <w:pPr>
        <w:spacing w:line="300" w:lineRule="exact"/>
        <w:ind w:firstLineChars="200" w:firstLine="420"/>
        <w:rPr>
          <w:rFonts w:cs="仿宋_GB2312" w:hint="eastAsia"/>
          <w:bCs/>
        </w:rPr>
      </w:pPr>
      <w:r w:rsidRPr="00B636FF">
        <w:rPr>
          <w:rFonts w:cs="仿宋_GB2312" w:hint="eastAsia"/>
          <w:bCs/>
        </w:rPr>
        <w:t>首先，符合法定条件的电子数据可以作为证据使用。这主要包括两类情形：一是在初查过程中依法收集、提取的电子数据，以及通过网络在线提取的电子数据；二是针对收集、提取程序存在瑕疵的电子数据，若该瑕疵并不影响电子数据的真实性，且经办案人员予以补正或者作出合理解释后，该电子数据同样具备证据资格。可补正瑕疵包括：电子数据未以封存状态移送；相关笔录或清单缺少调查人员、侦查人员、电子数据持有人、提供人或见证人的签名、盖章；对电子数据的名称、类别、格式等注明不清；以及其他瑕疵。</w:t>
      </w:r>
    </w:p>
    <w:p w14:paraId="29B5F696" w14:textId="71BB5E92" w:rsidR="00B636FF" w:rsidRDefault="00B636FF" w:rsidP="00B636FF">
      <w:pPr>
        <w:spacing w:line="300" w:lineRule="exact"/>
        <w:ind w:firstLineChars="200" w:firstLine="420"/>
        <w:rPr>
          <w:rFonts w:cs="仿宋_GB2312" w:hint="eastAsia"/>
          <w:bCs/>
        </w:rPr>
      </w:pPr>
      <w:r w:rsidRPr="00B636FF">
        <w:rPr>
          <w:rFonts w:cs="仿宋_GB2312" w:hint="eastAsia"/>
          <w:bCs/>
        </w:rPr>
        <w:t>其次，存在特定情形的电子数据不得作为定案的根据。这主要针对那些影响电子数据真实性的根本性缺陷。具体包括：电子数据系被篡改、伪造或者无法确定真伪的；电子数据存在增加、删除、修改等情形，且足以影响其真实性的；以及其他无法保证电子数据真实性的情形。一旦电子数据丧失真实性基础，无论能否补正，均应当依法予以排除。</w:t>
      </w:r>
    </w:p>
    <w:p w14:paraId="6243D885" w14:textId="3F63D04D" w:rsidR="001A1D86" w:rsidRPr="00E30E4A" w:rsidRDefault="001A1D86" w:rsidP="001A1D86">
      <w:pPr>
        <w:spacing w:line="300" w:lineRule="exact"/>
        <w:ind w:firstLineChars="200" w:firstLine="420"/>
        <w:rPr>
          <w:rFonts w:cs="汉仪大宋简" w:hint="eastAsia"/>
          <w:bCs/>
        </w:rPr>
      </w:pPr>
      <w:r w:rsidRPr="00E30E4A">
        <w:rPr>
          <w:rFonts w:cs="汉仪大宋简" w:hint="eastAsia"/>
          <w:bCs/>
        </w:rPr>
        <w:t>（</w:t>
      </w:r>
      <w:r w:rsidR="00E56977">
        <w:rPr>
          <w:rFonts w:cs="汉仪大宋简" w:hint="eastAsia"/>
          <w:bCs/>
        </w:rPr>
        <w:t>二</w:t>
      </w:r>
      <w:r w:rsidRPr="00E30E4A">
        <w:rPr>
          <w:rFonts w:cs="汉仪大宋简" w:hint="eastAsia"/>
          <w:bCs/>
        </w:rPr>
        <w:t>）技术调查、侦查证据的审查与认定</w:t>
      </w:r>
    </w:p>
    <w:p w14:paraId="4DD81029" w14:textId="0D4A7D00" w:rsidR="00F44D4F" w:rsidRDefault="001A1D86" w:rsidP="00F44D4F">
      <w:pPr>
        <w:spacing w:line="300" w:lineRule="exact"/>
        <w:ind w:firstLineChars="200" w:firstLine="422"/>
        <w:rPr>
          <w:rFonts w:hint="eastAsia"/>
        </w:rPr>
      </w:pPr>
      <w:r w:rsidRPr="006811A9">
        <w:rPr>
          <w:rFonts w:hint="eastAsia"/>
          <w:b/>
          <w:color w:val="B00824"/>
        </w:rPr>
        <w:t>应当经过当庭出示、辨认、质证等法庭调查程序查证</w:t>
      </w:r>
      <w:r w:rsidRPr="006811A9">
        <w:rPr>
          <w:rFonts w:hint="eastAsia"/>
          <w:b/>
        </w:rPr>
        <w:t>可以作为定案依据。</w:t>
      </w:r>
      <w:r w:rsidRPr="00E30E4A">
        <w:rPr>
          <w:rFonts w:hint="eastAsia"/>
        </w:rPr>
        <w:t>当庭调查可能危及有关人员的人身安全，或者可能产生其他严重后果的，法庭应当</w:t>
      </w:r>
      <w:r w:rsidRPr="00E30E4A">
        <w:rPr>
          <w:rFonts w:hint="eastAsia"/>
          <w:color w:val="B00824"/>
        </w:rPr>
        <w:t>采取不暴露有关人员身份和技术调查、侦查措施使用的技术设备、技术方法等保护措施</w:t>
      </w:r>
      <w:r w:rsidRPr="00E30E4A">
        <w:rPr>
          <w:rFonts w:hint="eastAsia"/>
        </w:rPr>
        <w:t>。</w:t>
      </w:r>
      <w:r w:rsidRPr="00E30E4A">
        <w:rPr>
          <w:rFonts w:hint="eastAsia"/>
          <w:color w:val="B00824"/>
        </w:rPr>
        <w:t>必要时，审判人员可以在庭外对证据进行核实</w:t>
      </w:r>
      <w:r w:rsidRPr="00E30E4A">
        <w:rPr>
          <w:rFonts w:hint="eastAsia"/>
        </w:rPr>
        <w:t>。采用技术调查、侦查证据作为定案根据的，人民法院在裁判文书中可以表述相关证据的名称、证据种类和证明对象，但</w:t>
      </w:r>
      <w:r w:rsidRPr="00E30E4A">
        <w:rPr>
          <w:rFonts w:hint="eastAsia"/>
          <w:color w:val="B00824"/>
        </w:rPr>
        <w:t>不得表述有关人员身份和技术调查、侦查措施使用的技术设备、技术方法</w:t>
      </w:r>
      <w:r w:rsidRPr="00E30E4A">
        <w:rPr>
          <w:rFonts w:hint="eastAsia"/>
        </w:rPr>
        <w:t>等。</w:t>
      </w:r>
    </w:p>
    <w:p w14:paraId="074FAD1E" w14:textId="5ACD33D6" w:rsidR="00F44D4F" w:rsidRDefault="00F44D4F" w:rsidP="00F44D4F">
      <w:pPr>
        <w:spacing w:line="300" w:lineRule="exact"/>
        <w:ind w:firstLineChars="200" w:firstLine="420"/>
        <w:rPr>
          <w:rFonts w:hint="eastAsia"/>
        </w:rPr>
      </w:pPr>
      <w:r>
        <w:rPr>
          <w:rFonts w:hint="eastAsia"/>
        </w:rPr>
        <w:t>（三）其他证据材料的审查判断</w:t>
      </w:r>
    </w:p>
    <w:p w14:paraId="16B10815" w14:textId="77777777" w:rsidR="00F44D4F" w:rsidRDefault="00F44D4F" w:rsidP="00F44D4F">
      <w:pPr>
        <w:spacing w:line="300" w:lineRule="exact"/>
        <w:ind w:firstLineChars="200" w:firstLine="420"/>
        <w:rPr>
          <w:rFonts w:hint="eastAsia"/>
        </w:rPr>
      </w:pPr>
      <w:r>
        <w:rPr>
          <w:rFonts w:hint="eastAsia"/>
        </w:rPr>
        <w:t>1．对侦查机关出具的被告人到案经过、抓获经过等材料，应当审查是否有出具该说明材料的办案人、办案机关的签名、盖章。对到案经过、抓获经过或者确定被告人有重大嫌疑的根据有疑问的，应当通知人民检察院补充说明。</w:t>
      </w:r>
    </w:p>
    <w:p w14:paraId="208FB93D" w14:textId="77777777" w:rsidR="00F44D4F" w:rsidRDefault="00F44D4F" w:rsidP="00F44D4F">
      <w:pPr>
        <w:spacing w:line="300" w:lineRule="exact"/>
        <w:ind w:firstLineChars="200" w:firstLine="420"/>
        <w:rPr>
          <w:rFonts w:hint="eastAsia"/>
        </w:rPr>
      </w:pPr>
      <w:r>
        <w:rPr>
          <w:rFonts w:hint="eastAsia"/>
        </w:rPr>
        <w:t>2．证明被告人自首、坦白、立功的证据材料，没有加盖接受被告人投案、坦白、检举揭发等的单位的印章，或者接受人员没有签名的，不得作为定案的根据。对被告人及其辩护人提出有自首、坦白、立功的事实和理由，有关机关未予认定，或者有关机关提出被告人有自首、坦白、立功表现，但证据材料不全的，人民法院应当要求有关机关提供证明材料，或者要求相关人员作证，并结合其他证据作出认定。</w:t>
      </w:r>
    </w:p>
    <w:p w14:paraId="5520D501" w14:textId="44C2280F" w:rsidR="00F44D4F" w:rsidRDefault="00F44D4F" w:rsidP="00F44D4F">
      <w:pPr>
        <w:spacing w:line="300" w:lineRule="exact"/>
        <w:ind w:firstLineChars="200" w:firstLine="420"/>
        <w:rPr>
          <w:rFonts w:hint="eastAsia"/>
        </w:rPr>
      </w:pPr>
      <w:r>
        <w:rPr>
          <w:rFonts w:hint="eastAsia"/>
        </w:rPr>
        <w:t>3．审查被告人实施被指控的犯罪时或者审判时是否达到相应法定责任年龄，应当根据户籍证明、出生证明文件、学籍卡、人口普查登记、无利害关系人的证言等证据综合判断。证明被告人已满十二周岁、十四周岁、十六周岁、十八周岁或者不满七十五周岁的证据不足的，应当作出有利于被告人的认定。</w:t>
      </w:r>
    </w:p>
    <w:p w14:paraId="6BF7A604" w14:textId="30AE0F4E" w:rsidR="00F44D4F" w:rsidRDefault="00F44D4F" w:rsidP="00F44D4F">
      <w:pPr>
        <w:spacing w:line="300" w:lineRule="exact"/>
        <w:ind w:firstLineChars="200" w:firstLine="420"/>
        <w:rPr>
          <w:rFonts w:hint="eastAsia"/>
        </w:rPr>
      </w:pPr>
      <w:r>
        <w:rPr>
          <w:rFonts w:hint="eastAsia"/>
        </w:rPr>
        <w:t>（四）具有相似特征的证据的种类区分</w:t>
      </w:r>
    </w:p>
    <w:p w14:paraId="16A8D813" w14:textId="77777777" w:rsidR="00F44D4F" w:rsidRDefault="00F44D4F" w:rsidP="00F44D4F">
      <w:pPr>
        <w:spacing w:line="300" w:lineRule="exact"/>
        <w:ind w:firstLineChars="200" w:firstLine="420"/>
        <w:rPr>
          <w:rFonts w:hint="eastAsia"/>
        </w:rPr>
      </w:pPr>
      <w:r>
        <w:rPr>
          <w:rFonts w:hint="eastAsia"/>
        </w:rPr>
        <w:t>1．物证与书证</w:t>
      </w:r>
    </w:p>
    <w:p w14:paraId="667604AD" w14:textId="77777777" w:rsidR="00F44D4F" w:rsidRDefault="00F44D4F" w:rsidP="00F44D4F">
      <w:pPr>
        <w:spacing w:line="300" w:lineRule="exact"/>
        <w:ind w:firstLineChars="200" w:firstLine="420"/>
        <w:rPr>
          <w:rFonts w:hint="eastAsia"/>
        </w:rPr>
      </w:pPr>
      <w:r>
        <w:rPr>
          <w:rFonts w:hint="eastAsia"/>
        </w:rPr>
        <w:t>物证是用其外部特征、物品属性或存在状况来证明案件事实的证据。</w:t>
      </w:r>
    </w:p>
    <w:p w14:paraId="589E4E64" w14:textId="77777777" w:rsidR="00F44D4F" w:rsidRDefault="00F44D4F" w:rsidP="00F44D4F">
      <w:pPr>
        <w:spacing w:line="300" w:lineRule="exact"/>
        <w:ind w:firstLineChars="200" w:firstLine="420"/>
        <w:rPr>
          <w:rFonts w:hint="eastAsia"/>
        </w:rPr>
      </w:pPr>
      <w:r>
        <w:rPr>
          <w:rFonts w:hint="eastAsia"/>
        </w:rPr>
        <w:t>书证是用其记载内容或反映思想来证明案件事实的证据。</w:t>
      </w:r>
    </w:p>
    <w:p w14:paraId="4C324199" w14:textId="77777777" w:rsidR="00F44D4F" w:rsidRDefault="00F44D4F" w:rsidP="00F44D4F">
      <w:pPr>
        <w:spacing w:line="300" w:lineRule="exact"/>
        <w:ind w:firstLineChars="200" w:firstLine="420"/>
        <w:rPr>
          <w:rFonts w:hint="eastAsia"/>
        </w:rPr>
      </w:pPr>
      <w:r>
        <w:rPr>
          <w:rFonts w:hint="eastAsia"/>
        </w:rPr>
        <w:t>区分物证和书证，与载体无关，与发挥证明作用的内容有关。</w:t>
      </w:r>
    </w:p>
    <w:p w14:paraId="3F0B5A4E" w14:textId="77777777" w:rsidR="00F44D4F" w:rsidRDefault="00F44D4F" w:rsidP="00F44D4F">
      <w:pPr>
        <w:spacing w:line="300" w:lineRule="exact"/>
        <w:ind w:firstLineChars="200" w:firstLine="420"/>
        <w:rPr>
          <w:rFonts w:hint="eastAsia"/>
        </w:rPr>
      </w:pPr>
      <w:r>
        <w:rPr>
          <w:rFonts w:hint="eastAsia"/>
        </w:rPr>
        <w:t>2．言词类证据与书证、视听资料、电子数据</w:t>
      </w:r>
    </w:p>
    <w:p w14:paraId="3194465E" w14:textId="77777777" w:rsidR="00F44D4F" w:rsidRDefault="00F44D4F" w:rsidP="00F44D4F">
      <w:pPr>
        <w:spacing w:line="300" w:lineRule="exact"/>
        <w:ind w:firstLineChars="200" w:firstLine="420"/>
        <w:rPr>
          <w:rFonts w:hint="eastAsia"/>
        </w:rPr>
      </w:pPr>
      <w:r>
        <w:rPr>
          <w:rFonts w:hint="eastAsia"/>
        </w:rPr>
        <w:t>在诉讼过程中，通过书写的证言、办案机关制作的询问证人的笔录或音视频记录的证言来证明案件事实，该材料仍属于证人证言，而非书证或电子数据。被害人陈述、被告人口供亦如此。</w:t>
      </w:r>
    </w:p>
    <w:p w14:paraId="205C4A6F" w14:textId="77777777" w:rsidR="00F44D4F" w:rsidRDefault="00F44D4F" w:rsidP="00F44D4F">
      <w:pPr>
        <w:spacing w:line="300" w:lineRule="exact"/>
        <w:ind w:firstLineChars="200" w:firstLine="420"/>
        <w:rPr>
          <w:rFonts w:hint="eastAsia"/>
        </w:rPr>
      </w:pPr>
      <w:r>
        <w:rPr>
          <w:rFonts w:hint="eastAsia"/>
        </w:rPr>
        <w:t>诉讼过程中，通过音视频记录的言行来证明取证过程的合法性或客观性，则该音视频属于电子数据、视听资料。</w:t>
      </w:r>
    </w:p>
    <w:p w14:paraId="0FA04657" w14:textId="77777777" w:rsidR="00F44D4F" w:rsidRDefault="00F44D4F" w:rsidP="00F44D4F">
      <w:pPr>
        <w:spacing w:line="300" w:lineRule="exact"/>
        <w:ind w:firstLineChars="200" w:firstLine="420"/>
        <w:rPr>
          <w:rFonts w:hint="eastAsia"/>
        </w:rPr>
      </w:pPr>
      <w:r>
        <w:rPr>
          <w:rFonts w:hint="eastAsia"/>
        </w:rPr>
        <w:t>在诉讼之外，通过书面材料记录的情况（比如被告人关于案发经过的日记）来证明案件</w:t>
      </w:r>
      <w:r>
        <w:rPr>
          <w:rFonts w:hint="eastAsia"/>
        </w:rPr>
        <w:lastRenderedPageBreak/>
        <w:t>事实，该材料属于书证；通过音视频反映的情况（比如被告人向证人口述作案过程时的录音）来证明案件事实，该材料属于电子数据、视听资料。</w:t>
      </w:r>
    </w:p>
    <w:p w14:paraId="12B72C0F" w14:textId="77777777" w:rsidR="00F44D4F" w:rsidRDefault="00F44D4F" w:rsidP="00F44D4F">
      <w:pPr>
        <w:spacing w:line="300" w:lineRule="exact"/>
        <w:ind w:firstLineChars="200" w:firstLine="420"/>
        <w:rPr>
          <w:rFonts w:hint="eastAsia"/>
        </w:rPr>
      </w:pPr>
      <w:r>
        <w:rPr>
          <w:rFonts w:hint="eastAsia"/>
        </w:rPr>
        <w:t>综上，在诉讼过程中，主要区分标准是实质内容；在诉讼之外，主要区分标准是形式载体。</w:t>
      </w:r>
    </w:p>
    <w:p w14:paraId="1821F49F" w14:textId="77777777" w:rsidR="00F44D4F" w:rsidRDefault="00F44D4F" w:rsidP="00F44D4F">
      <w:pPr>
        <w:spacing w:line="300" w:lineRule="exact"/>
        <w:ind w:firstLineChars="200" w:firstLine="420"/>
        <w:rPr>
          <w:rFonts w:hint="eastAsia"/>
        </w:rPr>
      </w:pPr>
      <w:r>
        <w:rPr>
          <w:rFonts w:hint="eastAsia"/>
        </w:rPr>
        <w:t>3．电子数据与书证</w:t>
      </w:r>
    </w:p>
    <w:p w14:paraId="69B241F0" w14:textId="77777777" w:rsidR="00F44D4F" w:rsidRDefault="00F44D4F" w:rsidP="00F44D4F">
      <w:pPr>
        <w:spacing w:line="300" w:lineRule="exact"/>
        <w:ind w:firstLineChars="200" w:firstLine="420"/>
        <w:rPr>
          <w:rFonts w:hint="eastAsia"/>
        </w:rPr>
      </w:pPr>
      <w:r>
        <w:rPr>
          <w:rFonts w:hint="eastAsia"/>
        </w:rPr>
        <w:t>在案发过程中先形成电子数据，后输出为纸质版，该纸质材料如能用于证明案件事实，则为书证。比如纸质合同，财务记录等。</w:t>
      </w:r>
    </w:p>
    <w:p w14:paraId="76988DA5" w14:textId="77777777" w:rsidR="00F44D4F" w:rsidRDefault="00F44D4F" w:rsidP="00F44D4F">
      <w:pPr>
        <w:spacing w:line="300" w:lineRule="exact"/>
        <w:ind w:firstLineChars="200" w:firstLine="420"/>
        <w:rPr>
          <w:rFonts w:hint="eastAsia"/>
        </w:rPr>
      </w:pPr>
      <w:r>
        <w:rPr>
          <w:rFonts w:hint="eastAsia"/>
        </w:rPr>
        <w:t>在案发过程中形成电子数据，后该电子数据被办案机关依法收集后输出为可以装订入案卷的纸质版，则该材料为电子数据（打印件）。</w:t>
      </w:r>
    </w:p>
    <w:p w14:paraId="5AFB6364" w14:textId="557EDDA3" w:rsidR="00F44D4F" w:rsidRDefault="00F44D4F" w:rsidP="00F44D4F">
      <w:pPr>
        <w:spacing w:line="300" w:lineRule="exact"/>
        <w:ind w:firstLineChars="200" w:firstLine="420"/>
        <w:rPr>
          <w:rFonts w:hint="eastAsia"/>
        </w:rPr>
      </w:pPr>
      <w:r>
        <w:rPr>
          <w:rFonts w:hint="eastAsia"/>
        </w:rPr>
        <w:t>区分以上两者的关键是纸质件的形成时间。</w:t>
      </w:r>
    </w:p>
    <w:p w14:paraId="3DCEDD82" w14:textId="4E39A910" w:rsidR="001A1D86" w:rsidRPr="00E30E4A" w:rsidRDefault="00F44D4F" w:rsidP="001A1D86">
      <w:pPr>
        <w:spacing w:line="300" w:lineRule="exact"/>
        <w:ind w:firstLineChars="200" w:firstLine="420"/>
        <w:jc w:val="left"/>
        <w:rPr>
          <w:rFonts w:cs="汉仪大宋简" w:hint="eastAsia"/>
          <w:bCs/>
        </w:rPr>
      </w:pPr>
      <w:r>
        <w:rPr>
          <w:rFonts w:cs="汉仪大宋简" w:hint="eastAsia"/>
          <w:bCs/>
        </w:rPr>
        <w:t>二</w:t>
      </w:r>
      <w:r w:rsidR="001A1D86" w:rsidRPr="00E30E4A">
        <w:rPr>
          <w:rFonts w:cs="汉仪大宋简" w:hint="eastAsia"/>
          <w:bCs/>
        </w:rPr>
        <w:t>、证据规则</w:t>
      </w:r>
    </w:p>
    <w:p w14:paraId="4414996C" w14:textId="7207407C" w:rsidR="001A1D86" w:rsidRDefault="001A1D86" w:rsidP="001A1D86">
      <w:pPr>
        <w:spacing w:line="300" w:lineRule="exact"/>
        <w:ind w:firstLineChars="200" w:firstLine="420"/>
        <w:rPr>
          <w:rFonts w:cs="汉仪大宋简" w:hint="eastAsia"/>
          <w:bCs/>
          <w:color w:val="FF0000"/>
        </w:rPr>
      </w:pPr>
      <w:bookmarkStart w:id="2" w:name="_Toc510879016"/>
      <w:r w:rsidRPr="00E30E4A">
        <w:rPr>
          <w:rFonts w:cs="汉仪大宋简" w:hint="eastAsia"/>
          <w:bCs/>
        </w:rPr>
        <w:t>（一）非法证据排除规则</w:t>
      </w:r>
      <w:bookmarkEnd w:id="2"/>
    </w:p>
    <w:p w14:paraId="54AC68AD" w14:textId="098791D2" w:rsidR="0044055C" w:rsidRDefault="0044055C" w:rsidP="001A1D86">
      <w:pPr>
        <w:spacing w:line="300" w:lineRule="exact"/>
        <w:ind w:firstLineChars="200" w:firstLine="420"/>
        <w:rPr>
          <w:rFonts w:cs="汉仪大宋简" w:hint="eastAsia"/>
          <w:bCs/>
          <w:color w:val="FF0000"/>
        </w:rPr>
      </w:pPr>
      <w:r>
        <w:rPr>
          <w:rFonts w:cs="汉仪大宋简" w:hint="eastAsia"/>
          <w:bCs/>
          <w:color w:val="FF0000"/>
        </w:rPr>
        <w:t>1.范围</w:t>
      </w:r>
    </w:p>
    <w:p w14:paraId="437190B0"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（1）犯罪嫌疑人、被告人供述</w:t>
      </w:r>
    </w:p>
    <w:p w14:paraId="76C87E16"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采用下列非法方法收集的被告人供述，应当予以排除：</w:t>
      </w:r>
    </w:p>
    <w:p w14:paraId="0499FD25"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第一，暴力方法或变相肉刑：采取殴打、违法使用戒具等暴力方法或者变相肉刑的恶劣手段。其程度要求是：使犯罪嫌疑人、被告人遭受难以忍受的痛苦而违背意愿作出供述。</w:t>
      </w:r>
    </w:p>
    <w:p w14:paraId="22911E54"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第二，威胁：以暴力或严重损害本人及其近亲属合法权益等进行威胁。其程度要求同上，即导致犯罪嫌疑人、被告人遭受难以忍受的痛苦而违背意愿作出供述。</w:t>
      </w:r>
    </w:p>
    <w:p w14:paraId="34454499"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第三，非法限制人身自由：例如非法拘禁等方法。</w:t>
      </w:r>
    </w:p>
    <w:p w14:paraId="2EBB813D" w14:textId="1A8888E0"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第四，</w:t>
      </w:r>
      <w:r w:rsidR="006832FD" w:rsidRPr="006F30BE">
        <w:rPr>
          <w:rFonts w:cs="汉仪大宋简" w:hint="eastAsia"/>
          <w:bCs/>
          <w:color w:val="auto"/>
        </w:rPr>
        <w:t>重复性供述</w:t>
      </w:r>
      <w:r w:rsidR="006832FD">
        <w:rPr>
          <w:rFonts w:cs="汉仪大宋简" w:hint="eastAsia"/>
          <w:bCs/>
          <w:color w:val="auto"/>
        </w:rPr>
        <w:t>：</w:t>
      </w:r>
      <w:r w:rsidRPr="006F30BE">
        <w:rPr>
          <w:rFonts w:cs="汉仪大宋简" w:hint="eastAsia"/>
          <w:bCs/>
          <w:color w:val="auto"/>
        </w:rPr>
        <w:t>采用刑讯逼供方法使被告人作出供述，之后被告人受该刑讯逼供行为影响而作出的与该供述相同的重复性供述，一般也应当排除。但存在以下例外规定：</w:t>
      </w:r>
    </w:p>
    <w:p w14:paraId="6A59C352"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例外一：在调查、侦查期间，监察机关、侦查机关根据控告、举报或者自己发现等，确认或者不能排除以非法方法收集证据而更换调查、侦查人员，其他调查、侦查人员再次讯问时告知有关权利和认罪的法律后果，被告人自愿供述的。</w:t>
      </w:r>
    </w:p>
    <w:p w14:paraId="10A7098B"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例外二：在审查逮捕、审查起诉和审判期间，检察人员、审判人员讯问时告知诉讼权利和认罪的法律后果，被告人自愿供述的。</w:t>
      </w:r>
    </w:p>
    <w:p w14:paraId="7325CA6C" w14:textId="77777777" w:rsidR="006F30BE" w:rsidRPr="006832FD" w:rsidRDefault="006F30BE" w:rsidP="006F30BE">
      <w:pPr>
        <w:spacing w:line="300" w:lineRule="exact"/>
        <w:ind w:firstLineChars="200" w:firstLine="420"/>
        <w:rPr>
          <w:rFonts w:cs="汉仪大宋简" w:hint="eastAsia"/>
          <w:bCs/>
          <w:color w:val="EE0000"/>
        </w:rPr>
      </w:pPr>
      <w:r w:rsidRPr="006832FD">
        <w:rPr>
          <w:rFonts w:cs="汉仪大宋简" w:hint="eastAsia"/>
          <w:bCs/>
          <w:color w:val="EE0000"/>
        </w:rPr>
        <w:t>概括口诀：换人、告知、自愿。</w:t>
      </w:r>
    </w:p>
    <w:p w14:paraId="0BD38288"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（2）证人证言、被害人陈述</w:t>
      </w:r>
    </w:p>
    <w:p w14:paraId="4C434118"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采用暴力、威胁或者非法限制人身自由等非法方法收集的证人证言、被害人陈述，应当予以排除。</w:t>
      </w:r>
    </w:p>
    <w:p w14:paraId="4B251D92"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（3）物证、书证</w:t>
      </w:r>
    </w:p>
    <w:p w14:paraId="69EC3A6F" w14:textId="77777777" w:rsidR="006F30BE"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收集物证、书证不符合法定程序，可能严重影响司法公正的，对该证据应当予以排除。但如果在收集该物证、书证时无法避免或者可以补正，能够作出合理解释的除外。</w:t>
      </w:r>
    </w:p>
    <w:p w14:paraId="18CC04D3" w14:textId="268AB0B5" w:rsidR="0044055C" w:rsidRPr="006F30BE" w:rsidRDefault="006F30BE" w:rsidP="006F30BE">
      <w:pPr>
        <w:spacing w:line="300" w:lineRule="exact"/>
        <w:ind w:firstLineChars="200" w:firstLine="420"/>
        <w:rPr>
          <w:rFonts w:cs="汉仪大宋简" w:hint="eastAsia"/>
          <w:bCs/>
          <w:color w:val="auto"/>
        </w:rPr>
      </w:pPr>
      <w:r w:rsidRPr="006F30BE">
        <w:rPr>
          <w:rFonts w:cs="汉仪大宋简" w:hint="eastAsia"/>
          <w:bCs/>
          <w:color w:val="auto"/>
        </w:rPr>
        <w:t>注：是否排除需要综合考虑违反法定程序及所造成后果的严重程度等因素。</w:t>
      </w:r>
    </w:p>
    <w:p w14:paraId="0BB22156" w14:textId="77777777" w:rsidR="001A1D86" w:rsidRPr="00D80643" w:rsidRDefault="001A1D86" w:rsidP="001A1D86">
      <w:pPr>
        <w:spacing w:line="300" w:lineRule="exact"/>
        <w:ind w:firstLineChars="200" w:firstLine="420"/>
        <w:rPr>
          <w:rFonts w:hint="eastAsia"/>
          <w:bCs/>
          <w:color w:val="FF0000"/>
        </w:rPr>
      </w:pPr>
      <w:bookmarkStart w:id="3" w:name="_Toc510879017"/>
      <w:r w:rsidRPr="00D80643">
        <w:rPr>
          <w:rFonts w:hint="eastAsia"/>
          <w:bCs/>
          <w:color w:val="FF0000"/>
        </w:rPr>
        <w:t>2．非法证据排除的程序</w:t>
      </w:r>
      <w:bookmarkEnd w:id="3"/>
    </w:p>
    <w:p w14:paraId="4BB5A57A" w14:textId="77777777" w:rsidR="001A1D86" w:rsidRPr="00E30E4A" w:rsidRDefault="001A1D86" w:rsidP="001A1D86">
      <w:pPr>
        <w:spacing w:line="300" w:lineRule="exact"/>
        <w:ind w:firstLineChars="200" w:firstLine="420"/>
        <w:rPr>
          <w:rFonts w:cs="仿宋_GB2312" w:hint="eastAsia"/>
          <w:bCs/>
        </w:rPr>
      </w:pPr>
      <w:r w:rsidRPr="00E30E4A">
        <w:rPr>
          <w:rFonts w:cs="仿宋_GB2312" w:hint="eastAsia"/>
          <w:bCs/>
        </w:rPr>
        <w:t>侦查阶段：第一，</w:t>
      </w:r>
      <w:r w:rsidRPr="00E30E4A">
        <w:rPr>
          <w:rFonts w:hint="eastAsia"/>
          <w:kern w:val="0"/>
          <w:shd w:val="clear" w:color="auto" w:fill="FFFFFF"/>
        </w:rPr>
        <w:t>嫌疑人及其辩护人在侦查期间可以</w:t>
      </w:r>
      <w:r w:rsidRPr="00E30E4A">
        <w:rPr>
          <w:rFonts w:cs="仿宋_GB2312" w:hint="eastAsia"/>
          <w:bCs/>
        </w:rPr>
        <w:t>向</w:t>
      </w:r>
      <w:r w:rsidRPr="00E30E4A">
        <w:rPr>
          <w:rFonts w:cs="仿宋_GB2312" w:hint="eastAsia"/>
          <w:bCs/>
          <w:color w:val="B00824"/>
        </w:rPr>
        <w:t>检察院</w:t>
      </w:r>
      <w:r w:rsidRPr="00E30E4A">
        <w:rPr>
          <w:rFonts w:cs="仿宋_GB2312" w:hint="eastAsia"/>
          <w:bCs/>
        </w:rPr>
        <w:t>提出。第二，</w:t>
      </w:r>
      <w:r w:rsidRPr="00E30E4A">
        <w:rPr>
          <w:rFonts w:hint="eastAsia"/>
          <w:kern w:val="0"/>
          <w:shd w:val="clear" w:color="auto" w:fill="FFFFFF"/>
        </w:rPr>
        <w:t>对嫌疑人及其辩护人</w:t>
      </w:r>
      <w:r w:rsidRPr="00E30E4A">
        <w:rPr>
          <w:rFonts w:hint="eastAsia"/>
          <w:color w:val="B00824"/>
          <w:kern w:val="0"/>
          <w:shd w:val="clear" w:color="auto" w:fill="FFFFFF"/>
        </w:rPr>
        <w:t>提供相关线索或者材料的</w:t>
      </w:r>
      <w:r w:rsidRPr="00E30E4A">
        <w:rPr>
          <w:rFonts w:hint="eastAsia"/>
          <w:kern w:val="0"/>
          <w:shd w:val="clear" w:color="auto" w:fill="FFFFFF"/>
        </w:rPr>
        <w:t>，人民检察院应当调查核实。调查结论应当</w:t>
      </w:r>
      <w:r w:rsidRPr="00E30E4A">
        <w:rPr>
          <w:rFonts w:hint="eastAsia"/>
          <w:color w:val="B00824"/>
          <w:kern w:val="0"/>
          <w:shd w:val="clear" w:color="auto" w:fill="FFFFFF"/>
        </w:rPr>
        <w:t>书面告知</w:t>
      </w:r>
      <w:r w:rsidRPr="00E30E4A">
        <w:rPr>
          <w:rFonts w:hint="eastAsia"/>
          <w:kern w:val="0"/>
          <w:shd w:val="clear" w:color="auto" w:fill="FFFFFF"/>
        </w:rPr>
        <w:t>犯罪嫌疑人及其辩护人。对确有以非法方法收集证据情形的，检察院应当向侦查机关提出纠正意见。第三，对</w:t>
      </w:r>
      <w:r w:rsidRPr="00E30E4A">
        <w:rPr>
          <w:rFonts w:hint="eastAsia"/>
          <w:color w:val="B00824"/>
          <w:kern w:val="0"/>
          <w:shd w:val="clear" w:color="auto" w:fill="FFFFFF"/>
        </w:rPr>
        <w:t>重大案件</w:t>
      </w:r>
      <w:r w:rsidRPr="00E30E4A">
        <w:rPr>
          <w:rFonts w:hint="eastAsia"/>
          <w:kern w:val="0"/>
          <w:shd w:val="clear" w:color="auto" w:fill="FFFFFF"/>
        </w:rPr>
        <w:t>，人民检察院</w:t>
      </w:r>
      <w:r w:rsidRPr="00E30E4A">
        <w:rPr>
          <w:rFonts w:hint="eastAsia"/>
          <w:color w:val="B00824"/>
          <w:kern w:val="0"/>
          <w:shd w:val="clear" w:color="auto" w:fill="FFFFFF"/>
        </w:rPr>
        <w:t>驻看守所检察人员</w:t>
      </w:r>
      <w:r w:rsidRPr="00E30E4A">
        <w:rPr>
          <w:rFonts w:hint="eastAsia"/>
          <w:kern w:val="0"/>
          <w:shd w:val="clear" w:color="auto" w:fill="FFFFFF"/>
        </w:rPr>
        <w:t>应当在侦查终结前</w:t>
      </w:r>
      <w:r w:rsidRPr="00FC1BB4">
        <w:rPr>
          <w:rFonts w:hint="eastAsia"/>
          <w:b/>
          <w:bCs/>
          <w:color w:val="B00824"/>
          <w:kern w:val="0"/>
          <w:highlight w:val="yellow"/>
          <w:shd w:val="clear" w:color="auto" w:fill="FFFFFF"/>
        </w:rPr>
        <w:t>询问</w:t>
      </w:r>
      <w:r w:rsidRPr="00E30E4A">
        <w:rPr>
          <w:rFonts w:hint="eastAsia"/>
          <w:kern w:val="0"/>
          <w:shd w:val="clear" w:color="auto" w:fill="FFFFFF"/>
        </w:rPr>
        <w:t>嫌疑人，核查是否存在刑讯逼供、非法取证情形，并</w:t>
      </w:r>
      <w:r w:rsidRPr="00E30E4A">
        <w:rPr>
          <w:rFonts w:hint="eastAsia"/>
          <w:color w:val="B00824"/>
          <w:kern w:val="0"/>
          <w:shd w:val="clear" w:color="auto" w:fill="FFFFFF"/>
        </w:rPr>
        <w:t>同步录音录像</w:t>
      </w:r>
      <w:r w:rsidRPr="00E30E4A">
        <w:rPr>
          <w:rFonts w:hint="eastAsia"/>
          <w:kern w:val="0"/>
          <w:shd w:val="clear" w:color="auto" w:fill="FFFFFF"/>
        </w:rPr>
        <w:t>。</w:t>
      </w:r>
      <w:r w:rsidRPr="00DC642A">
        <w:rPr>
          <w:rFonts w:hint="eastAsia"/>
          <w:color w:val="FF0000"/>
          <w:kern w:val="0"/>
          <w:shd w:val="clear" w:color="auto" w:fill="FFFFFF"/>
        </w:rPr>
        <w:t>【重大案件侦查终结前讯问合法性核查制度】</w:t>
      </w:r>
      <w:r w:rsidRPr="00E30E4A">
        <w:rPr>
          <w:rFonts w:hint="eastAsia"/>
          <w:kern w:val="0"/>
          <w:shd w:val="clear" w:color="auto" w:fill="FFFFFF"/>
        </w:rPr>
        <w:t>第四，侦查机关发现非法取证的，</w:t>
      </w:r>
      <w:r w:rsidRPr="00E30E4A">
        <w:rPr>
          <w:rFonts w:hint="eastAsia"/>
          <w:color w:val="B00824"/>
          <w:kern w:val="0"/>
          <w:shd w:val="clear" w:color="auto" w:fill="FFFFFF"/>
        </w:rPr>
        <w:t>可另行指派侦查人员重新调查取证</w:t>
      </w:r>
      <w:r w:rsidRPr="00E30E4A">
        <w:rPr>
          <w:rFonts w:hint="eastAsia"/>
          <w:kern w:val="0"/>
          <w:shd w:val="clear" w:color="auto" w:fill="FFFFFF"/>
        </w:rPr>
        <w:t>。第五，排除非法证据后，证据不足的，不得移送审查起诉。</w:t>
      </w:r>
    </w:p>
    <w:p w14:paraId="129A0CDE" w14:textId="364F07D1" w:rsidR="001A1D86" w:rsidRPr="00D80643" w:rsidRDefault="001A1D86" w:rsidP="001A1D86">
      <w:pPr>
        <w:spacing w:line="300" w:lineRule="exact"/>
        <w:ind w:firstLineChars="200" w:firstLine="420"/>
        <w:rPr>
          <w:rFonts w:cs="仿宋_GB2312" w:hint="eastAsia"/>
          <w:bCs/>
        </w:rPr>
      </w:pPr>
      <w:r w:rsidRPr="006C08FC">
        <w:rPr>
          <w:rFonts w:cs="仿宋_GB2312" w:hint="eastAsia"/>
          <w:bCs/>
        </w:rPr>
        <w:t>审查逮捕阶段、审查起诉阶段：</w:t>
      </w:r>
      <w:r w:rsidRPr="00E30E4A">
        <w:rPr>
          <w:rFonts w:hint="eastAsia"/>
          <w:color w:val="B00824"/>
        </w:rPr>
        <w:t>被排除的非法证据应当随案移送，并写明为依法排除的非法证据</w:t>
      </w:r>
      <w:r w:rsidRPr="00E30E4A">
        <w:rPr>
          <w:rFonts w:hint="eastAsia"/>
        </w:rPr>
        <w:t>。</w:t>
      </w:r>
    </w:p>
    <w:p w14:paraId="3AEC686E" w14:textId="77777777" w:rsidR="001A1D86" w:rsidRDefault="001A1D86" w:rsidP="001A1D86">
      <w:pPr>
        <w:spacing w:line="300" w:lineRule="exact"/>
        <w:ind w:firstLineChars="200" w:firstLine="420"/>
        <w:rPr>
          <w:rFonts w:hint="eastAsia"/>
          <w:b/>
          <w:bCs/>
          <w:color w:val="FF0000"/>
        </w:rPr>
      </w:pPr>
      <w:r w:rsidRPr="00E30E4A">
        <w:rPr>
          <w:rFonts w:cs="仿宋_GB2312" w:hint="eastAsia"/>
          <w:bCs/>
        </w:rPr>
        <w:t>审判阶段：</w:t>
      </w:r>
      <w:r w:rsidRPr="00E30E4A">
        <w:rPr>
          <w:rFonts w:cs="仿宋_GB2312" w:hint="eastAsia"/>
        </w:rPr>
        <w:t>（1）</w:t>
      </w:r>
      <w:r w:rsidRPr="004357A0">
        <w:rPr>
          <w:rFonts w:cs="仿宋_GB2312" w:hint="eastAsia"/>
          <w:color w:val="FF0000"/>
        </w:rPr>
        <w:t>开庭前（</w:t>
      </w:r>
      <w:r w:rsidRPr="004357A0">
        <w:rPr>
          <w:rFonts w:hint="eastAsia"/>
          <w:bCs/>
          <w:color w:val="FF0000"/>
        </w:rPr>
        <w:t>庭前会议</w:t>
      </w:r>
      <w:r w:rsidRPr="004357A0">
        <w:rPr>
          <w:rFonts w:cs="仿宋_GB2312" w:hint="eastAsia"/>
          <w:color w:val="FF0000"/>
        </w:rPr>
        <w:t>）</w:t>
      </w:r>
      <w:r>
        <w:rPr>
          <w:rFonts w:cs="仿宋_GB2312" w:hint="eastAsia"/>
          <w:bCs/>
        </w:rPr>
        <w:t>——</w:t>
      </w:r>
      <w:r w:rsidRPr="004357A0">
        <w:rPr>
          <w:rFonts w:hint="eastAsia"/>
          <w:color w:val="FF0000"/>
        </w:rPr>
        <w:t>被告人及其辩护人在开庭审理前申请排除非法</w:t>
      </w:r>
      <w:r w:rsidRPr="004357A0">
        <w:rPr>
          <w:rFonts w:hint="eastAsia"/>
          <w:color w:val="FF0000"/>
        </w:rPr>
        <w:lastRenderedPageBreak/>
        <w:t>证据，按照法律规定提供相关线索或者材料，</w:t>
      </w:r>
      <w:r w:rsidRPr="004357A0">
        <w:rPr>
          <w:rFonts w:hint="eastAsia"/>
          <w:b/>
          <w:bCs/>
          <w:color w:val="FF0000"/>
        </w:rPr>
        <w:t>人民法院应当召开庭前会议</w:t>
      </w:r>
      <w:r>
        <w:rPr>
          <w:rFonts w:hint="eastAsia"/>
        </w:rPr>
        <w:t>；</w:t>
      </w:r>
      <w:r w:rsidRPr="00E30E4A">
        <w:rPr>
          <w:rFonts w:hint="eastAsia"/>
        </w:rPr>
        <w:t>可以撤回排除非法证据的申</w:t>
      </w:r>
      <w:r w:rsidRPr="006C08FC">
        <w:rPr>
          <w:rFonts w:hint="eastAsia"/>
        </w:rPr>
        <w:t>请，没有新的线索或材料，不得再次对有关证据提出排除申请。人民法院可以核实情况，听取意见；控辩双方在庭前会议中对证据收集是否合法未达成一致意见，对证据收集的合法性有疑问的，应当在庭审中进行调查；对证据收集的合法性没有疑问，且没有新的线索或材料表明可能存在非法取证，可以决定不再进行调查。</w:t>
      </w:r>
      <w:r w:rsidRPr="004357A0">
        <w:rPr>
          <w:rFonts w:hint="eastAsia"/>
          <w:b/>
          <w:bCs/>
          <w:color w:val="FF0000"/>
        </w:rPr>
        <w:t>（庭前会议不可以处理管辖异议、回避申请）</w:t>
      </w:r>
      <w:r>
        <w:rPr>
          <w:rFonts w:hint="eastAsia"/>
        </w:rPr>
        <w:t>。</w:t>
      </w:r>
      <w:r w:rsidRPr="00E30E4A">
        <w:rPr>
          <w:rFonts w:hint="eastAsia"/>
          <w:bCs/>
        </w:rPr>
        <w:t>（2）庭审中的证据合法性调查</w:t>
      </w:r>
      <w:r>
        <w:rPr>
          <w:rFonts w:cs="仿宋_GB2312" w:hint="eastAsia"/>
          <w:bCs/>
        </w:rPr>
        <w:t>——</w:t>
      </w:r>
      <w:r w:rsidRPr="00E30E4A">
        <w:rPr>
          <w:rFonts w:hint="eastAsia"/>
        </w:rPr>
        <w:t>被告人及其辩护人</w:t>
      </w:r>
      <w:r w:rsidRPr="00CC1994">
        <w:rPr>
          <w:rFonts w:hint="eastAsia"/>
          <w:color w:val="FF0000"/>
          <w:shd w:val="clear" w:color="auto" w:fill="FFFFFF"/>
        </w:rPr>
        <w:t>在开庭审理前未申请</w:t>
      </w:r>
      <w:r w:rsidRPr="00E30E4A">
        <w:rPr>
          <w:rFonts w:hint="eastAsia"/>
          <w:shd w:val="clear" w:color="auto" w:fill="FFFFFF"/>
        </w:rPr>
        <w:t>排除非法证据，在法庭审理过程中提出申请的，</w:t>
      </w:r>
      <w:r w:rsidRPr="00CC1994">
        <w:rPr>
          <w:rFonts w:hint="eastAsia"/>
          <w:color w:val="FF0000"/>
          <w:shd w:val="clear" w:color="auto" w:fill="FFFFFF"/>
        </w:rPr>
        <w:t>应当说明理由</w:t>
      </w:r>
      <w:r>
        <w:rPr>
          <w:rFonts w:hint="eastAsia"/>
          <w:shd w:val="clear" w:color="auto" w:fill="FFFFFF"/>
        </w:rPr>
        <w:t>，</w:t>
      </w:r>
      <w:r w:rsidRPr="00E30E4A">
        <w:rPr>
          <w:rFonts w:hint="eastAsia"/>
          <w:shd w:val="clear" w:color="auto" w:fill="FFFFFF"/>
        </w:rPr>
        <w:t>法庭经审查有疑问的，应予调查</w:t>
      </w:r>
      <w:r>
        <w:rPr>
          <w:rFonts w:hint="eastAsia"/>
          <w:shd w:val="clear" w:color="auto" w:fill="FFFFFF"/>
        </w:rPr>
        <w:t>；</w:t>
      </w:r>
      <w:r w:rsidRPr="00E30E4A">
        <w:rPr>
          <w:rFonts w:hint="eastAsia"/>
          <w:shd w:val="clear" w:color="auto" w:fill="FFFFFF"/>
        </w:rPr>
        <w:t>没有疑问，驳回申请后没有新线索或材料以相同理由再次申请的，不再审查</w:t>
      </w:r>
      <w:r>
        <w:rPr>
          <w:rFonts w:hint="eastAsia"/>
          <w:shd w:val="clear" w:color="auto" w:fill="FFFFFF"/>
        </w:rPr>
        <w:t>。</w:t>
      </w:r>
      <w:r w:rsidRPr="00E30E4A">
        <w:rPr>
          <w:rFonts w:hint="eastAsia"/>
          <w:bCs/>
        </w:rPr>
        <w:t>（3）调查后的处理</w:t>
      </w:r>
      <w:r>
        <w:rPr>
          <w:rFonts w:cs="仿宋_GB2312" w:hint="eastAsia"/>
          <w:bCs/>
        </w:rPr>
        <w:t>——</w:t>
      </w:r>
      <w:r w:rsidRPr="00E30E4A">
        <w:rPr>
          <w:rFonts w:hint="eastAsia"/>
          <w:shd w:val="clear" w:color="auto" w:fill="FFFFFF"/>
        </w:rPr>
        <w:t>调查后</w:t>
      </w:r>
      <w:r>
        <w:rPr>
          <w:rFonts w:hint="eastAsia"/>
          <w:shd w:val="clear" w:color="auto" w:fill="FFFFFF"/>
        </w:rPr>
        <w:t>，</w:t>
      </w:r>
      <w:r w:rsidRPr="00CC1994">
        <w:rPr>
          <w:rFonts w:hint="eastAsia"/>
          <w:color w:val="FF0000"/>
          <w:shd w:val="clear" w:color="auto" w:fill="FFFFFF"/>
        </w:rPr>
        <w:t>当庭作出</w:t>
      </w:r>
      <w:r w:rsidRPr="00E30E4A">
        <w:rPr>
          <w:rFonts w:hint="eastAsia"/>
          <w:shd w:val="clear" w:color="auto" w:fill="FFFFFF"/>
        </w:rPr>
        <w:t>是否排除有关证据的决定</w:t>
      </w:r>
      <w:r>
        <w:rPr>
          <w:rFonts w:hint="eastAsia"/>
          <w:shd w:val="clear" w:color="auto" w:fill="FFFFFF"/>
        </w:rPr>
        <w:t>。</w:t>
      </w:r>
      <w:r w:rsidRPr="00E30E4A">
        <w:rPr>
          <w:rFonts w:hint="eastAsia"/>
          <w:shd w:val="clear" w:color="auto" w:fill="FFFFFF"/>
        </w:rPr>
        <w:t>必要时</w:t>
      </w:r>
      <w:r>
        <w:rPr>
          <w:rFonts w:hint="eastAsia"/>
          <w:shd w:val="clear" w:color="auto" w:fill="FFFFFF"/>
        </w:rPr>
        <w:t>，</w:t>
      </w:r>
      <w:r w:rsidRPr="00E30E4A">
        <w:rPr>
          <w:rFonts w:hint="eastAsia"/>
          <w:shd w:val="clear" w:color="auto" w:fill="FFFFFF"/>
        </w:rPr>
        <w:t>宣布休庭，由合议庭评议或提交审判委员会讨论，再次开庭时宣布决定</w:t>
      </w:r>
      <w:r>
        <w:rPr>
          <w:rFonts w:hint="eastAsia"/>
          <w:shd w:val="clear" w:color="auto" w:fill="FFFFFF"/>
        </w:rPr>
        <w:t>。</w:t>
      </w:r>
      <w:r w:rsidRPr="00CC1994">
        <w:rPr>
          <w:rFonts w:hint="eastAsia"/>
          <w:b/>
          <w:bCs/>
          <w:color w:val="FF0000"/>
          <w:shd w:val="clear" w:color="auto" w:fill="FFFFFF"/>
        </w:rPr>
        <w:t>对有关证据应当予以排除：确认存在非法取证、不能排除存在非法取证</w:t>
      </w:r>
      <w:r w:rsidRPr="00CC1994">
        <w:rPr>
          <w:rFonts w:cs="仿宋_GB2312" w:hint="eastAsia"/>
          <w:b/>
          <w:bCs/>
          <w:color w:val="FF0000"/>
        </w:rPr>
        <w:t>。</w:t>
      </w:r>
      <w:r w:rsidRPr="00E30E4A">
        <w:rPr>
          <w:rFonts w:hint="eastAsia"/>
          <w:bCs/>
        </w:rPr>
        <w:t>（4）二审</w:t>
      </w:r>
      <w:r>
        <w:rPr>
          <w:rFonts w:hint="eastAsia"/>
          <w:bCs/>
        </w:rPr>
        <w:t>——</w:t>
      </w:r>
      <w:r w:rsidRPr="00E30E4A">
        <w:rPr>
          <w:rFonts w:hint="eastAsia"/>
        </w:rPr>
        <w:t>一审法院未审查非法证据排除申请，并以有关证据作为定案根据，可能影响公正审判</w:t>
      </w:r>
      <w:r>
        <w:rPr>
          <w:rFonts w:hint="eastAsia"/>
        </w:rPr>
        <w:t>，</w:t>
      </w:r>
      <w:r w:rsidRPr="00CC1994">
        <w:rPr>
          <w:rFonts w:hint="eastAsia"/>
          <w:color w:val="FF0000"/>
        </w:rPr>
        <w:t>二审法院可以裁定撤销原判，发回原审人民法院重新审判。</w:t>
      </w:r>
      <w:r w:rsidRPr="00CC1994">
        <w:rPr>
          <w:rFonts w:hint="eastAsia"/>
          <w:b/>
          <w:bCs/>
          <w:color w:val="FF0000"/>
        </w:rPr>
        <w:t>（没有查清事实后改判的做法）</w:t>
      </w:r>
    </w:p>
    <w:p w14:paraId="4DD9C1C8" w14:textId="4059800C" w:rsidR="009567B2" w:rsidRPr="00CC1994" w:rsidRDefault="009567B2" w:rsidP="001A1D86">
      <w:pPr>
        <w:spacing w:line="300" w:lineRule="exact"/>
        <w:ind w:firstLineChars="200" w:firstLine="422"/>
        <w:rPr>
          <w:rFonts w:hint="eastAsia"/>
          <w:b/>
          <w:bCs/>
          <w:color w:val="FF0000"/>
        </w:rPr>
      </w:pPr>
      <w:r>
        <w:rPr>
          <w:rFonts w:hint="eastAsia"/>
          <w:b/>
          <w:bCs/>
          <w:color w:val="FF0000"/>
        </w:rPr>
        <w:t>庭前排非情况</w:t>
      </w:r>
      <w:r w:rsidR="007C325E">
        <w:rPr>
          <w:rFonts w:hint="eastAsia"/>
          <w:b/>
          <w:bCs/>
          <w:color w:val="FF0000"/>
        </w:rPr>
        <w:t>：</w:t>
      </w:r>
      <w:r>
        <w:rPr>
          <w:rFonts w:hint="eastAsia"/>
          <w:b/>
          <w:bCs/>
          <w:color w:val="FF0000"/>
        </w:rPr>
        <w:t>检撤证据、辩撤申请、审无疑问、审有疑问</w:t>
      </w:r>
    </w:p>
    <w:p w14:paraId="1A6F1E41" w14:textId="77777777" w:rsidR="001A1D86" w:rsidRPr="00E30E4A" w:rsidRDefault="001A1D86" w:rsidP="001A1D86">
      <w:pPr>
        <w:spacing w:line="300" w:lineRule="exact"/>
        <w:ind w:firstLineChars="200" w:firstLine="420"/>
        <w:rPr>
          <w:rFonts w:cs="汉仪大宋简" w:hint="eastAsia"/>
          <w:bCs/>
        </w:rPr>
      </w:pPr>
      <w:r w:rsidRPr="00E30E4A">
        <w:rPr>
          <w:rFonts w:cs="汉仪大宋简" w:hint="eastAsia"/>
          <w:bCs/>
        </w:rPr>
        <w:t>（二）意见证据规则</w:t>
      </w:r>
    </w:p>
    <w:p w14:paraId="33E8525F" w14:textId="77777777" w:rsidR="001A1D86" w:rsidRPr="00E30E4A" w:rsidRDefault="001A1D86" w:rsidP="001A1D86">
      <w:pPr>
        <w:spacing w:line="300" w:lineRule="exact"/>
        <w:ind w:firstLineChars="200" w:firstLine="420"/>
        <w:rPr>
          <w:rFonts w:cs="仿宋_GB2312" w:hint="eastAsia"/>
          <w:bCs/>
        </w:rPr>
      </w:pPr>
      <w:r w:rsidRPr="00E30E4A">
        <w:rPr>
          <w:rFonts w:cs="仿宋_GB2312" w:hint="eastAsia"/>
          <w:bCs/>
        </w:rPr>
        <w:t>意见证据规则，是</w:t>
      </w:r>
      <w:r w:rsidRPr="00E30E4A">
        <w:rPr>
          <w:rFonts w:cs="仿宋_GB2312" w:hint="eastAsia"/>
          <w:bCs/>
          <w:color w:val="B00824"/>
        </w:rPr>
        <w:t>指证人只能陈述自己亲身感受和经历的事实，而不得陈述对该事实的意见或者结论</w:t>
      </w:r>
      <w:r w:rsidRPr="00E30E4A">
        <w:rPr>
          <w:rFonts w:cs="仿宋_GB2312" w:hint="eastAsia"/>
          <w:bCs/>
        </w:rPr>
        <w:t>。我国的鉴定人所出具的</w:t>
      </w:r>
      <w:r w:rsidRPr="00E30E4A">
        <w:rPr>
          <w:rFonts w:cs="仿宋_GB2312" w:hint="eastAsia"/>
          <w:bCs/>
          <w:color w:val="B00824"/>
        </w:rPr>
        <w:t>鉴定意见就是一种意见证据，但不受意见证据规则的规制</w:t>
      </w:r>
      <w:r w:rsidRPr="00E30E4A">
        <w:rPr>
          <w:rFonts w:cs="仿宋_GB2312" w:hint="eastAsia"/>
          <w:bCs/>
        </w:rPr>
        <w:t>。证人不能提供意见证据。《法院解释》第88条规定：“</w:t>
      </w:r>
      <w:r w:rsidRPr="00E30E4A">
        <w:rPr>
          <w:color w:val="B00824"/>
        </w:rPr>
        <w:t>证人的猜测性、评论性、推断性的证言，不得作为证据使用</w:t>
      </w:r>
      <w:r w:rsidRPr="00E30E4A">
        <w:t>，</w:t>
      </w:r>
      <w:r w:rsidRPr="00E30E4A">
        <w:rPr>
          <w:color w:val="B00824"/>
        </w:rPr>
        <w:t>但根据一般生活经验判断符合事实的除外</w:t>
      </w:r>
      <w:r w:rsidRPr="00E30E4A">
        <w:t>。</w:t>
      </w:r>
      <w:r w:rsidRPr="00E30E4A">
        <w:rPr>
          <w:rFonts w:cs="仿宋_GB2312" w:hint="eastAsia"/>
          <w:bCs/>
        </w:rPr>
        <w:t>”</w:t>
      </w:r>
    </w:p>
    <w:p w14:paraId="72ACC72C" w14:textId="77777777" w:rsidR="001A1D86" w:rsidRPr="00E30E4A" w:rsidRDefault="001A1D86" w:rsidP="001A1D86">
      <w:pPr>
        <w:spacing w:line="300" w:lineRule="exact"/>
        <w:ind w:firstLineChars="200" w:firstLine="420"/>
        <w:rPr>
          <w:rFonts w:cs="汉仪大宋简" w:hint="eastAsia"/>
          <w:bCs/>
        </w:rPr>
      </w:pPr>
      <w:r w:rsidRPr="00E30E4A">
        <w:rPr>
          <w:rFonts w:cs="汉仪大宋简" w:hint="eastAsia"/>
          <w:bCs/>
        </w:rPr>
        <w:t>（三）补强证据规则</w:t>
      </w:r>
    </w:p>
    <w:p w14:paraId="6961D9D2" w14:textId="77777777" w:rsidR="001A1D86" w:rsidRPr="00E30E4A" w:rsidRDefault="001A1D86" w:rsidP="001A1D86">
      <w:pPr>
        <w:spacing w:line="300" w:lineRule="exact"/>
        <w:ind w:firstLineChars="200" w:firstLine="420"/>
        <w:rPr>
          <w:rFonts w:hint="eastAsia"/>
          <w:kern w:val="0"/>
        </w:rPr>
      </w:pPr>
      <w:r>
        <w:rPr>
          <w:rFonts w:hint="eastAsia"/>
          <w:kern w:val="0"/>
        </w:rPr>
        <w:t>1</w:t>
      </w:r>
      <w:r>
        <w:rPr>
          <w:kern w:val="0"/>
        </w:rPr>
        <w:t>.</w:t>
      </w:r>
      <w:r w:rsidRPr="00E30E4A">
        <w:rPr>
          <w:rFonts w:hint="eastAsia"/>
          <w:kern w:val="0"/>
        </w:rPr>
        <w:t>补强证据必须满足以下条件：（1）补强证据必须</w:t>
      </w:r>
      <w:r w:rsidRPr="00E30E4A">
        <w:rPr>
          <w:rFonts w:hint="eastAsia"/>
          <w:color w:val="B00824"/>
          <w:kern w:val="0"/>
        </w:rPr>
        <w:t>具有证据能力</w:t>
      </w:r>
      <w:r w:rsidRPr="00E30E4A">
        <w:rPr>
          <w:rFonts w:hint="eastAsia"/>
          <w:kern w:val="0"/>
        </w:rPr>
        <w:t>；（2）补强证据本身</w:t>
      </w:r>
      <w:r w:rsidRPr="00E30E4A">
        <w:rPr>
          <w:rFonts w:hint="eastAsia"/>
          <w:color w:val="B00824"/>
          <w:kern w:val="0"/>
        </w:rPr>
        <w:t>必须具有担保补强对象真实的能力</w:t>
      </w:r>
      <w:r w:rsidRPr="00E30E4A">
        <w:rPr>
          <w:rFonts w:hint="eastAsia"/>
          <w:kern w:val="0"/>
        </w:rPr>
        <w:t>，但其作用仅在于担保特定补强对象的真实性，而非对整个待证事实或案件事实具有补强作用；（3）补强证据必须</w:t>
      </w:r>
      <w:r w:rsidRPr="00E30E4A">
        <w:rPr>
          <w:rFonts w:hint="eastAsia"/>
          <w:color w:val="B00824"/>
          <w:kern w:val="0"/>
        </w:rPr>
        <w:t>具有独立的来源</w:t>
      </w:r>
      <w:r w:rsidRPr="00E30E4A">
        <w:rPr>
          <w:rFonts w:hint="eastAsia"/>
          <w:kern w:val="0"/>
        </w:rPr>
        <w:t>。例如：被告人在审前程序中所作的供述就不能作为其当庭供述的补强证据。</w:t>
      </w:r>
    </w:p>
    <w:p w14:paraId="1B0D1AE5" w14:textId="77777777" w:rsidR="001716F1" w:rsidRDefault="001A1D86" w:rsidP="001716F1">
      <w:pPr>
        <w:spacing w:line="300" w:lineRule="exact"/>
        <w:ind w:firstLineChars="200" w:firstLine="420"/>
        <w:rPr>
          <w:rFonts w:hint="eastAsia"/>
          <w:kern w:val="0"/>
        </w:rPr>
      </w:pPr>
      <w:r w:rsidRPr="00E30E4A">
        <w:rPr>
          <w:rFonts w:cs="仿宋_GB2312" w:hint="eastAsia"/>
        </w:rPr>
        <w:t>2．我国刑事诉讼中的补强证据规则</w:t>
      </w:r>
      <w:r w:rsidRPr="00E30E4A">
        <w:rPr>
          <w:rFonts w:hint="eastAsia"/>
          <w:kern w:val="0"/>
        </w:rPr>
        <w:t>（1）</w:t>
      </w:r>
      <w:r w:rsidRPr="00E30E4A">
        <w:rPr>
          <w:rFonts w:hint="eastAsia"/>
          <w:color w:val="B00824"/>
          <w:kern w:val="0"/>
        </w:rPr>
        <w:t>口供补强规则</w:t>
      </w:r>
      <w:r w:rsidRPr="00E30E4A">
        <w:rPr>
          <w:rFonts w:hint="eastAsia"/>
          <w:kern w:val="0"/>
        </w:rPr>
        <w:t>：《刑事诉讼法》第55条第一款：只有被告人供述，没有其他证据的，不能认定被告人有罪和处以刑罚。（2）</w:t>
      </w:r>
      <w:r w:rsidRPr="00E30E4A">
        <w:rPr>
          <w:rFonts w:hint="eastAsia"/>
          <w:color w:val="B00824"/>
          <w:kern w:val="0"/>
        </w:rPr>
        <w:t>对特定证人证言、被害人陈述补强的规则</w:t>
      </w:r>
      <w:r w:rsidRPr="00E30E4A">
        <w:rPr>
          <w:rFonts w:hint="eastAsia"/>
          <w:kern w:val="0"/>
        </w:rPr>
        <w:t>：《法院解释》第143条：下列证据应当慎重使用，有其他证据印证的，可以采信：a．生理上、精神上有缺陷，对案件事实的认知和表达存在一定困难，但尚未丧失正确认知、表达能力的被害人、证人和被告人所作的陈述、证言和供述；b．与被告人有亲属关系或者其他密切关系的证人所作的有利于被告人的证言，或者与被告人有利害冲突的证人所作的不利被告人的证言。</w:t>
      </w:r>
      <w:bookmarkEnd w:id="0"/>
      <w:bookmarkEnd w:id="1"/>
    </w:p>
    <w:p w14:paraId="70DE68F8" w14:textId="3226F18A" w:rsidR="001A1D86" w:rsidRPr="001716F1" w:rsidRDefault="001716F1" w:rsidP="001716F1">
      <w:pPr>
        <w:spacing w:line="300" w:lineRule="exact"/>
        <w:ind w:firstLineChars="200" w:firstLine="420"/>
        <w:rPr>
          <w:rFonts w:hint="eastAsia"/>
          <w:kern w:val="0"/>
        </w:rPr>
      </w:pPr>
      <w:r>
        <w:rPr>
          <w:rFonts w:cs="汉仪大宋简" w:hint="eastAsia"/>
          <w:bCs/>
        </w:rPr>
        <w:t>三</w:t>
      </w:r>
      <w:r w:rsidR="001A1D86" w:rsidRPr="00527B83">
        <w:rPr>
          <w:rFonts w:cs="汉仪大宋简" w:hint="eastAsia"/>
          <w:bCs/>
        </w:rPr>
        <w:t>、证明</w:t>
      </w:r>
    </w:p>
    <w:p w14:paraId="1F6DD5FA" w14:textId="77777777" w:rsidR="001A1D86" w:rsidRPr="00527B83" w:rsidRDefault="001A1D86" w:rsidP="001A1D86">
      <w:pPr>
        <w:spacing w:line="300" w:lineRule="exact"/>
        <w:ind w:firstLineChars="130" w:firstLine="273"/>
        <w:rPr>
          <w:rFonts w:cs="汉仪大宋简" w:hint="eastAsia"/>
          <w:bCs/>
        </w:rPr>
      </w:pPr>
      <w:r w:rsidRPr="00527B83">
        <w:rPr>
          <w:rFonts w:cs="汉仪大宋简" w:hint="eastAsia"/>
          <w:bCs/>
        </w:rPr>
        <w:t>（一）证明责任</w:t>
      </w:r>
    </w:p>
    <w:p w14:paraId="53B6903E" w14:textId="77777777" w:rsidR="001A1D86" w:rsidRPr="00527B83" w:rsidRDefault="001A1D86" w:rsidP="001A1D86">
      <w:pPr>
        <w:spacing w:line="300" w:lineRule="exact"/>
        <w:ind w:firstLineChars="200" w:firstLine="420"/>
        <w:rPr>
          <w:rFonts w:cs="仿宋_GB2312" w:hint="eastAsia"/>
        </w:rPr>
      </w:pPr>
      <w:r w:rsidRPr="00527B83">
        <w:rPr>
          <w:rFonts w:cs="仿宋_GB2312" w:hint="eastAsia"/>
        </w:rPr>
        <w:t>1．涵义</w:t>
      </w:r>
    </w:p>
    <w:p w14:paraId="1DC86BC0"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证明责任解决的问题：</w:t>
      </w:r>
      <w:r w:rsidRPr="00527B83">
        <w:rPr>
          <w:rFonts w:cs="仿宋_GB2312" w:hint="eastAsia"/>
          <w:bCs/>
          <w:color w:val="FF0000"/>
        </w:rPr>
        <w:t>诉讼中出现的的案件事实，应当由谁提供证据加以证明，以及在诉讼结束时如果案件事实仍然处于真伪不明的状态，应当由谁来承担败诉或不利的诉讼后果</w:t>
      </w:r>
      <w:r w:rsidRPr="00527B83">
        <w:rPr>
          <w:rFonts w:cs="仿宋_GB2312" w:hint="eastAsia"/>
          <w:bCs/>
        </w:rPr>
        <w:t>。</w:t>
      </w:r>
    </w:p>
    <w:p w14:paraId="2CDA5455" w14:textId="77777777" w:rsidR="001A1D86" w:rsidRPr="00527B83" w:rsidRDefault="001A1D86" w:rsidP="001A1D86">
      <w:pPr>
        <w:spacing w:line="300" w:lineRule="exact"/>
        <w:ind w:firstLineChars="200" w:firstLine="420"/>
        <w:rPr>
          <w:rFonts w:cs="仿宋_GB2312" w:hint="eastAsia"/>
        </w:rPr>
      </w:pPr>
      <w:r w:rsidRPr="00527B83">
        <w:rPr>
          <w:rFonts w:cs="仿宋_GB2312" w:hint="eastAsia"/>
        </w:rPr>
        <w:t>2．特点</w:t>
      </w:r>
    </w:p>
    <w:p w14:paraId="4EE20177"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（1）</w:t>
      </w:r>
      <w:r w:rsidRPr="00527B83">
        <w:rPr>
          <w:rFonts w:cs="仿宋_GB2312" w:hint="eastAsia"/>
          <w:bCs/>
          <w:color w:val="FF0000"/>
        </w:rPr>
        <w:t>证明责任总是与一定的诉讼主张相联系</w:t>
      </w:r>
      <w:r w:rsidRPr="00527B83">
        <w:rPr>
          <w:rFonts w:cs="仿宋_GB2312" w:hint="eastAsia"/>
          <w:bCs/>
        </w:rPr>
        <w:t>。</w:t>
      </w:r>
    </w:p>
    <w:p w14:paraId="4F5F2219"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（2）</w:t>
      </w:r>
      <w:r w:rsidRPr="00527B83">
        <w:rPr>
          <w:rFonts w:cs="仿宋_GB2312" w:hint="eastAsia"/>
          <w:bCs/>
          <w:color w:val="FF0000"/>
        </w:rPr>
        <w:t>证明责任是提供证据责任与说服责任的统一</w:t>
      </w:r>
      <w:r w:rsidRPr="00527B83">
        <w:rPr>
          <w:rFonts w:cs="仿宋_GB2312" w:hint="eastAsia"/>
          <w:bCs/>
        </w:rPr>
        <w:t>。仅仅提出证据并不等于履行了证明责任，还必须尽可能地说服裁判者相信所主张的事实存在或不存在。</w:t>
      </w:r>
    </w:p>
    <w:p w14:paraId="0FABFA31"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（3）</w:t>
      </w:r>
      <w:r w:rsidRPr="00527B83">
        <w:rPr>
          <w:rFonts w:cs="仿宋_GB2312" w:hint="eastAsia"/>
          <w:bCs/>
          <w:color w:val="FF0000"/>
        </w:rPr>
        <w:t>证明责任总是和一定的不利诉讼后果相联系</w:t>
      </w:r>
      <w:r w:rsidRPr="00527B83">
        <w:rPr>
          <w:rFonts w:cs="仿宋_GB2312" w:hint="eastAsia"/>
          <w:bCs/>
        </w:rPr>
        <w:t>。如果控诉方不能提供确实充分的证据或诉讼结束时案件仍处于事实真伪不明的状态，指控的罪名便不能成立。</w:t>
      </w:r>
    </w:p>
    <w:p w14:paraId="53A9ECDC" w14:textId="77777777" w:rsidR="001A1D86" w:rsidRPr="00527B83" w:rsidRDefault="001A1D86" w:rsidP="001A1D86">
      <w:pPr>
        <w:spacing w:line="300" w:lineRule="exact"/>
        <w:ind w:firstLineChars="200" w:firstLine="420"/>
        <w:rPr>
          <w:rFonts w:cs="仿宋_GB2312" w:hint="eastAsia"/>
        </w:rPr>
      </w:pPr>
      <w:r w:rsidRPr="00527B83">
        <w:rPr>
          <w:rFonts w:cs="仿宋_GB2312" w:hint="eastAsia"/>
        </w:rPr>
        <w:t>3．证明责任的分担</w:t>
      </w:r>
    </w:p>
    <w:p w14:paraId="38F0A391"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我国刑事诉讼中证明责任的承担主体：</w:t>
      </w:r>
      <w:r w:rsidRPr="00527B83">
        <w:rPr>
          <w:rFonts w:cs="仿宋_GB2312" w:hint="eastAsia"/>
          <w:bCs/>
          <w:color w:val="FF0000"/>
        </w:rPr>
        <w:t>公诉人和自诉案件的自诉人</w:t>
      </w:r>
      <w:r w:rsidRPr="00527B83">
        <w:rPr>
          <w:rFonts w:cs="仿宋_GB2312" w:hint="eastAsia"/>
          <w:bCs/>
        </w:rPr>
        <w:t>。</w:t>
      </w:r>
    </w:p>
    <w:p w14:paraId="02BFBDE2"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color w:val="FF0000"/>
        </w:rPr>
        <w:t>犯罪嫌疑人、被告人不承担证明自己无罪的责任</w:t>
      </w:r>
      <w:r w:rsidRPr="00527B83">
        <w:rPr>
          <w:rFonts w:cs="仿宋_GB2312" w:hint="eastAsia"/>
          <w:bCs/>
        </w:rPr>
        <w:t>。</w:t>
      </w:r>
    </w:p>
    <w:p w14:paraId="10E4302A"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lastRenderedPageBreak/>
        <w:t>在特定案件（巨额财产来源不明罪及非法持有属于国家绝密、机密文件、资料、物品罪中），</w:t>
      </w:r>
      <w:r w:rsidRPr="00527B83">
        <w:rPr>
          <w:rFonts w:cs="仿宋_GB2312" w:hint="eastAsia"/>
          <w:bCs/>
          <w:color w:val="FF0000"/>
        </w:rPr>
        <w:t>犯罪嫌疑人、被告人也负有提出证据的责任</w:t>
      </w:r>
      <w:r w:rsidRPr="00527B83">
        <w:rPr>
          <w:rFonts w:cs="仿宋_GB2312" w:hint="eastAsia"/>
          <w:bCs/>
        </w:rPr>
        <w:t>。</w:t>
      </w:r>
    </w:p>
    <w:p w14:paraId="1D18836B"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在非法证据排除程序中，当事人及其辩护人、诉讼代理人申请人民法院排除以非法方法收集的证据的，应当提供涉嫌非法取证的人员、时间、地点、方式、内容等相关线索或者材料。——</w:t>
      </w:r>
      <w:r w:rsidRPr="00527B83">
        <w:rPr>
          <w:rFonts w:cs="仿宋_GB2312" w:hint="eastAsia"/>
          <w:bCs/>
          <w:color w:val="FF0000"/>
        </w:rPr>
        <w:t>初步的证明责任</w:t>
      </w:r>
    </w:p>
    <w:p w14:paraId="50766747"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color w:val="FF0000"/>
        </w:rPr>
        <w:t>证明取证合法性的证明责任由公诉方承担</w:t>
      </w:r>
      <w:r w:rsidRPr="00527B83">
        <w:rPr>
          <w:rFonts w:cs="仿宋_GB2312" w:hint="eastAsia"/>
          <w:bCs/>
        </w:rPr>
        <w:t>。</w:t>
      </w:r>
    </w:p>
    <w:p w14:paraId="6964EC9A" w14:textId="77777777" w:rsidR="001A1D86" w:rsidRPr="00527B83" w:rsidRDefault="001A1D86" w:rsidP="001A1D86">
      <w:pPr>
        <w:spacing w:line="300" w:lineRule="exact"/>
        <w:ind w:firstLineChars="130" w:firstLine="273"/>
        <w:rPr>
          <w:rFonts w:cs="汉仪大宋简" w:hint="eastAsia"/>
          <w:bCs/>
        </w:rPr>
      </w:pPr>
      <w:r w:rsidRPr="00527B83">
        <w:rPr>
          <w:rFonts w:cs="汉仪大宋简" w:hint="eastAsia"/>
          <w:bCs/>
        </w:rPr>
        <w:t>（二）证明标准</w:t>
      </w:r>
    </w:p>
    <w:p w14:paraId="5FD5B9AB" w14:textId="77777777" w:rsidR="001A1D86" w:rsidRPr="00527B83" w:rsidRDefault="001A1D86" w:rsidP="001A1D86">
      <w:pPr>
        <w:spacing w:line="300" w:lineRule="exact"/>
        <w:ind w:firstLineChars="200" w:firstLine="420"/>
        <w:rPr>
          <w:rFonts w:cs="仿宋_GB2312" w:hint="eastAsia"/>
          <w:bCs/>
        </w:rPr>
      </w:pPr>
      <w:r w:rsidRPr="00527B83">
        <w:rPr>
          <w:rFonts w:cs="仿宋_GB2312" w:hint="eastAsia"/>
          <w:bCs/>
        </w:rPr>
        <w:t>所谓证明标准，是指法律规定的检察机关和当事人运用证据证明案件事实要求达到的程度。</w:t>
      </w:r>
    </w:p>
    <w:p w14:paraId="2540BA47" w14:textId="77777777" w:rsidR="001A1D86" w:rsidRPr="00527B83" w:rsidRDefault="001A1D86" w:rsidP="001A1D86">
      <w:pPr>
        <w:spacing w:line="300" w:lineRule="exact"/>
        <w:ind w:firstLineChars="200" w:firstLine="420"/>
        <w:rPr>
          <w:rFonts w:hint="eastAsia"/>
          <w:kern w:val="0"/>
        </w:rPr>
      </w:pPr>
      <w:r w:rsidRPr="00527B83">
        <w:rPr>
          <w:rFonts w:cs="仿宋_GB2312" w:hint="eastAsia"/>
          <w:bCs/>
        </w:rPr>
        <w:t>我国刑事诉讼的证明标准是：</w:t>
      </w:r>
      <w:r w:rsidRPr="00527B83">
        <w:rPr>
          <w:rFonts w:cs="仿宋_GB2312" w:hint="eastAsia"/>
          <w:bCs/>
          <w:color w:val="FF0000"/>
        </w:rPr>
        <w:t>证据确实、充分</w:t>
      </w:r>
      <w:r w:rsidRPr="00527B83">
        <w:rPr>
          <w:rFonts w:cs="仿宋_GB2312" w:hint="eastAsia"/>
          <w:bCs/>
        </w:rPr>
        <w:t>。即应当符合以下条件：</w:t>
      </w:r>
      <w:r w:rsidRPr="00527B83">
        <w:rPr>
          <w:rFonts w:cs="仿宋_GB2312" w:hint="eastAsia"/>
          <w:bCs/>
          <w:color w:val="FF0000"/>
        </w:rPr>
        <w:t>（1）定罪量刑的事实都有证据证明；（2）据以定案的证据均经法定程序查证属实；（3）综合全案证据，对所认定事实已排除合理怀疑。</w:t>
      </w:r>
    </w:p>
    <w:p w14:paraId="601DCBD7" w14:textId="5160B60D" w:rsidR="00527B83" w:rsidRPr="003272ED" w:rsidRDefault="001A1D86" w:rsidP="003272ED">
      <w:pPr>
        <w:spacing w:line="300" w:lineRule="exact"/>
        <w:ind w:firstLineChars="200" w:firstLine="420"/>
        <w:rPr>
          <w:rFonts w:cs="仿宋_GB2312" w:hint="eastAsia"/>
          <w:bCs/>
        </w:rPr>
      </w:pPr>
      <w:r w:rsidRPr="00527B83">
        <w:rPr>
          <w:rFonts w:cs="仿宋_GB2312" w:hint="eastAsia"/>
          <w:bCs/>
          <w:color w:val="FF0000"/>
        </w:rPr>
        <w:t>注意：</w:t>
      </w:r>
      <w:r w:rsidRPr="00527B83">
        <w:rPr>
          <w:rFonts w:cs="仿宋_GB2312" w:hint="eastAsia"/>
          <w:bCs/>
        </w:rPr>
        <w:t>这是有罪判决的证明标准，换句话说，</w:t>
      </w:r>
      <w:r w:rsidRPr="00527B83">
        <w:rPr>
          <w:rFonts w:cs="仿宋_GB2312" w:hint="eastAsia"/>
          <w:bCs/>
          <w:color w:val="FF0000"/>
        </w:rPr>
        <w:t>无罪判决并不要求无罪的证据确实、充分，只要指控不成立，即可做出无罪判决</w:t>
      </w:r>
      <w:r w:rsidRPr="00527B83">
        <w:rPr>
          <w:rFonts w:cs="仿宋_GB2312" w:hint="eastAsia"/>
          <w:bCs/>
        </w:rPr>
        <w:t>。</w:t>
      </w:r>
    </w:p>
    <w:sectPr w:rsidR="00527B83" w:rsidRPr="003272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90E46" w14:textId="77777777" w:rsidR="00E7733B" w:rsidRDefault="00E7733B" w:rsidP="00C85E2D">
      <w:pPr>
        <w:rPr>
          <w:rFonts w:hint="eastAsia"/>
        </w:rPr>
      </w:pPr>
      <w:r>
        <w:separator/>
      </w:r>
    </w:p>
  </w:endnote>
  <w:endnote w:type="continuationSeparator" w:id="0">
    <w:p w14:paraId="03FF7918" w14:textId="77777777" w:rsidR="00E7733B" w:rsidRDefault="00E7733B" w:rsidP="00C85E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汉仪大宋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ACADEMY ENGRAVED LET PLAIN:1.0">
    <w:charset w:val="00"/>
    <w:family w:val="auto"/>
    <w:pitch w:val="default"/>
    <w:sig w:usb0="00000000" w:usb1="00000000" w:usb2="00000000" w:usb3="00000000" w:csb0="00000001" w:csb1="00000000"/>
  </w:font>
  <w:font w:name="仿宋_GB2312">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41B1A" w14:textId="77777777" w:rsidR="00E7733B" w:rsidRDefault="00E7733B" w:rsidP="00C85E2D">
      <w:pPr>
        <w:rPr>
          <w:rFonts w:hint="eastAsia"/>
        </w:rPr>
      </w:pPr>
      <w:r>
        <w:separator/>
      </w:r>
    </w:p>
  </w:footnote>
  <w:footnote w:type="continuationSeparator" w:id="0">
    <w:p w14:paraId="672D561F" w14:textId="77777777" w:rsidR="00E7733B" w:rsidRDefault="00E7733B" w:rsidP="00C85E2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798E0E"/>
    <w:multiLevelType w:val="singleLevel"/>
    <w:tmpl w:val="A3798E0E"/>
    <w:lvl w:ilvl="0">
      <w:start w:val="10"/>
      <w:numFmt w:val="chineseCounting"/>
      <w:suff w:val="nothing"/>
      <w:lvlText w:val="%1、"/>
      <w:lvlJc w:val="left"/>
      <w:rPr>
        <w:rFonts w:hint="eastAsia"/>
      </w:rPr>
    </w:lvl>
  </w:abstractNum>
  <w:abstractNum w:abstractNumId="1" w15:restartNumberingAfterBreak="0">
    <w:nsid w:val="B67FB28B"/>
    <w:multiLevelType w:val="singleLevel"/>
    <w:tmpl w:val="B67FB28B"/>
    <w:lvl w:ilvl="0">
      <w:start w:val="1"/>
      <w:numFmt w:val="decimal"/>
      <w:lvlText w:val="%1."/>
      <w:lvlJc w:val="left"/>
      <w:pPr>
        <w:tabs>
          <w:tab w:val="left" w:pos="312"/>
        </w:tabs>
      </w:pPr>
    </w:lvl>
  </w:abstractNum>
  <w:abstractNum w:abstractNumId="2" w15:restartNumberingAfterBreak="0">
    <w:nsid w:val="CC151D68"/>
    <w:multiLevelType w:val="singleLevel"/>
    <w:tmpl w:val="CC151D68"/>
    <w:lvl w:ilvl="0">
      <w:start w:val="3"/>
      <w:numFmt w:val="chineseCounting"/>
      <w:suff w:val="nothing"/>
      <w:lvlText w:val="%1、"/>
      <w:lvlJc w:val="left"/>
      <w:rPr>
        <w:rFonts w:hint="eastAsia"/>
      </w:rPr>
    </w:lvl>
  </w:abstractNum>
  <w:abstractNum w:abstractNumId="3" w15:restartNumberingAfterBreak="0">
    <w:nsid w:val="065A8F94"/>
    <w:multiLevelType w:val="singleLevel"/>
    <w:tmpl w:val="065A8F94"/>
    <w:lvl w:ilvl="0">
      <w:start w:val="5"/>
      <w:numFmt w:val="chineseCounting"/>
      <w:suff w:val="nothing"/>
      <w:lvlText w:val="%1、"/>
      <w:lvlJc w:val="left"/>
      <w:rPr>
        <w:rFonts w:hint="eastAsia"/>
      </w:rPr>
    </w:lvl>
  </w:abstractNum>
  <w:abstractNum w:abstractNumId="4" w15:restartNumberingAfterBreak="0">
    <w:nsid w:val="0CE47B0C"/>
    <w:multiLevelType w:val="singleLevel"/>
    <w:tmpl w:val="0CE47B0C"/>
    <w:lvl w:ilvl="0">
      <w:start w:val="1"/>
      <w:numFmt w:val="chineseCounting"/>
      <w:suff w:val="nothing"/>
      <w:lvlText w:val="（%1）"/>
      <w:lvlJc w:val="left"/>
      <w:rPr>
        <w:rFonts w:hint="eastAsia"/>
      </w:rPr>
    </w:lvl>
  </w:abstractNum>
  <w:abstractNum w:abstractNumId="5" w15:restartNumberingAfterBreak="0">
    <w:nsid w:val="134DCD5E"/>
    <w:multiLevelType w:val="singleLevel"/>
    <w:tmpl w:val="134DCD5E"/>
    <w:lvl w:ilvl="0">
      <w:start w:val="1"/>
      <w:numFmt w:val="chineseCounting"/>
      <w:suff w:val="nothing"/>
      <w:lvlText w:val="（%1）"/>
      <w:lvlJc w:val="left"/>
      <w:rPr>
        <w:rFonts w:hint="eastAsia"/>
      </w:rPr>
    </w:lvl>
  </w:abstractNum>
  <w:abstractNum w:abstractNumId="6" w15:restartNumberingAfterBreak="0">
    <w:nsid w:val="18DC7534"/>
    <w:multiLevelType w:val="hybridMultilevel"/>
    <w:tmpl w:val="008EADA0"/>
    <w:lvl w:ilvl="0" w:tplc="CB96C31E">
      <w:start w:val="3"/>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1D35C5CD"/>
    <w:multiLevelType w:val="singleLevel"/>
    <w:tmpl w:val="1D35C5CD"/>
    <w:lvl w:ilvl="0">
      <w:start w:val="13"/>
      <w:numFmt w:val="chineseCounting"/>
      <w:suff w:val="nothing"/>
      <w:lvlText w:val="%1、"/>
      <w:lvlJc w:val="left"/>
      <w:rPr>
        <w:rFonts w:hint="eastAsia"/>
      </w:rPr>
    </w:lvl>
  </w:abstractNum>
  <w:abstractNum w:abstractNumId="8" w15:restartNumberingAfterBreak="0">
    <w:nsid w:val="1EEC513B"/>
    <w:multiLevelType w:val="singleLevel"/>
    <w:tmpl w:val="1EEC513B"/>
    <w:lvl w:ilvl="0">
      <w:start w:val="2"/>
      <w:numFmt w:val="chineseCounting"/>
      <w:suff w:val="nothing"/>
      <w:lvlText w:val="%1、"/>
      <w:lvlJc w:val="left"/>
      <w:rPr>
        <w:rFonts w:hint="eastAsia"/>
      </w:rPr>
    </w:lvl>
  </w:abstractNum>
  <w:abstractNum w:abstractNumId="9" w15:restartNumberingAfterBreak="0">
    <w:nsid w:val="30FC7355"/>
    <w:multiLevelType w:val="multilevel"/>
    <w:tmpl w:val="30FC7355"/>
    <w:lvl w:ilvl="0">
      <w:start w:val="1"/>
      <w:numFmt w:val="japaneseCounting"/>
      <w:lvlText w:val="（%1）"/>
      <w:lvlJc w:val="left"/>
      <w:pPr>
        <w:ind w:left="1140" w:hanging="72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3FE202B6"/>
    <w:multiLevelType w:val="multilevel"/>
    <w:tmpl w:val="3FE202B6"/>
    <w:lvl w:ilvl="0">
      <w:start w:val="1"/>
      <w:numFmt w:val="decimal"/>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AA7FB40"/>
    <w:multiLevelType w:val="singleLevel"/>
    <w:tmpl w:val="4AA7FB40"/>
    <w:lvl w:ilvl="0">
      <w:start w:val="1"/>
      <w:numFmt w:val="decimal"/>
      <w:lvlText w:val="%1."/>
      <w:lvlJc w:val="left"/>
      <w:pPr>
        <w:tabs>
          <w:tab w:val="left" w:pos="312"/>
        </w:tabs>
      </w:pPr>
    </w:lvl>
  </w:abstractNum>
  <w:abstractNum w:abstractNumId="12" w15:restartNumberingAfterBreak="0">
    <w:nsid w:val="4C9AB169"/>
    <w:multiLevelType w:val="singleLevel"/>
    <w:tmpl w:val="486A9F88"/>
    <w:lvl w:ilvl="0">
      <w:start w:val="2"/>
      <w:numFmt w:val="chineseCounting"/>
      <w:suff w:val="nothing"/>
      <w:lvlText w:val="（%1）"/>
      <w:lvlJc w:val="left"/>
      <w:rPr>
        <w:rFonts w:hint="eastAsia"/>
        <w:color w:val="auto"/>
      </w:rPr>
    </w:lvl>
  </w:abstractNum>
  <w:abstractNum w:abstractNumId="13" w15:restartNumberingAfterBreak="0">
    <w:nsid w:val="684B0FDE"/>
    <w:multiLevelType w:val="singleLevel"/>
    <w:tmpl w:val="684B0FDE"/>
    <w:lvl w:ilvl="0">
      <w:start w:val="1"/>
      <w:numFmt w:val="chineseCounting"/>
      <w:suff w:val="nothing"/>
      <w:lvlText w:val="（%1）"/>
      <w:lvlJc w:val="left"/>
      <w:rPr>
        <w:rFonts w:hint="eastAsia"/>
      </w:rPr>
    </w:lvl>
  </w:abstractNum>
  <w:abstractNum w:abstractNumId="14" w15:restartNumberingAfterBreak="0">
    <w:nsid w:val="695F2F58"/>
    <w:multiLevelType w:val="hybridMultilevel"/>
    <w:tmpl w:val="C49AF466"/>
    <w:lvl w:ilvl="0" w:tplc="DF882818">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5" w15:restartNumberingAfterBreak="0">
    <w:nsid w:val="6EAB8B7C"/>
    <w:multiLevelType w:val="singleLevel"/>
    <w:tmpl w:val="6EAB8B7C"/>
    <w:lvl w:ilvl="0">
      <w:start w:val="1"/>
      <w:numFmt w:val="chineseCounting"/>
      <w:suff w:val="nothing"/>
      <w:lvlText w:val="%1、"/>
      <w:lvlJc w:val="left"/>
      <w:pPr>
        <w:ind w:left="421" w:firstLine="0"/>
      </w:pPr>
      <w:rPr>
        <w:rFonts w:hint="eastAsia"/>
      </w:rPr>
    </w:lvl>
  </w:abstractNum>
  <w:abstractNum w:abstractNumId="16" w15:restartNumberingAfterBreak="0">
    <w:nsid w:val="70860735"/>
    <w:multiLevelType w:val="hybridMultilevel"/>
    <w:tmpl w:val="0CEC38B6"/>
    <w:lvl w:ilvl="0" w:tplc="8A00872C">
      <w:start w:val="1"/>
      <w:numFmt w:val="japaneseCounting"/>
      <w:lvlText w:val="（%1）"/>
      <w:lvlJc w:val="left"/>
      <w:pPr>
        <w:ind w:left="1142" w:hanging="72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17" w15:restartNumberingAfterBreak="0">
    <w:nsid w:val="74FD6DD1"/>
    <w:multiLevelType w:val="hybridMultilevel"/>
    <w:tmpl w:val="2A1AB402"/>
    <w:lvl w:ilvl="0" w:tplc="2FB0D41C">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8" w15:restartNumberingAfterBreak="0">
    <w:nsid w:val="78E369C5"/>
    <w:multiLevelType w:val="hybridMultilevel"/>
    <w:tmpl w:val="E6C4B1A0"/>
    <w:lvl w:ilvl="0" w:tplc="DAC2D6FA">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658004363">
    <w:abstractNumId w:val="10"/>
  </w:num>
  <w:num w:numId="2" w16cid:durableId="2108311261">
    <w:abstractNumId w:val="2"/>
  </w:num>
  <w:num w:numId="3" w16cid:durableId="1028339804">
    <w:abstractNumId w:val="6"/>
  </w:num>
  <w:num w:numId="4" w16cid:durableId="1539515418">
    <w:abstractNumId w:val="11"/>
  </w:num>
  <w:num w:numId="5" w16cid:durableId="798492815">
    <w:abstractNumId w:val="1"/>
  </w:num>
  <w:num w:numId="6" w16cid:durableId="80103855">
    <w:abstractNumId w:val="13"/>
  </w:num>
  <w:num w:numId="7" w16cid:durableId="1962490400">
    <w:abstractNumId w:val="12"/>
  </w:num>
  <w:num w:numId="8" w16cid:durableId="200360366">
    <w:abstractNumId w:val="4"/>
  </w:num>
  <w:num w:numId="9" w16cid:durableId="1616907449">
    <w:abstractNumId w:val="5"/>
  </w:num>
  <w:num w:numId="10" w16cid:durableId="972252567">
    <w:abstractNumId w:val="8"/>
  </w:num>
  <w:num w:numId="11" w16cid:durableId="305206848">
    <w:abstractNumId w:val="15"/>
  </w:num>
  <w:num w:numId="12" w16cid:durableId="1514878833">
    <w:abstractNumId w:val="16"/>
  </w:num>
  <w:num w:numId="13" w16cid:durableId="814105706">
    <w:abstractNumId w:val="18"/>
  </w:num>
  <w:num w:numId="14" w16cid:durableId="1311903470">
    <w:abstractNumId w:val="14"/>
  </w:num>
  <w:num w:numId="15" w16cid:durableId="251935010">
    <w:abstractNumId w:val="17"/>
  </w:num>
  <w:num w:numId="16" w16cid:durableId="1897425769">
    <w:abstractNumId w:val="9"/>
  </w:num>
  <w:num w:numId="17" w16cid:durableId="1694257413">
    <w:abstractNumId w:val="3"/>
  </w:num>
  <w:num w:numId="18" w16cid:durableId="1863737905">
    <w:abstractNumId w:val="0"/>
  </w:num>
  <w:num w:numId="19" w16cid:durableId="130222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D4"/>
    <w:rsid w:val="00005E96"/>
    <w:rsid w:val="00014540"/>
    <w:rsid w:val="00015021"/>
    <w:rsid w:val="000159C7"/>
    <w:rsid w:val="0002071F"/>
    <w:rsid w:val="00032387"/>
    <w:rsid w:val="00037BF7"/>
    <w:rsid w:val="00050941"/>
    <w:rsid w:val="000509D4"/>
    <w:rsid w:val="00053836"/>
    <w:rsid w:val="00067708"/>
    <w:rsid w:val="00073190"/>
    <w:rsid w:val="00080448"/>
    <w:rsid w:val="0009282F"/>
    <w:rsid w:val="000A70B7"/>
    <w:rsid w:val="000B0E26"/>
    <w:rsid w:val="000B7EA6"/>
    <w:rsid w:val="000C5539"/>
    <w:rsid w:val="000C58DF"/>
    <w:rsid w:val="000C6AA4"/>
    <w:rsid w:val="000D2A58"/>
    <w:rsid w:val="000D3A4E"/>
    <w:rsid w:val="000D4AD7"/>
    <w:rsid w:val="000E25CC"/>
    <w:rsid w:val="000E29B5"/>
    <w:rsid w:val="000E4D25"/>
    <w:rsid w:val="000F6F07"/>
    <w:rsid w:val="00101202"/>
    <w:rsid w:val="00104E88"/>
    <w:rsid w:val="00106DB1"/>
    <w:rsid w:val="0011528D"/>
    <w:rsid w:val="0011627E"/>
    <w:rsid w:val="00117B40"/>
    <w:rsid w:val="0013249F"/>
    <w:rsid w:val="00133997"/>
    <w:rsid w:val="001516C3"/>
    <w:rsid w:val="0016016C"/>
    <w:rsid w:val="001716F1"/>
    <w:rsid w:val="00173399"/>
    <w:rsid w:val="001900D8"/>
    <w:rsid w:val="00190383"/>
    <w:rsid w:val="00197FBF"/>
    <w:rsid w:val="001A1D86"/>
    <w:rsid w:val="001A746C"/>
    <w:rsid w:val="001B05DA"/>
    <w:rsid w:val="001B1DAA"/>
    <w:rsid w:val="001B7118"/>
    <w:rsid w:val="001C500A"/>
    <w:rsid w:val="001C6B35"/>
    <w:rsid w:val="001C7DAC"/>
    <w:rsid w:val="001C7E58"/>
    <w:rsid w:val="001D3066"/>
    <w:rsid w:val="001E7875"/>
    <w:rsid w:val="001F23B2"/>
    <w:rsid w:val="002101E4"/>
    <w:rsid w:val="00210347"/>
    <w:rsid w:val="0021199C"/>
    <w:rsid w:val="002205A0"/>
    <w:rsid w:val="002275A1"/>
    <w:rsid w:val="0023254E"/>
    <w:rsid w:val="00250109"/>
    <w:rsid w:val="00253FA7"/>
    <w:rsid w:val="002654ED"/>
    <w:rsid w:val="00266EB1"/>
    <w:rsid w:val="002670BA"/>
    <w:rsid w:val="002A6988"/>
    <w:rsid w:val="002B3BCF"/>
    <w:rsid w:val="002D4FF0"/>
    <w:rsid w:val="002E37B3"/>
    <w:rsid w:val="002E4B09"/>
    <w:rsid w:val="002E4B2A"/>
    <w:rsid w:val="002E5CA5"/>
    <w:rsid w:val="002F088B"/>
    <w:rsid w:val="00311C36"/>
    <w:rsid w:val="003134C8"/>
    <w:rsid w:val="0031551A"/>
    <w:rsid w:val="0032215B"/>
    <w:rsid w:val="0032230D"/>
    <w:rsid w:val="003272ED"/>
    <w:rsid w:val="003333C3"/>
    <w:rsid w:val="003348F8"/>
    <w:rsid w:val="0033584B"/>
    <w:rsid w:val="0034354D"/>
    <w:rsid w:val="00350FC2"/>
    <w:rsid w:val="003B0773"/>
    <w:rsid w:val="003C3C56"/>
    <w:rsid w:val="003D3210"/>
    <w:rsid w:val="003D6311"/>
    <w:rsid w:val="003D6786"/>
    <w:rsid w:val="003E560F"/>
    <w:rsid w:val="003E70DB"/>
    <w:rsid w:val="003E7FFA"/>
    <w:rsid w:val="003F5B9D"/>
    <w:rsid w:val="0040089B"/>
    <w:rsid w:val="00402393"/>
    <w:rsid w:val="00421631"/>
    <w:rsid w:val="00423568"/>
    <w:rsid w:val="00424898"/>
    <w:rsid w:val="00427A63"/>
    <w:rsid w:val="004311B3"/>
    <w:rsid w:val="00432018"/>
    <w:rsid w:val="0043237C"/>
    <w:rsid w:val="0043336E"/>
    <w:rsid w:val="004357A0"/>
    <w:rsid w:val="0044055C"/>
    <w:rsid w:val="00445015"/>
    <w:rsid w:val="00447959"/>
    <w:rsid w:val="00464E08"/>
    <w:rsid w:val="00471D73"/>
    <w:rsid w:val="00482986"/>
    <w:rsid w:val="00492B91"/>
    <w:rsid w:val="004947D4"/>
    <w:rsid w:val="00497240"/>
    <w:rsid w:val="004A0DDF"/>
    <w:rsid w:val="004A3723"/>
    <w:rsid w:val="004B0631"/>
    <w:rsid w:val="004D0175"/>
    <w:rsid w:val="004D2CCE"/>
    <w:rsid w:val="004D5238"/>
    <w:rsid w:val="004E34E5"/>
    <w:rsid w:val="004F42D8"/>
    <w:rsid w:val="004F6FC4"/>
    <w:rsid w:val="004F728A"/>
    <w:rsid w:val="00501E3E"/>
    <w:rsid w:val="0050201A"/>
    <w:rsid w:val="00504BB8"/>
    <w:rsid w:val="00505AC7"/>
    <w:rsid w:val="00506D12"/>
    <w:rsid w:val="0050795F"/>
    <w:rsid w:val="005107A2"/>
    <w:rsid w:val="0051101C"/>
    <w:rsid w:val="005145B4"/>
    <w:rsid w:val="0051749F"/>
    <w:rsid w:val="0052431D"/>
    <w:rsid w:val="00527648"/>
    <w:rsid w:val="00527B83"/>
    <w:rsid w:val="00527F6F"/>
    <w:rsid w:val="0054067D"/>
    <w:rsid w:val="00541AFB"/>
    <w:rsid w:val="005436BE"/>
    <w:rsid w:val="00547CD5"/>
    <w:rsid w:val="0056519D"/>
    <w:rsid w:val="00565443"/>
    <w:rsid w:val="00574429"/>
    <w:rsid w:val="005745F1"/>
    <w:rsid w:val="0058079B"/>
    <w:rsid w:val="00587555"/>
    <w:rsid w:val="00594752"/>
    <w:rsid w:val="00594FEE"/>
    <w:rsid w:val="005B1470"/>
    <w:rsid w:val="005B19CC"/>
    <w:rsid w:val="005B314C"/>
    <w:rsid w:val="005B3791"/>
    <w:rsid w:val="005B4E79"/>
    <w:rsid w:val="005C50A2"/>
    <w:rsid w:val="005C78E8"/>
    <w:rsid w:val="005D5E5E"/>
    <w:rsid w:val="00603B93"/>
    <w:rsid w:val="006048BA"/>
    <w:rsid w:val="00625CEF"/>
    <w:rsid w:val="00650782"/>
    <w:rsid w:val="00656AB4"/>
    <w:rsid w:val="00657DBC"/>
    <w:rsid w:val="00670CF3"/>
    <w:rsid w:val="00670FF7"/>
    <w:rsid w:val="0067654B"/>
    <w:rsid w:val="006811A9"/>
    <w:rsid w:val="006832FD"/>
    <w:rsid w:val="00687FFB"/>
    <w:rsid w:val="00690274"/>
    <w:rsid w:val="00693646"/>
    <w:rsid w:val="006A6E20"/>
    <w:rsid w:val="006B3543"/>
    <w:rsid w:val="006B4905"/>
    <w:rsid w:val="006B6D38"/>
    <w:rsid w:val="006C08FC"/>
    <w:rsid w:val="006D0FCF"/>
    <w:rsid w:val="006D3169"/>
    <w:rsid w:val="006F30BE"/>
    <w:rsid w:val="006F73D8"/>
    <w:rsid w:val="00713F4C"/>
    <w:rsid w:val="007164EE"/>
    <w:rsid w:val="007165FE"/>
    <w:rsid w:val="00726753"/>
    <w:rsid w:val="0072718E"/>
    <w:rsid w:val="00731083"/>
    <w:rsid w:val="007454BF"/>
    <w:rsid w:val="007510B8"/>
    <w:rsid w:val="00753B48"/>
    <w:rsid w:val="00755E4D"/>
    <w:rsid w:val="00761777"/>
    <w:rsid w:val="007653E4"/>
    <w:rsid w:val="00767B4A"/>
    <w:rsid w:val="00780EA5"/>
    <w:rsid w:val="00786067"/>
    <w:rsid w:val="00794D0D"/>
    <w:rsid w:val="007950CD"/>
    <w:rsid w:val="007B2315"/>
    <w:rsid w:val="007B6E1C"/>
    <w:rsid w:val="007C0888"/>
    <w:rsid w:val="007C325E"/>
    <w:rsid w:val="007D67D3"/>
    <w:rsid w:val="007D73C7"/>
    <w:rsid w:val="007D7CC3"/>
    <w:rsid w:val="007E0BE2"/>
    <w:rsid w:val="007E3049"/>
    <w:rsid w:val="007E5BE4"/>
    <w:rsid w:val="007E700D"/>
    <w:rsid w:val="007F11B1"/>
    <w:rsid w:val="007F2962"/>
    <w:rsid w:val="007F588A"/>
    <w:rsid w:val="007F6FB0"/>
    <w:rsid w:val="00802B10"/>
    <w:rsid w:val="008049E7"/>
    <w:rsid w:val="00811793"/>
    <w:rsid w:val="00815930"/>
    <w:rsid w:val="00821A1B"/>
    <w:rsid w:val="00823949"/>
    <w:rsid w:val="008252E3"/>
    <w:rsid w:val="0083457F"/>
    <w:rsid w:val="00850088"/>
    <w:rsid w:val="00853B3E"/>
    <w:rsid w:val="0086584A"/>
    <w:rsid w:val="00865EBB"/>
    <w:rsid w:val="00881C8E"/>
    <w:rsid w:val="0088711E"/>
    <w:rsid w:val="00897FA3"/>
    <w:rsid w:val="008A3F7E"/>
    <w:rsid w:val="008C1575"/>
    <w:rsid w:val="008C469D"/>
    <w:rsid w:val="008C6EAD"/>
    <w:rsid w:val="008C7292"/>
    <w:rsid w:val="008D6B7B"/>
    <w:rsid w:val="00907B9C"/>
    <w:rsid w:val="00910862"/>
    <w:rsid w:val="00911652"/>
    <w:rsid w:val="0091394F"/>
    <w:rsid w:val="0091504E"/>
    <w:rsid w:val="009458BA"/>
    <w:rsid w:val="0094665A"/>
    <w:rsid w:val="00946CA1"/>
    <w:rsid w:val="00951F22"/>
    <w:rsid w:val="00956589"/>
    <w:rsid w:val="009567B2"/>
    <w:rsid w:val="00960DE6"/>
    <w:rsid w:val="00964D67"/>
    <w:rsid w:val="00965DDF"/>
    <w:rsid w:val="00972707"/>
    <w:rsid w:val="00975F23"/>
    <w:rsid w:val="00976277"/>
    <w:rsid w:val="0098757F"/>
    <w:rsid w:val="00996A74"/>
    <w:rsid w:val="009A083D"/>
    <w:rsid w:val="009A37E8"/>
    <w:rsid w:val="009B45A2"/>
    <w:rsid w:val="009B66F4"/>
    <w:rsid w:val="009C2EC1"/>
    <w:rsid w:val="009C7DE2"/>
    <w:rsid w:val="009D6F85"/>
    <w:rsid w:val="009E0B1E"/>
    <w:rsid w:val="009F28D9"/>
    <w:rsid w:val="00A02FB6"/>
    <w:rsid w:val="00A04C6B"/>
    <w:rsid w:val="00A11C9A"/>
    <w:rsid w:val="00A169B9"/>
    <w:rsid w:val="00A23C51"/>
    <w:rsid w:val="00A36F49"/>
    <w:rsid w:val="00A437A1"/>
    <w:rsid w:val="00A437C2"/>
    <w:rsid w:val="00A447D0"/>
    <w:rsid w:val="00A559C6"/>
    <w:rsid w:val="00A57492"/>
    <w:rsid w:val="00A63795"/>
    <w:rsid w:val="00A65DD1"/>
    <w:rsid w:val="00A672A3"/>
    <w:rsid w:val="00A67A85"/>
    <w:rsid w:val="00A7669F"/>
    <w:rsid w:val="00A836A4"/>
    <w:rsid w:val="00A85BAA"/>
    <w:rsid w:val="00A92A4E"/>
    <w:rsid w:val="00AA718F"/>
    <w:rsid w:val="00AB65C7"/>
    <w:rsid w:val="00AC420C"/>
    <w:rsid w:val="00AC427C"/>
    <w:rsid w:val="00AC4410"/>
    <w:rsid w:val="00AD1D6F"/>
    <w:rsid w:val="00AD2769"/>
    <w:rsid w:val="00AE646D"/>
    <w:rsid w:val="00B041FC"/>
    <w:rsid w:val="00B11858"/>
    <w:rsid w:val="00B224F9"/>
    <w:rsid w:val="00B2391A"/>
    <w:rsid w:val="00B2611D"/>
    <w:rsid w:val="00B5143B"/>
    <w:rsid w:val="00B636FF"/>
    <w:rsid w:val="00B72AC1"/>
    <w:rsid w:val="00B742DA"/>
    <w:rsid w:val="00B808AF"/>
    <w:rsid w:val="00B94D4A"/>
    <w:rsid w:val="00BA061B"/>
    <w:rsid w:val="00BA11C6"/>
    <w:rsid w:val="00BA4A96"/>
    <w:rsid w:val="00BB6FB3"/>
    <w:rsid w:val="00BC4FA1"/>
    <w:rsid w:val="00BD4B56"/>
    <w:rsid w:val="00BE2936"/>
    <w:rsid w:val="00BF44C9"/>
    <w:rsid w:val="00C14B48"/>
    <w:rsid w:val="00C23A41"/>
    <w:rsid w:val="00C257B8"/>
    <w:rsid w:val="00C306CC"/>
    <w:rsid w:val="00C33D2D"/>
    <w:rsid w:val="00C36150"/>
    <w:rsid w:val="00C379F4"/>
    <w:rsid w:val="00C5781E"/>
    <w:rsid w:val="00C61A96"/>
    <w:rsid w:val="00C61DF2"/>
    <w:rsid w:val="00C61F08"/>
    <w:rsid w:val="00C6442D"/>
    <w:rsid w:val="00C77F1E"/>
    <w:rsid w:val="00C80540"/>
    <w:rsid w:val="00C8166F"/>
    <w:rsid w:val="00C85E2D"/>
    <w:rsid w:val="00C86AC6"/>
    <w:rsid w:val="00CA50B7"/>
    <w:rsid w:val="00CA5262"/>
    <w:rsid w:val="00CB1AC1"/>
    <w:rsid w:val="00CB4F7C"/>
    <w:rsid w:val="00CB555C"/>
    <w:rsid w:val="00CB66C9"/>
    <w:rsid w:val="00CC160E"/>
    <w:rsid w:val="00CC1994"/>
    <w:rsid w:val="00CD15CD"/>
    <w:rsid w:val="00CE094D"/>
    <w:rsid w:val="00CE16A2"/>
    <w:rsid w:val="00CF03CF"/>
    <w:rsid w:val="00CF277B"/>
    <w:rsid w:val="00CF2CEF"/>
    <w:rsid w:val="00CF4EC1"/>
    <w:rsid w:val="00D03359"/>
    <w:rsid w:val="00D15B3E"/>
    <w:rsid w:val="00D2546A"/>
    <w:rsid w:val="00D30A9E"/>
    <w:rsid w:val="00D33806"/>
    <w:rsid w:val="00D469CE"/>
    <w:rsid w:val="00D50CCC"/>
    <w:rsid w:val="00D76E8A"/>
    <w:rsid w:val="00D80643"/>
    <w:rsid w:val="00D94BB9"/>
    <w:rsid w:val="00DA7EB4"/>
    <w:rsid w:val="00DB05CA"/>
    <w:rsid w:val="00DC642A"/>
    <w:rsid w:val="00DD70AB"/>
    <w:rsid w:val="00DE1FDE"/>
    <w:rsid w:val="00DE3418"/>
    <w:rsid w:val="00DE4F1C"/>
    <w:rsid w:val="00DE7A89"/>
    <w:rsid w:val="00DF1E86"/>
    <w:rsid w:val="00DF3F96"/>
    <w:rsid w:val="00DF6667"/>
    <w:rsid w:val="00E0612A"/>
    <w:rsid w:val="00E1753C"/>
    <w:rsid w:val="00E31367"/>
    <w:rsid w:val="00E32DE8"/>
    <w:rsid w:val="00E338DE"/>
    <w:rsid w:val="00E346BB"/>
    <w:rsid w:val="00E37CA7"/>
    <w:rsid w:val="00E44609"/>
    <w:rsid w:val="00E4596F"/>
    <w:rsid w:val="00E53251"/>
    <w:rsid w:val="00E56977"/>
    <w:rsid w:val="00E651C6"/>
    <w:rsid w:val="00E70C69"/>
    <w:rsid w:val="00E74855"/>
    <w:rsid w:val="00E7733B"/>
    <w:rsid w:val="00E803EF"/>
    <w:rsid w:val="00E807A6"/>
    <w:rsid w:val="00E842C3"/>
    <w:rsid w:val="00E85FEC"/>
    <w:rsid w:val="00E86F45"/>
    <w:rsid w:val="00E93ABB"/>
    <w:rsid w:val="00E97439"/>
    <w:rsid w:val="00E976B8"/>
    <w:rsid w:val="00EA0FD6"/>
    <w:rsid w:val="00EA42EB"/>
    <w:rsid w:val="00EA712F"/>
    <w:rsid w:val="00EA7D65"/>
    <w:rsid w:val="00EB443D"/>
    <w:rsid w:val="00EB44E4"/>
    <w:rsid w:val="00EC59E1"/>
    <w:rsid w:val="00EF2090"/>
    <w:rsid w:val="00F106EE"/>
    <w:rsid w:val="00F22726"/>
    <w:rsid w:val="00F24F94"/>
    <w:rsid w:val="00F32AD1"/>
    <w:rsid w:val="00F34CD8"/>
    <w:rsid w:val="00F35091"/>
    <w:rsid w:val="00F41C11"/>
    <w:rsid w:val="00F44D4F"/>
    <w:rsid w:val="00F456AB"/>
    <w:rsid w:val="00F52CF8"/>
    <w:rsid w:val="00F72F20"/>
    <w:rsid w:val="00F7744E"/>
    <w:rsid w:val="00F8476E"/>
    <w:rsid w:val="00F86CC2"/>
    <w:rsid w:val="00F87D1B"/>
    <w:rsid w:val="00F9290D"/>
    <w:rsid w:val="00F94274"/>
    <w:rsid w:val="00FA22CD"/>
    <w:rsid w:val="00FA2F05"/>
    <w:rsid w:val="00FB7A39"/>
    <w:rsid w:val="00FB7E6B"/>
    <w:rsid w:val="00FC1BB4"/>
    <w:rsid w:val="00FC28AC"/>
    <w:rsid w:val="00FC2C99"/>
    <w:rsid w:val="00FC2FD2"/>
    <w:rsid w:val="00FC4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778EF"/>
  <w15:chartTrackingRefBased/>
  <w15:docId w15:val="{612CD004-526A-464A-ABB1-1B64842D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66F"/>
    <w:pPr>
      <w:widowControl w:val="0"/>
      <w:jc w:val="both"/>
    </w:pPr>
    <w:rPr>
      <w:rFonts w:ascii="宋体" w:eastAsia="宋体" w:hAnsi="宋体" w:cs="宋体"/>
      <w:color w:val="000000" w:themeColor="text1"/>
      <w:szCs w:val="21"/>
    </w:rPr>
  </w:style>
  <w:style w:type="paragraph" w:styleId="1">
    <w:name w:val="heading 1"/>
    <w:basedOn w:val="a"/>
    <w:next w:val="a"/>
    <w:link w:val="10"/>
    <w:uiPriority w:val="9"/>
    <w:qFormat/>
    <w:rsid w:val="004947D4"/>
    <w:pPr>
      <w:keepNext/>
      <w:keepLines/>
      <w:spacing w:before="340" w:after="330" w:line="578" w:lineRule="auto"/>
      <w:outlineLvl w:val="0"/>
    </w:pPr>
    <w:rPr>
      <w:rFonts w:ascii="Calibri" w:hAnsi="Calibri" w:cs="Times New Roman"/>
      <w:b/>
      <w:bCs/>
      <w:color w:val="auto"/>
      <w:kern w:val="44"/>
      <w:sz w:val="44"/>
      <w:szCs w:val="44"/>
    </w:rPr>
  </w:style>
  <w:style w:type="paragraph" w:styleId="2">
    <w:name w:val="heading 2"/>
    <w:basedOn w:val="a"/>
    <w:next w:val="a"/>
    <w:link w:val="20"/>
    <w:uiPriority w:val="9"/>
    <w:unhideWhenUsed/>
    <w:qFormat/>
    <w:rsid w:val="00657DB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947D4"/>
    <w:pPr>
      <w:keepNext/>
      <w:keepLines/>
      <w:tabs>
        <w:tab w:val="left" w:pos="420"/>
      </w:tabs>
      <w:spacing w:line="384" w:lineRule="exact"/>
      <w:jc w:val="left"/>
      <w:outlineLvl w:val="2"/>
    </w:pPr>
    <w:rPr>
      <w:rFonts w:eastAsia="汉仪大宋简"/>
      <w:sz w:val="26"/>
    </w:rPr>
  </w:style>
  <w:style w:type="paragraph" w:styleId="4">
    <w:name w:val="heading 4"/>
    <w:basedOn w:val="a"/>
    <w:next w:val="a"/>
    <w:link w:val="40"/>
    <w:uiPriority w:val="9"/>
    <w:unhideWhenUsed/>
    <w:qFormat/>
    <w:rsid w:val="00657DBC"/>
    <w:pPr>
      <w:keepNext/>
      <w:keepLines/>
      <w:spacing w:before="280" w:after="290" w:line="376" w:lineRule="auto"/>
      <w:outlineLvl w:val="3"/>
    </w:pPr>
    <w:rPr>
      <w:rFonts w:asciiTheme="majorHAnsi" w:eastAsiaTheme="majorEastAsia" w:hAnsiTheme="majorHAnsi" w:cstheme="majorBidi"/>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947D4"/>
    <w:rPr>
      <w:rFonts w:ascii="Calibri" w:eastAsia="宋体" w:hAnsi="Calibri" w:cs="Times New Roman"/>
      <w:b/>
      <w:bCs/>
      <w:kern w:val="44"/>
      <w:sz w:val="44"/>
      <w:szCs w:val="44"/>
    </w:rPr>
  </w:style>
  <w:style w:type="character" w:customStyle="1" w:styleId="30">
    <w:name w:val="标题 3 字符"/>
    <w:basedOn w:val="a0"/>
    <w:link w:val="3"/>
    <w:uiPriority w:val="9"/>
    <w:qFormat/>
    <w:rsid w:val="004947D4"/>
    <w:rPr>
      <w:rFonts w:ascii="宋体" w:eastAsia="汉仪大宋简" w:hAnsi="宋体" w:cs="宋体"/>
      <w:color w:val="000000" w:themeColor="text1"/>
      <w:sz w:val="26"/>
      <w:szCs w:val="21"/>
    </w:rPr>
  </w:style>
  <w:style w:type="paragraph" w:styleId="a3">
    <w:name w:val="header"/>
    <w:basedOn w:val="a"/>
    <w:link w:val="a4"/>
    <w:uiPriority w:val="99"/>
    <w:unhideWhenUsed/>
    <w:qFormat/>
    <w:rsid w:val="00C85E2D"/>
    <w:pP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a4">
    <w:name w:val="页眉 字符"/>
    <w:basedOn w:val="a0"/>
    <w:link w:val="a3"/>
    <w:uiPriority w:val="99"/>
    <w:qFormat/>
    <w:rsid w:val="00C85E2D"/>
    <w:rPr>
      <w:sz w:val="18"/>
      <w:szCs w:val="18"/>
    </w:rPr>
  </w:style>
  <w:style w:type="paragraph" w:styleId="a5">
    <w:name w:val="footer"/>
    <w:basedOn w:val="a"/>
    <w:link w:val="a6"/>
    <w:uiPriority w:val="99"/>
    <w:unhideWhenUsed/>
    <w:qFormat/>
    <w:rsid w:val="00C85E2D"/>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a6">
    <w:name w:val="页脚 字符"/>
    <w:basedOn w:val="a0"/>
    <w:link w:val="a5"/>
    <w:uiPriority w:val="99"/>
    <w:qFormat/>
    <w:rsid w:val="00C85E2D"/>
    <w:rPr>
      <w:sz w:val="18"/>
      <w:szCs w:val="18"/>
    </w:rPr>
  </w:style>
  <w:style w:type="paragraph" w:styleId="a7">
    <w:name w:val="Plain Text"/>
    <w:basedOn w:val="a"/>
    <w:link w:val="a8"/>
    <w:uiPriority w:val="99"/>
    <w:unhideWhenUsed/>
    <w:qFormat/>
    <w:rsid w:val="00C85E2D"/>
    <w:pPr>
      <w:spacing w:beforeLines="10" w:afterLines="10" w:line="240" w:lineRule="exact"/>
    </w:pPr>
    <w:rPr>
      <w:rFonts w:hAnsi="Courier New" w:cs="Courier New"/>
      <w:color w:val="auto"/>
    </w:rPr>
  </w:style>
  <w:style w:type="character" w:customStyle="1" w:styleId="a8">
    <w:name w:val="纯文本 字符"/>
    <w:basedOn w:val="a0"/>
    <w:link w:val="a7"/>
    <w:uiPriority w:val="99"/>
    <w:qFormat/>
    <w:rsid w:val="00C85E2D"/>
    <w:rPr>
      <w:rFonts w:ascii="宋体" w:eastAsia="宋体" w:hAnsi="Courier New" w:cs="Courier New"/>
      <w:szCs w:val="21"/>
    </w:rPr>
  </w:style>
  <w:style w:type="table" w:styleId="a9">
    <w:name w:val="Table Grid"/>
    <w:basedOn w:val="a1"/>
    <w:uiPriority w:val="59"/>
    <w:qFormat/>
    <w:rsid w:val="00C85E2D"/>
    <w:pPr>
      <w:spacing w:beforeLines="10" w:afterLines="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qFormat/>
    <w:rsid w:val="00657DBC"/>
    <w:rPr>
      <w:rFonts w:asciiTheme="majorHAnsi" w:eastAsiaTheme="majorEastAsia" w:hAnsiTheme="majorHAnsi" w:cstheme="majorBidi"/>
      <w:b/>
      <w:bCs/>
      <w:sz w:val="28"/>
      <w:szCs w:val="28"/>
    </w:rPr>
  </w:style>
  <w:style w:type="character" w:customStyle="1" w:styleId="20">
    <w:name w:val="标题 2 字符"/>
    <w:basedOn w:val="a0"/>
    <w:link w:val="2"/>
    <w:uiPriority w:val="9"/>
    <w:qFormat/>
    <w:rsid w:val="00657DBC"/>
    <w:rPr>
      <w:rFonts w:asciiTheme="majorHAnsi" w:eastAsiaTheme="majorEastAsia" w:hAnsiTheme="majorHAnsi" w:cstheme="majorBidi"/>
      <w:b/>
      <w:bCs/>
      <w:color w:val="000000" w:themeColor="text1"/>
      <w:sz w:val="32"/>
      <w:szCs w:val="32"/>
    </w:rPr>
  </w:style>
  <w:style w:type="paragraph" w:styleId="TOC7">
    <w:name w:val="toc 7"/>
    <w:basedOn w:val="a"/>
    <w:next w:val="a"/>
    <w:uiPriority w:val="39"/>
    <w:unhideWhenUsed/>
    <w:qFormat/>
    <w:rsid w:val="00657DBC"/>
    <w:pPr>
      <w:ind w:left="1260"/>
    </w:pPr>
  </w:style>
  <w:style w:type="paragraph" w:styleId="aa">
    <w:name w:val="Document Map"/>
    <w:basedOn w:val="a"/>
    <w:link w:val="ab"/>
    <w:uiPriority w:val="99"/>
    <w:unhideWhenUsed/>
    <w:qFormat/>
    <w:rsid w:val="00657DBC"/>
    <w:rPr>
      <w:sz w:val="24"/>
      <w:szCs w:val="24"/>
    </w:rPr>
  </w:style>
  <w:style w:type="character" w:customStyle="1" w:styleId="ab">
    <w:name w:val="文档结构图 字符"/>
    <w:basedOn w:val="a0"/>
    <w:link w:val="aa"/>
    <w:uiPriority w:val="99"/>
    <w:qFormat/>
    <w:rsid w:val="00657DBC"/>
    <w:rPr>
      <w:rFonts w:ascii="宋体" w:eastAsia="宋体" w:hAnsi="宋体" w:cs="宋体"/>
      <w:color w:val="000000" w:themeColor="text1"/>
      <w:sz w:val="24"/>
      <w:szCs w:val="24"/>
    </w:rPr>
  </w:style>
  <w:style w:type="paragraph" w:styleId="ac">
    <w:name w:val="annotation text"/>
    <w:basedOn w:val="a"/>
    <w:link w:val="ad"/>
    <w:uiPriority w:val="99"/>
    <w:unhideWhenUsed/>
    <w:qFormat/>
    <w:rsid w:val="00657DBC"/>
    <w:pPr>
      <w:jc w:val="left"/>
    </w:pPr>
  </w:style>
  <w:style w:type="character" w:customStyle="1" w:styleId="ad">
    <w:name w:val="批注文字 字符"/>
    <w:basedOn w:val="a0"/>
    <w:link w:val="ac"/>
    <w:uiPriority w:val="99"/>
    <w:qFormat/>
    <w:rsid w:val="00657DBC"/>
    <w:rPr>
      <w:rFonts w:ascii="宋体" w:eastAsia="宋体" w:hAnsi="宋体" w:cs="宋体"/>
      <w:color w:val="000000" w:themeColor="text1"/>
      <w:szCs w:val="21"/>
    </w:rPr>
  </w:style>
  <w:style w:type="paragraph" w:styleId="TOC5">
    <w:name w:val="toc 5"/>
    <w:basedOn w:val="a"/>
    <w:next w:val="a"/>
    <w:uiPriority w:val="39"/>
    <w:unhideWhenUsed/>
    <w:qFormat/>
    <w:rsid w:val="00657DBC"/>
    <w:pPr>
      <w:ind w:left="840"/>
    </w:pPr>
  </w:style>
  <w:style w:type="paragraph" w:styleId="TOC3">
    <w:name w:val="toc 3"/>
    <w:basedOn w:val="a"/>
    <w:next w:val="a"/>
    <w:uiPriority w:val="39"/>
    <w:unhideWhenUsed/>
    <w:qFormat/>
    <w:rsid w:val="00657DBC"/>
    <w:pPr>
      <w:ind w:left="420"/>
    </w:pPr>
  </w:style>
  <w:style w:type="paragraph" w:styleId="TOC8">
    <w:name w:val="toc 8"/>
    <w:basedOn w:val="a"/>
    <w:next w:val="a"/>
    <w:uiPriority w:val="39"/>
    <w:unhideWhenUsed/>
    <w:qFormat/>
    <w:rsid w:val="00657DBC"/>
    <w:pPr>
      <w:ind w:left="1470"/>
    </w:pPr>
  </w:style>
  <w:style w:type="paragraph" w:styleId="ae">
    <w:name w:val="Balloon Text"/>
    <w:basedOn w:val="a"/>
    <w:link w:val="af"/>
    <w:uiPriority w:val="99"/>
    <w:unhideWhenUsed/>
    <w:qFormat/>
    <w:rsid w:val="00657DBC"/>
    <w:rPr>
      <w:sz w:val="18"/>
      <w:szCs w:val="18"/>
    </w:rPr>
  </w:style>
  <w:style w:type="character" w:customStyle="1" w:styleId="af">
    <w:name w:val="批注框文本 字符"/>
    <w:basedOn w:val="a0"/>
    <w:link w:val="ae"/>
    <w:uiPriority w:val="99"/>
    <w:qFormat/>
    <w:rsid w:val="00657DBC"/>
    <w:rPr>
      <w:rFonts w:ascii="宋体" w:eastAsia="宋体" w:hAnsi="宋体" w:cs="宋体"/>
      <w:color w:val="000000" w:themeColor="text1"/>
      <w:sz w:val="18"/>
      <w:szCs w:val="18"/>
    </w:rPr>
  </w:style>
  <w:style w:type="paragraph" w:styleId="TOC1">
    <w:name w:val="toc 1"/>
    <w:basedOn w:val="a"/>
    <w:next w:val="a"/>
    <w:uiPriority w:val="39"/>
    <w:unhideWhenUsed/>
    <w:qFormat/>
    <w:rsid w:val="00657DBC"/>
  </w:style>
  <w:style w:type="paragraph" w:styleId="TOC4">
    <w:name w:val="toc 4"/>
    <w:basedOn w:val="a"/>
    <w:next w:val="a"/>
    <w:uiPriority w:val="39"/>
    <w:unhideWhenUsed/>
    <w:qFormat/>
    <w:rsid w:val="00657DBC"/>
    <w:pPr>
      <w:ind w:left="630"/>
    </w:pPr>
  </w:style>
  <w:style w:type="paragraph" w:styleId="af0">
    <w:name w:val="footnote text"/>
    <w:basedOn w:val="a"/>
    <w:link w:val="af1"/>
    <w:unhideWhenUsed/>
    <w:qFormat/>
    <w:rsid w:val="00657DBC"/>
    <w:pPr>
      <w:snapToGrid w:val="0"/>
      <w:jc w:val="left"/>
    </w:pPr>
    <w:rPr>
      <w:sz w:val="18"/>
    </w:rPr>
  </w:style>
  <w:style w:type="character" w:customStyle="1" w:styleId="af1">
    <w:name w:val="脚注文本 字符"/>
    <w:basedOn w:val="a0"/>
    <w:link w:val="af0"/>
    <w:qFormat/>
    <w:rsid w:val="00657DBC"/>
    <w:rPr>
      <w:rFonts w:ascii="宋体" w:eastAsia="宋体" w:hAnsi="宋体" w:cs="宋体"/>
      <w:color w:val="000000" w:themeColor="text1"/>
      <w:sz w:val="18"/>
      <w:szCs w:val="21"/>
    </w:rPr>
  </w:style>
  <w:style w:type="paragraph" w:styleId="TOC6">
    <w:name w:val="toc 6"/>
    <w:basedOn w:val="a"/>
    <w:next w:val="a"/>
    <w:uiPriority w:val="39"/>
    <w:unhideWhenUsed/>
    <w:qFormat/>
    <w:rsid w:val="00657DBC"/>
    <w:pPr>
      <w:ind w:left="1050"/>
    </w:pPr>
  </w:style>
  <w:style w:type="paragraph" w:styleId="TOC2">
    <w:name w:val="toc 2"/>
    <w:basedOn w:val="a"/>
    <w:next w:val="a"/>
    <w:uiPriority w:val="39"/>
    <w:unhideWhenUsed/>
    <w:qFormat/>
    <w:rsid w:val="00657DBC"/>
    <w:pPr>
      <w:ind w:left="210"/>
    </w:pPr>
  </w:style>
  <w:style w:type="paragraph" w:styleId="TOC9">
    <w:name w:val="toc 9"/>
    <w:basedOn w:val="a"/>
    <w:next w:val="a"/>
    <w:uiPriority w:val="39"/>
    <w:unhideWhenUsed/>
    <w:qFormat/>
    <w:rsid w:val="00657DBC"/>
    <w:pPr>
      <w:ind w:left="1680"/>
    </w:pPr>
  </w:style>
  <w:style w:type="paragraph" w:styleId="af2">
    <w:name w:val="Normal (Web)"/>
    <w:basedOn w:val="a"/>
    <w:uiPriority w:val="99"/>
    <w:unhideWhenUsed/>
    <w:qFormat/>
    <w:rsid w:val="00657DBC"/>
    <w:pPr>
      <w:widowControl/>
      <w:spacing w:before="100" w:beforeAutospacing="1" w:after="100" w:afterAutospacing="1"/>
      <w:jc w:val="left"/>
    </w:pPr>
    <w:rPr>
      <w:color w:val="auto"/>
      <w:kern w:val="0"/>
      <w:sz w:val="24"/>
      <w:szCs w:val="24"/>
    </w:rPr>
  </w:style>
  <w:style w:type="paragraph" w:styleId="af3">
    <w:name w:val="Title"/>
    <w:basedOn w:val="a"/>
    <w:next w:val="a"/>
    <w:link w:val="af4"/>
    <w:uiPriority w:val="10"/>
    <w:qFormat/>
    <w:rsid w:val="00657DBC"/>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qFormat/>
    <w:rsid w:val="00657DBC"/>
    <w:rPr>
      <w:rFonts w:asciiTheme="majorHAnsi" w:eastAsiaTheme="majorEastAsia" w:hAnsiTheme="majorHAnsi" w:cstheme="majorBidi"/>
      <w:b/>
      <w:bCs/>
      <w:color w:val="000000" w:themeColor="text1"/>
      <w:sz w:val="32"/>
      <w:szCs w:val="32"/>
    </w:rPr>
  </w:style>
  <w:style w:type="paragraph" w:styleId="af5">
    <w:name w:val="annotation subject"/>
    <w:basedOn w:val="ac"/>
    <w:next w:val="ac"/>
    <w:link w:val="af6"/>
    <w:uiPriority w:val="99"/>
    <w:unhideWhenUsed/>
    <w:qFormat/>
    <w:rsid w:val="00657DBC"/>
    <w:rPr>
      <w:b/>
      <w:bCs/>
    </w:rPr>
  </w:style>
  <w:style w:type="character" w:customStyle="1" w:styleId="af6">
    <w:name w:val="批注主题 字符"/>
    <w:basedOn w:val="ad"/>
    <w:link w:val="af5"/>
    <w:uiPriority w:val="99"/>
    <w:qFormat/>
    <w:rsid w:val="00657DBC"/>
    <w:rPr>
      <w:rFonts w:ascii="宋体" w:eastAsia="宋体" w:hAnsi="宋体" w:cs="宋体"/>
      <w:b/>
      <w:bCs/>
      <w:color w:val="000000" w:themeColor="text1"/>
      <w:szCs w:val="21"/>
    </w:rPr>
  </w:style>
  <w:style w:type="character" w:styleId="af7">
    <w:name w:val="Strong"/>
    <w:uiPriority w:val="22"/>
    <w:qFormat/>
    <w:rsid w:val="00657DBC"/>
    <w:rPr>
      <w:b/>
    </w:rPr>
  </w:style>
  <w:style w:type="character" w:styleId="af8">
    <w:name w:val="page number"/>
    <w:basedOn w:val="a0"/>
    <w:uiPriority w:val="99"/>
    <w:unhideWhenUsed/>
    <w:qFormat/>
    <w:rsid w:val="00657DBC"/>
  </w:style>
  <w:style w:type="character" w:styleId="af9">
    <w:name w:val="FollowedHyperlink"/>
    <w:basedOn w:val="a0"/>
    <w:uiPriority w:val="99"/>
    <w:semiHidden/>
    <w:unhideWhenUsed/>
    <w:qFormat/>
    <w:rsid w:val="00657DBC"/>
    <w:rPr>
      <w:color w:val="954F72"/>
      <w:u w:val="single"/>
    </w:rPr>
  </w:style>
  <w:style w:type="character" w:styleId="afa">
    <w:name w:val="Hyperlink"/>
    <w:basedOn w:val="a0"/>
    <w:uiPriority w:val="99"/>
    <w:unhideWhenUsed/>
    <w:qFormat/>
    <w:rsid w:val="00657DBC"/>
    <w:rPr>
      <w:color w:val="0563C1" w:themeColor="hyperlink"/>
      <w:u w:val="single"/>
    </w:rPr>
  </w:style>
  <w:style w:type="character" w:styleId="afb">
    <w:name w:val="annotation reference"/>
    <w:basedOn w:val="a0"/>
    <w:uiPriority w:val="99"/>
    <w:unhideWhenUsed/>
    <w:qFormat/>
    <w:rsid w:val="00657DBC"/>
    <w:rPr>
      <w:sz w:val="21"/>
      <w:szCs w:val="21"/>
    </w:rPr>
  </w:style>
  <w:style w:type="character" w:styleId="afc">
    <w:name w:val="footnote reference"/>
    <w:basedOn w:val="a0"/>
    <w:unhideWhenUsed/>
    <w:qFormat/>
    <w:rsid w:val="00657DBC"/>
    <w:rPr>
      <w:vertAlign w:val="superscript"/>
    </w:rPr>
  </w:style>
  <w:style w:type="paragraph" w:styleId="afd">
    <w:name w:val="List Paragraph"/>
    <w:basedOn w:val="a"/>
    <w:uiPriority w:val="34"/>
    <w:qFormat/>
    <w:rsid w:val="00657DBC"/>
    <w:pPr>
      <w:ind w:firstLineChars="200" w:firstLine="420"/>
    </w:pPr>
  </w:style>
  <w:style w:type="table" w:customStyle="1" w:styleId="11">
    <w:name w:val="网格型1"/>
    <w:basedOn w:val="a1"/>
    <w:uiPriority w:val="59"/>
    <w:qFormat/>
    <w:rsid w:val="00657DB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qFormat/>
    <w:rsid w:val="00657DBC"/>
    <w:pPr>
      <w:ind w:firstLineChars="200" w:firstLine="420"/>
    </w:pPr>
    <w:rPr>
      <w:rFonts w:cs="Times New Roman" w:hint="eastAsia"/>
      <w:sz w:val="24"/>
      <w:szCs w:val="24"/>
    </w:rPr>
  </w:style>
  <w:style w:type="character" w:customStyle="1" w:styleId="12">
    <w:name w:val="页脚 字符1"/>
    <w:basedOn w:val="a0"/>
    <w:uiPriority w:val="99"/>
    <w:semiHidden/>
    <w:qFormat/>
    <w:rsid w:val="00657DBC"/>
    <w:rPr>
      <w:rFonts w:ascii="Calibri" w:eastAsia="宋体" w:hAnsi="Calibri" w:cs="Times New Roman"/>
      <w:sz w:val="18"/>
      <w:szCs w:val="18"/>
    </w:rPr>
  </w:style>
  <w:style w:type="character" w:customStyle="1" w:styleId="13">
    <w:name w:val="批注框文本 字符1"/>
    <w:basedOn w:val="a0"/>
    <w:uiPriority w:val="99"/>
    <w:semiHidden/>
    <w:qFormat/>
    <w:rsid w:val="00657DBC"/>
    <w:rPr>
      <w:rFonts w:ascii="宋体" w:eastAsia="宋体" w:hAnsi="Calibri" w:cs="Times New Roman"/>
      <w:sz w:val="18"/>
      <w:szCs w:val="18"/>
    </w:rPr>
  </w:style>
  <w:style w:type="character" w:customStyle="1" w:styleId="14">
    <w:name w:val="文档结构图 字符1"/>
    <w:basedOn w:val="a0"/>
    <w:uiPriority w:val="99"/>
    <w:semiHidden/>
    <w:qFormat/>
    <w:rsid w:val="00657DBC"/>
    <w:rPr>
      <w:rFonts w:ascii="ACADEMY ENGRAVED LET PLAIN:1.0" w:eastAsia="宋体" w:hAnsi="ACADEMY ENGRAVED LET PLAIN:1.0" w:cs="Times New Roman"/>
      <w:sz w:val="26"/>
      <w:szCs w:val="26"/>
    </w:rPr>
  </w:style>
  <w:style w:type="character" w:customStyle="1" w:styleId="15">
    <w:name w:val="纯文本 字符1"/>
    <w:basedOn w:val="a0"/>
    <w:uiPriority w:val="99"/>
    <w:semiHidden/>
    <w:qFormat/>
    <w:rsid w:val="00657DBC"/>
    <w:rPr>
      <w:rFonts w:asciiTheme="minorEastAsia" w:hAnsi="Courier New" w:cs="Courier New"/>
      <w:sz w:val="21"/>
    </w:rPr>
  </w:style>
  <w:style w:type="character" w:customStyle="1" w:styleId="16">
    <w:name w:val="脚注文本 字符1"/>
    <w:basedOn w:val="a0"/>
    <w:uiPriority w:val="99"/>
    <w:semiHidden/>
    <w:qFormat/>
    <w:rsid w:val="00657DBC"/>
    <w:rPr>
      <w:rFonts w:ascii="Calibri" w:eastAsia="宋体" w:hAnsi="Calibri" w:cs="Times New Roman"/>
      <w:sz w:val="18"/>
      <w:szCs w:val="18"/>
    </w:rPr>
  </w:style>
  <w:style w:type="character" w:customStyle="1" w:styleId="17">
    <w:name w:val="页眉 字符1"/>
    <w:basedOn w:val="a0"/>
    <w:uiPriority w:val="99"/>
    <w:semiHidden/>
    <w:qFormat/>
    <w:rsid w:val="00657DBC"/>
    <w:rPr>
      <w:rFonts w:ascii="Calibri" w:eastAsia="宋体" w:hAnsi="Calibri" w:cs="Times New Roman"/>
      <w:sz w:val="18"/>
      <w:szCs w:val="18"/>
    </w:rPr>
  </w:style>
  <w:style w:type="paragraph" w:customStyle="1" w:styleId="18">
    <w:name w:val="列出段落1"/>
    <w:basedOn w:val="a"/>
    <w:uiPriority w:val="34"/>
    <w:qFormat/>
    <w:rsid w:val="00657DBC"/>
    <w:pPr>
      <w:ind w:firstLineChars="200" w:firstLine="420"/>
    </w:pPr>
    <w:rPr>
      <w:rFonts w:ascii="Calibri" w:hAnsi="Calibri" w:cs="Times New Roman"/>
      <w:color w:val="auto"/>
      <w:szCs w:val="24"/>
    </w:rPr>
  </w:style>
  <w:style w:type="paragraph" w:customStyle="1" w:styleId="19">
    <w:name w:val="无间隔1"/>
    <w:uiPriority w:val="1"/>
    <w:qFormat/>
    <w:rsid w:val="00657DBC"/>
    <w:pPr>
      <w:widowControl w:val="0"/>
      <w:jc w:val="both"/>
    </w:pPr>
    <w:rPr>
      <w:rFonts w:ascii="Calibri" w:eastAsia="宋体" w:hAnsi="Calibri" w:cs="Times New Roman"/>
      <w:szCs w:val="24"/>
    </w:rPr>
  </w:style>
  <w:style w:type="paragraph" w:customStyle="1" w:styleId="110">
    <w:name w:val="列出段落11"/>
    <w:basedOn w:val="a"/>
    <w:uiPriority w:val="34"/>
    <w:qFormat/>
    <w:rsid w:val="00657DBC"/>
    <w:pPr>
      <w:ind w:firstLineChars="200" w:firstLine="420"/>
    </w:pPr>
    <w:rPr>
      <w:rFonts w:ascii="Calibri" w:hAnsi="Calibri" w:cs="Times New Roman"/>
      <w:color w:val="auto"/>
      <w:szCs w:val="24"/>
    </w:rPr>
  </w:style>
  <w:style w:type="table" w:customStyle="1" w:styleId="TableNormal">
    <w:name w:val="Table Normal"/>
    <w:qFormat/>
    <w:rsid w:val="00657DBC"/>
    <w:rPr>
      <w:rFonts w:ascii="Times New Roman" w:eastAsia="等线" w:hAnsi="Times New Roman" w:cs="Times New Roman"/>
      <w:kern w:val="0"/>
      <w:sz w:val="20"/>
      <w:szCs w:val="20"/>
    </w:rPr>
    <w:tblPr>
      <w:tblCellMar>
        <w:top w:w="0" w:type="dxa"/>
        <w:left w:w="0" w:type="dxa"/>
        <w:bottom w:w="0" w:type="dxa"/>
        <w:right w:w="0" w:type="dxa"/>
      </w:tblCellMar>
    </w:tblPr>
  </w:style>
  <w:style w:type="character" w:customStyle="1" w:styleId="afe">
    <w:name w:val="无"/>
    <w:qFormat/>
    <w:rsid w:val="00657DBC"/>
  </w:style>
  <w:style w:type="table" w:customStyle="1" w:styleId="TableNormal1">
    <w:name w:val="Table Normal1"/>
    <w:qFormat/>
    <w:rsid w:val="00657DBC"/>
    <w:rPr>
      <w:rFonts w:ascii="Times New Roman" w:hAnsi="Times New Roman" w:cs="Times New Roman"/>
      <w:kern w:val="0"/>
      <w:sz w:val="20"/>
      <w:szCs w:val="20"/>
    </w:rPr>
    <w:tblPr>
      <w:tblCellMar>
        <w:top w:w="0" w:type="dxa"/>
        <w:left w:w="0" w:type="dxa"/>
        <w:bottom w:w="0" w:type="dxa"/>
        <w:right w:w="0" w:type="dxa"/>
      </w:tblCellMar>
    </w:tblPr>
  </w:style>
  <w:style w:type="character" w:customStyle="1" w:styleId="Hyperlink1">
    <w:name w:val="Hyperlink.1"/>
    <w:basedOn w:val="afe"/>
    <w:qFormat/>
    <w:rsid w:val="00657DBC"/>
    <w:rPr>
      <w:rFonts w:ascii="宋体" w:eastAsia="宋体" w:hAnsi="宋体" w:cs="宋体"/>
      <w:color w:val="000000"/>
      <w:u w:color="000000"/>
      <w:lang w:val="zh-TW" w:eastAsia="zh-TW"/>
    </w:rPr>
  </w:style>
  <w:style w:type="character" w:customStyle="1" w:styleId="Char">
    <w:name w:val="纯文本 Char"/>
    <w:uiPriority w:val="99"/>
    <w:qFormat/>
    <w:rsid w:val="00657DBC"/>
    <w:rPr>
      <w:rFonts w:ascii="宋体" w:eastAsia="宋体" w:hAnsi="Courier New" w:cs="Courier New"/>
      <w:szCs w:val="21"/>
    </w:rPr>
  </w:style>
  <w:style w:type="character" w:customStyle="1" w:styleId="Char1">
    <w:name w:val="纯文本 Char1"/>
    <w:qFormat/>
    <w:rsid w:val="00657DBC"/>
    <w:rPr>
      <w:rFonts w:ascii="宋体" w:eastAsia="宋体" w:hAnsi="Courier New" w:cs="Courier New"/>
      <w:szCs w:val="21"/>
    </w:rPr>
  </w:style>
  <w:style w:type="paragraph" w:customStyle="1" w:styleId="Other1">
    <w:name w:val="Other|1"/>
    <w:basedOn w:val="a"/>
    <w:qFormat/>
    <w:rsid w:val="00657DBC"/>
    <w:pPr>
      <w:spacing w:line="293" w:lineRule="exact"/>
    </w:pPr>
    <w:rPr>
      <w:color w:val="2C1B1C"/>
      <w:sz w:val="19"/>
      <w:szCs w:val="19"/>
      <w:lang w:val="zh-TW" w:eastAsia="zh-TW" w:bidi="zh-TW"/>
    </w:rPr>
  </w:style>
  <w:style w:type="paragraph" w:customStyle="1" w:styleId="-11">
    <w:name w:val="彩色列表 - 着色 11"/>
    <w:basedOn w:val="a"/>
    <w:uiPriority w:val="34"/>
    <w:unhideWhenUsed/>
    <w:qFormat/>
    <w:rsid w:val="00657DBC"/>
    <w:pPr>
      <w:ind w:firstLineChars="200" w:firstLine="420"/>
    </w:pPr>
    <w:rPr>
      <w:rFonts w:ascii="Calibri" w:hAnsi="Calibri" w:cs="Times New Roman"/>
      <w:color w:val="auto"/>
      <w:szCs w:val="24"/>
    </w:rPr>
  </w:style>
  <w:style w:type="paragraph" w:styleId="aff">
    <w:name w:val="Body Text"/>
    <w:basedOn w:val="a"/>
    <w:link w:val="aff0"/>
    <w:uiPriority w:val="1"/>
    <w:qFormat/>
    <w:rsid w:val="00657DBC"/>
    <w:pPr>
      <w:autoSpaceDE w:val="0"/>
      <w:autoSpaceDN w:val="0"/>
      <w:jc w:val="left"/>
    </w:pPr>
    <w:rPr>
      <w:color w:val="auto"/>
      <w:kern w:val="0"/>
      <w:lang w:val="zh-CN" w:bidi="zh-CN"/>
    </w:rPr>
  </w:style>
  <w:style w:type="character" w:customStyle="1" w:styleId="aff0">
    <w:name w:val="正文文本 字符"/>
    <w:basedOn w:val="a0"/>
    <w:link w:val="aff"/>
    <w:uiPriority w:val="1"/>
    <w:qFormat/>
    <w:rsid w:val="00657DBC"/>
    <w:rPr>
      <w:rFonts w:ascii="宋体" w:eastAsia="宋体" w:hAnsi="宋体" w:cs="宋体"/>
      <w:kern w:val="0"/>
      <w:szCs w:val="21"/>
      <w:lang w:val="zh-CN" w:bidi="zh-CN"/>
    </w:rPr>
  </w:style>
  <w:style w:type="paragraph" w:styleId="aff1">
    <w:name w:val="endnote text"/>
    <w:basedOn w:val="a"/>
    <w:link w:val="aff2"/>
    <w:uiPriority w:val="99"/>
    <w:unhideWhenUsed/>
    <w:qFormat/>
    <w:rsid w:val="00657DBC"/>
    <w:pPr>
      <w:snapToGrid w:val="0"/>
      <w:jc w:val="left"/>
    </w:pPr>
    <w:rPr>
      <w:rFonts w:asciiTheme="minorHAnsi" w:eastAsiaTheme="minorEastAsia" w:hAnsiTheme="minorHAnsi" w:cstheme="minorBidi"/>
      <w:color w:val="auto"/>
      <w:szCs w:val="22"/>
    </w:rPr>
  </w:style>
  <w:style w:type="character" w:customStyle="1" w:styleId="aff2">
    <w:name w:val="尾注文本 字符"/>
    <w:basedOn w:val="a0"/>
    <w:link w:val="aff1"/>
    <w:uiPriority w:val="99"/>
    <w:qFormat/>
    <w:rsid w:val="00657DBC"/>
  </w:style>
  <w:style w:type="paragraph" w:styleId="HTML">
    <w:name w:val="HTML Preformatted"/>
    <w:basedOn w:val="a"/>
    <w:link w:val="HTML0"/>
    <w:uiPriority w:val="99"/>
    <w:unhideWhenUsed/>
    <w:qFormat/>
    <w:rsid w:val="00657D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color w:val="auto"/>
      <w:kern w:val="0"/>
      <w:sz w:val="24"/>
      <w:szCs w:val="24"/>
    </w:rPr>
  </w:style>
  <w:style w:type="character" w:customStyle="1" w:styleId="HTML0">
    <w:name w:val="HTML 预设格式 字符"/>
    <w:basedOn w:val="a0"/>
    <w:link w:val="HTML"/>
    <w:uiPriority w:val="99"/>
    <w:qFormat/>
    <w:rsid w:val="00657DBC"/>
    <w:rPr>
      <w:rFonts w:ascii="宋体" w:eastAsia="宋体" w:hAnsi="宋体" w:cs="宋体"/>
      <w:kern w:val="0"/>
      <w:sz w:val="24"/>
      <w:szCs w:val="24"/>
    </w:rPr>
  </w:style>
  <w:style w:type="character" w:styleId="aff3">
    <w:name w:val="endnote reference"/>
    <w:basedOn w:val="a0"/>
    <w:uiPriority w:val="99"/>
    <w:unhideWhenUsed/>
    <w:qFormat/>
    <w:rsid w:val="00657DBC"/>
    <w:rPr>
      <w:vertAlign w:val="superscript"/>
    </w:rPr>
  </w:style>
  <w:style w:type="character" w:customStyle="1" w:styleId="1Char">
    <w:name w:val="标题 1 Char"/>
    <w:basedOn w:val="a0"/>
    <w:uiPriority w:val="9"/>
    <w:qFormat/>
    <w:rsid w:val="00657DBC"/>
    <w:rPr>
      <w:b/>
      <w:bCs/>
      <w:kern w:val="44"/>
      <w:sz w:val="44"/>
      <w:szCs w:val="44"/>
    </w:rPr>
  </w:style>
  <w:style w:type="character" w:customStyle="1" w:styleId="2Char">
    <w:name w:val="标题 2 Char"/>
    <w:basedOn w:val="a0"/>
    <w:uiPriority w:val="9"/>
    <w:semiHidden/>
    <w:qFormat/>
    <w:rsid w:val="00657DBC"/>
    <w:rPr>
      <w:rFonts w:asciiTheme="majorHAnsi" w:eastAsiaTheme="majorEastAsia" w:hAnsiTheme="majorHAnsi" w:cstheme="majorBidi"/>
      <w:b/>
      <w:bCs/>
      <w:sz w:val="32"/>
      <w:szCs w:val="32"/>
    </w:rPr>
  </w:style>
  <w:style w:type="character" w:customStyle="1" w:styleId="3Char">
    <w:name w:val="标题 3 Char"/>
    <w:basedOn w:val="a0"/>
    <w:uiPriority w:val="9"/>
    <w:semiHidden/>
    <w:qFormat/>
    <w:rsid w:val="00657DBC"/>
    <w:rPr>
      <w:b/>
      <w:bCs/>
      <w:sz w:val="32"/>
      <w:szCs w:val="32"/>
    </w:rPr>
  </w:style>
  <w:style w:type="character" w:customStyle="1" w:styleId="description">
    <w:name w:val="description"/>
    <w:basedOn w:val="a0"/>
    <w:qFormat/>
    <w:rsid w:val="00657DBC"/>
  </w:style>
  <w:style w:type="character" w:customStyle="1" w:styleId="Char0">
    <w:name w:val="页眉 Char"/>
    <w:basedOn w:val="a0"/>
    <w:link w:val="1a"/>
    <w:uiPriority w:val="99"/>
    <w:qFormat/>
    <w:rsid w:val="00657DBC"/>
    <w:rPr>
      <w:sz w:val="18"/>
      <w:szCs w:val="18"/>
    </w:rPr>
  </w:style>
  <w:style w:type="paragraph" w:customStyle="1" w:styleId="1a">
    <w:name w:val="页眉1"/>
    <w:basedOn w:val="a"/>
    <w:next w:val="a3"/>
    <w:link w:val="Char0"/>
    <w:uiPriority w:val="99"/>
    <w:unhideWhenUsed/>
    <w:qFormat/>
    <w:rsid w:val="00657DBC"/>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Char2">
    <w:name w:val="页脚 Char"/>
    <w:basedOn w:val="a0"/>
    <w:link w:val="1b"/>
    <w:uiPriority w:val="99"/>
    <w:qFormat/>
    <w:rsid w:val="00657DBC"/>
    <w:rPr>
      <w:sz w:val="18"/>
      <w:szCs w:val="18"/>
    </w:rPr>
  </w:style>
  <w:style w:type="paragraph" w:customStyle="1" w:styleId="1b">
    <w:name w:val="页脚1"/>
    <w:basedOn w:val="a"/>
    <w:next w:val="a5"/>
    <w:link w:val="Char2"/>
    <w:uiPriority w:val="99"/>
    <w:unhideWhenUsed/>
    <w:qFormat/>
    <w:rsid w:val="00657DBC"/>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Char3">
    <w:name w:val="文档结构图 Char"/>
    <w:basedOn w:val="a0"/>
    <w:uiPriority w:val="99"/>
    <w:semiHidden/>
    <w:qFormat/>
    <w:rsid w:val="00657DBC"/>
    <w:rPr>
      <w:rFonts w:ascii="宋体" w:eastAsia="宋体"/>
      <w:sz w:val="18"/>
      <w:szCs w:val="18"/>
    </w:rPr>
  </w:style>
  <w:style w:type="character" w:customStyle="1" w:styleId="Char4">
    <w:name w:val="脚注文本 Char"/>
    <w:basedOn w:val="a0"/>
    <w:uiPriority w:val="99"/>
    <w:semiHidden/>
    <w:qFormat/>
    <w:rsid w:val="00657DBC"/>
    <w:rPr>
      <w:sz w:val="18"/>
      <w:szCs w:val="18"/>
    </w:rPr>
  </w:style>
  <w:style w:type="character" w:customStyle="1" w:styleId="apple-converted-space">
    <w:name w:val="apple-converted-space"/>
    <w:basedOn w:val="a0"/>
    <w:qFormat/>
    <w:rsid w:val="00657DBC"/>
  </w:style>
  <w:style w:type="paragraph" w:customStyle="1" w:styleId="21">
    <w:name w:val="列出段落2"/>
    <w:basedOn w:val="a"/>
    <w:uiPriority w:val="99"/>
    <w:qFormat/>
    <w:rsid w:val="00657DBC"/>
    <w:pPr>
      <w:ind w:firstLineChars="200" w:firstLine="420"/>
    </w:pPr>
    <w:rPr>
      <w:rFonts w:ascii="Calibri" w:hAnsi="Calibri"/>
      <w:color w:val="auto"/>
      <w:szCs w:val="22"/>
    </w:rPr>
  </w:style>
  <w:style w:type="paragraph" w:customStyle="1" w:styleId="TableParagraph">
    <w:name w:val="Table Paragraph"/>
    <w:basedOn w:val="a"/>
    <w:uiPriority w:val="1"/>
    <w:qFormat/>
    <w:rsid w:val="00657DBC"/>
    <w:pPr>
      <w:autoSpaceDE w:val="0"/>
      <w:autoSpaceDN w:val="0"/>
      <w:ind w:left="113"/>
      <w:jc w:val="left"/>
    </w:pPr>
    <w:rPr>
      <w:color w:val="auto"/>
      <w:kern w:val="0"/>
      <w:sz w:val="22"/>
      <w:szCs w:val="22"/>
      <w:lang w:val="zh-CN" w:bidi="zh-CN"/>
    </w:rPr>
  </w:style>
  <w:style w:type="character" w:customStyle="1" w:styleId="Bodytext1">
    <w:name w:val="Body text|1_"/>
    <w:link w:val="Bodytext10"/>
    <w:qFormat/>
    <w:rsid w:val="00657DBC"/>
    <w:rPr>
      <w:rFonts w:ascii="宋体" w:hAnsi="宋体" w:cs="宋体"/>
      <w:color w:val="2E2E2D"/>
      <w:sz w:val="18"/>
      <w:szCs w:val="18"/>
      <w:lang w:val="zh-TW" w:eastAsia="zh-TW" w:bidi="zh-TW"/>
    </w:rPr>
  </w:style>
  <w:style w:type="paragraph" w:customStyle="1" w:styleId="Bodytext10">
    <w:name w:val="Body text|1"/>
    <w:basedOn w:val="a"/>
    <w:link w:val="Bodytext1"/>
    <w:qFormat/>
    <w:rsid w:val="00657DBC"/>
    <w:pPr>
      <w:spacing w:line="360" w:lineRule="auto"/>
      <w:ind w:firstLine="400"/>
      <w:jc w:val="left"/>
    </w:pPr>
    <w:rPr>
      <w:rFonts w:eastAsiaTheme="minorEastAsia"/>
      <w:color w:val="2E2E2D"/>
      <w:sz w:val="18"/>
      <w:szCs w:val="18"/>
      <w:lang w:val="zh-TW" w:eastAsia="zh-TW" w:bidi="zh-TW"/>
    </w:rPr>
  </w:style>
  <w:style w:type="character" w:customStyle="1" w:styleId="1c">
    <w:name w:val="正文文本 字符1"/>
    <w:basedOn w:val="a0"/>
    <w:uiPriority w:val="99"/>
    <w:semiHidden/>
    <w:qFormat/>
    <w:rsid w:val="00657DBC"/>
    <w:rPr>
      <w:kern w:val="2"/>
      <w:sz w:val="21"/>
      <w:szCs w:val="22"/>
    </w:rPr>
  </w:style>
  <w:style w:type="paragraph" w:customStyle="1" w:styleId="1d">
    <w:name w:val="彩色列表1"/>
    <w:basedOn w:val="a"/>
    <w:uiPriority w:val="34"/>
    <w:qFormat/>
    <w:rsid w:val="00657DBC"/>
    <w:pPr>
      <w:ind w:firstLineChars="200" w:firstLine="420"/>
    </w:pPr>
    <w:rPr>
      <w:rFonts w:asciiTheme="minorHAnsi" w:eastAsiaTheme="minorEastAsia" w:hAnsiTheme="minorHAnsi" w:cstheme="minorBidi"/>
      <w:color w:val="auto"/>
      <w:szCs w:val="22"/>
    </w:rPr>
  </w:style>
  <w:style w:type="character" w:styleId="aff4">
    <w:name w:val="Emphasis"/>
    <w:basedOn w:val="a0"/>
    <w:uiPriority w:val="20"/>
    <w:qFormat/>
    <w:rsid w:val="0072718E"/>
    <w:rPr>
      <w:i/>
      <w:iCs/>
    </w:rPr>
  </w:style>
  <w:style w:type="table" w:customStyle="1" w:styleId="111">
    <w:name w:val="网格型11"/>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目录标题1"/>
    <w:basedOn w:val="1"/>
    <w:next w:val="a"/>
    <w:uiPriority w:val="39"/>
    <w:unhideWhenUsed/>
    <w:qFormat/>
    <w:rsid w:val="0072718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table" w:customStyle="1" w:styleId="120">
    <w:name w:val="网格型12"/>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D48E-A91D-49D2-9B11-38B8ADF2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4</Pages>
  <Words>2262</Words>
  <Characters>2262</Characters>
  <Application>Microsoft Office Word</Application>
  <DocSecurity>0</DocSecurity>
  <Lines>78</Lines>
  <Paragraphs>71</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385</cp:revision>
  <dcterms:created xsi:type="dcterms:W3CDTF">2023-06-01T10:50:00Z</dcterms:created>
  <dcterms:modified xsi:type="dcterms:W3CDTF">2026-07-24T14:33:00Z</dcterms:modified>
</cp:coreProperties>
</file>