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0B0FE">
      <w:pPr>
        <w:pStyle w:val="2"/>
        <w:spacing w:before="0" w:after="0" w:line="300" w:lineRule="exact"/>
        <w:ind w:firstLine="480" w:firstLineChars="200"/>
        <w:jc w:val="center"/>
        <w:rPr>
          <w:rFonts w:hint="eastAsia" w:ascii="宋体" w:hAnsi="宋体" w:cs="汉仪大宋简"/>
          <w:sz w:val="24"/>
          <w:szCs w:val="24"/>
        </w:rPr>
      </w:pPr>
      <w:bookmarkStart w:id="0" w:name="_Toc4844099"/>
      <w:bookmarkStart w:id="1" w:name="_Toc7164"/>
      <w:bookmarkStart w:id="2" w:name="_Toc137116754"/>
      <w:r>
        <w:rPr>
          <w:rFonts w:hint="eastAsia" w:ascii="宋体" w:hAnsi="宋体" w:cs="汉仪大宋简"/>
          <w:sz w:val="24"/>
          <w:szCs w:val="24"/>
        </w:rPr>
        <w:t>专题一</w:t>
      </w:r>
      <w:r>
        <w:rPr>
          <w:rFonts w:ascii="宋体" w:hAnsi="宋体" w:cs="汉仪大宋简"/>
          <w:sz w:val="24"/>
          <w:szCs w:val="24"/>
        </w:rPr>
        <w:t xml:space="preserve">  </w:t>
      </w:r>
      <w:r>
        <w:rPr>
          <w:rFonts w:hint="eastAsia" w:ascii="宋体" w:hAnsi="宋体" w:cs="汉仪大宋简"/>
          <w:sz w:val="24"/>
          <w:szCs w:val="24"/>
        </w:rPr>
        <w:t>管辖</w:t>
      </w:r>
      <w:bookmarkEnd w:id="0"/>
      <w:bookmarkEnd w:id="1"/>
      <w:bookmarkEnd w:id="2"/>
      <w:r>
        <w:rPr>
          <w:rFonts w:hint="eastAsia" w:ascii="宋体" w:hAnsi="宋体" w:cs="汉仪大宋简"/>
          <w:sz w:val="24"/>
          <w:szCs w:val="24"/>
        </w:rPr>
        <w:t>（19</w:t>
      </w:r>
      <w:r>
        <w:rPr>
          <w:rFonts w:ascii="宋体" w:hAnsi="宋体" w:cs="汉仪大宋简"/>
          <w:sz w:val="24"/>
          <w:szCs w:val="24"/>
        </w:rPr>
        <w:t>:</w:t>
      </w:r>
      <w:r>
        <w:rPr>
          <w:rFonts w:hint="eastAsia" w:ascii="宋体" w:hAnsi="宋体" w:cs="汉仪大宋简"/>
          <w:sz w:val="24"/>
          <w:szCs w:val="24"/>
          <w:lang w:val="en-US" w:eastAsia="zh-CN"/>
        </w:rPr>
        <w:t>3</w:t>
      </w:r>
      <w:r>
        <w:rPr>
          <w:rFonts w:hint="eastAsia" w:ascii="宋体" w:hAnsi="宋体" w:cs="汉仪大宋简"/>
          <w:sz w:val="24"/>
          <w:szCs w:val="24"/>
        </w:rPr>
        <w:t>0</w:t>
      </w:r>
      <w:r>
        <w:rPr>
          <w:rFonts w:ascii="宋体" w:hAnsi="宋体" w:cs="汉仪大宋简"/>
          <w:sz w:val="24"/>
          <w:szCs w:val="24"/>
        </w:rPr>
        <w:t>:00-</w:t>
      </w:r>
      <w:r>
        <w:rPr>
          <w:rFonts w:hint="eastAsia" w:ascii="宋体" w:hAnsi="宋体" w:cs="汉仪大宋简"/>
          <w:sz w:val="24"/>
          <w:szCs w:val="24"/>
        </w:rPr>
        <w:t>2</w:t>
      </w:r>
      <w:r>
        <w:rPr>
          <w:rFonts w:hint="eastAsia" w:ascii="宋体" w:hAnsi="宋体" w:cs="汉仪大宋简"/>
          <w:sz w:val="24"/>
          <w:szCs w:val="24"/>
          <w:lang w:val="en-US" w:eastAsia="zh-CN"/>
        </w:rPr>
        <w:t>0</w:t>
      </w:r>
      <w:r>
        <w:rPr>
          <w:rFonts w:ascii="宋体" w:hAnsi="宋体" w:cs="汉仪大宋简"/>
          <w:sz w:val="24"/>
          <w:szCs w:val="24"/>
        </w:rPr>
        <w:t>:</w:t>
      </w:r>
      <w:r>
        <w:rPr>
          <w:rFonts w:hint="eastAsia" w:ascii="宋体" w:hAnsi="宋体" w:cs="汉仪大宋简"/>
          <w:sz w:val="24"/>
          <w:szCs w:val="24"/>
          <w:lang w:val="en-US" w:eastAsia="zh-CN"/>
        </w:rPr>
        <w:t>41</w:t>
      </w:r>
      <w:r>
        <w:rPr>
          <w:rFonts w:ascii="宋体" w:hAnsi="宋体" w:cs="汉仪大宋简"/>
          <w:sz w:val="24"/>
          <w:szCs w:val="24"/>
        </w:rPr>
        <w:t>:00）</w:t>
      </w:r>
    </w:p>
    <w:p w14:paraId="6C4B30BF">
      <w:pPr>
        <w:spacing w:line="300" w:lineRule="exact"/>
        <w:ind w:firstLine="420" w:firstLineChars="200"/>
        <w:jc w:val="left"/>
        <w:rPr>
          <w:rFonts w:hint="eastAsia" w:ascii="宋体" w:hAnsi="宋体" w:eastAsia="宋体" w:cs="汉仪大宋简"/>
          <w:bCs/>
          <w:szCs w:val="21"/>
        </w:rPr>
      </w:pPr>
      <w:r>
        <w:rPr>
          <w:rFonts w:hint="eastAsia" w:ascii="宋体" w:hAnsi="宋体" w:eastAsia="宋体" w:cs="汉仪大宋简"/>
          <w:bCs/>
          <w:szCs w:val="21"/>
        </w:rPr>
        <w:t>一、立案管辖：管辖权的竞合</w:t>
      </w:r>
    </w:p>
    <w:p w14:paraId="1B99EEC6">
      <w:pPr>
        <w:spacing w:line="300" w:lineRule="exact"/>
        <w:ind w:firstLine="420" w:firstLineChars="200"/>
        <w:rPr>
          <w:rFonts w:hint="eastAsia" w:ascii="宋体" w:hAnsi="宋体" w:eastAsia="宋体" w:cs="Courier New"/>
          <w:bCs/>
          <w:color w:val="FF0000"/>
          <w:szCs w:val="21"/>
        </w:rPr>
      </w:pPr>
      <w:r>
        <w:rPr>
          <w:rFonts w:hint="eastAsia" w:ascii="宋体" w:hAnsi="宋体" w:eastAsia="宋体" w:cs="Courier New"/>
          <w:bCs/>
          <w:szCs w:val="21"/>
        </w:rPr>
        <w:t>1．公安机关与检察院之间的管辖权竞合：</w:t>
      </w:r>
      <w:r>
        <w:rPr>
          <w:rFonts w:hint="eastAsia" w:ascii="宋体" w:hAnsi="宋体" w:eastAsia="宋体" w:cs="Courier New"/>
          <w:bCs/>
          <w:color w:val="FF0000"/>
          <w:szCs w:val="21"/>
        </w:rPr>
        <w:t>分别管辖</w:t>
      </w:r>
    </w:p>
    <w:p w14:paraId="7B69DE3E">
      <w:pPr>
        <w:spacing w:line="300" w:lineRule="exact"/>
        <w:ind w:firstLine="420" w:firstLineChars="200"/>
        <w:rPr>
          <w:rFonts w:hint="eastAsia" w:ascii="宋体" w:hAnsi="宋体" w:eastAsia="宋体"/>
          <w:szCs w:val="21"/>
        </w:rPr>
      </w:pPr>
      <w:r>
        <w:rPr>
          <w:rFonts w:hint="eastAsia" w:ascii="宋体" w:hAnsi="宋体" w:eastAsia="宋体"/>
          <w:szCs w:val="21"/>
        </w:rPr>
        <w:t>公安机关在侦查案件时发现犯罪嫌疑人涉嫌检察院管辖的犯罪，应当将该部分案件移送给检察院；检察院在侦查案件时发现犯罪嫌疑人涉嫌公安机关管辖的犯罪，应当将该部分案件移送给公安机关。如果涉嫌主罪属于公安机关管辖，由公安机关为主侦查，检察院予以配合；如果涉嫌主罪属于检察院管辖，由检察院为主侦查，公安机关予以配合。</w:t>
      </w:r>
    </w:p>
    <w:p w14:paraId="277FF932">
      <w:pPr>
        <w:spacing w:line="300" w:lineRule="exact"/>
        <w:ind w:firstLine="420" w:firstLineChars="200"/>
        <w:rPr>
          <w:rFonts w:hint="eastAsia" w:ascii="宋体" w:hAnsi="宋体" w:eastAsia="宋体" w:cs="Courier New"/>
          <w:bCs/>
          <w:szCs w:val="21"/>
        </w:rPr>
      </w:pPr>
      <w:r>
        <w:rPr>
          <w:rFonts w:hint="eastAsia" w:ascii="宋体" w:hAnsi="宋体" w:eastAsia="宋体" w:cs="Courier New"/>
          <w:bCs/>
          <w:szCs w:val="21"/>
        </w:rPr>
        <w:t>2．公安机关、检察院与法院之间的管辖权竞合</w:t>
      </w:r>
    </w:p>
    <w:p w14:paraId="7387B2A0">
      <w:pPr>
        <w:spacing w:line="300" w:lineRule="exact"/>
        <w:ind w:firstLine="420" w:firstLineChars="200"/>
        <w:rPr>
          <w:rFonts w:hint="eastAsia" w:ascii="宋体" w:hAnsi="宋体" w:eastAsia="宋体"/>
          <w:szCs w:val="21"/>
        </w:rPr>
      </w:pPr>
      <w:r>
        <w:rPr>
          <w:rFonts w:hint="eastAsia" w:ascii="宋体" w:hAnsi="宋体" w:eastAsia="宋体"/>
          <w:szCs w:val="21"/>
        </w:rPr>
        <w:t>（1）公安、检察办理公诉案件时发现涉嫌自诉罪行：</w:t>
      </w:r>
    </w:p>
    <w:p w14:paraId="37DC9E8F">
      <w:pPr>
        <w:spacing w:line="300" w:lineRule="exact"/>
        <w:ind w:firstLine="420" w:firstLineChars="200"/>
        <w:rPr>
          <w:rFonts w:hint="eastAsia" w:ascii="宋体" w:hAnsi="宋体" w:eastAsia="宋体"/>
          <w:szCs w:val="21"/>
        </w:rPr>
      </w:pPr>
      <w:r>
        <w:rPr>
          <w:rFonts w:hint="eastAsia" w:ascii="宋体" w:hAnsi="宋体" w:eastAsia="宋体"/>
          <w:szCs w:val="21"/>
        </w:rPr>
        <w:t>如果是</w:t>
      </w:r>
      <w:r>
        <w:rPr>
          <w:rFonts w:hint="eastAsia" w:ascii="宋体" w:hAnsi="宋体" w:eastAsia="宋体"/>
          <w:color w:val="B00824"/>
          <w:szCs w:val="21"/>
        </w:rPr>
        <w:t>告诉才处理的犯罪</w:t>
      </w:r>
      <w:r>
        <w:rPr>
          <w:rFonts w:hint="eastAsia" w:ascii="宋体" w:hAnsi="宋体" w:eastAsia="宋体"/>
          <w:szCs w:val="21"/>
        </w:rPr>
        <w:t>——告知被害人向法院直接提起自诉；</w:t>
      </w:r>
    </w:p>
    <w:p w14:paraId="25BBA64C">
      <w:pPr>
        <w:spacing w:line="300" w:lineRule="exact"/>
        <w:ind w:firstLine="420" w:firstLineChars="200"/>
        <w:rPr>
          <w:rFonts w:hint="eastAsia" w:ascii="宋体" w:hAnsi="宋体" w:eastAsia="宋体"/>
          <w:szCs w:val="21"/>
        </w:rPr>
      </w:pPr>
      <w:r>
        <w:rPr>
          <w:rFonts w:hint="eastAsia" w:ascii="宋体" w:hAnsi="宋体" w:eastAsia="宋体"/>
          <w:szCs w:val="21"/>
        </w:rPr>
        <w:t>如果是</w:t>
      </w:r>
      <w:r>
        <w:rPr>
          <w:rFonts w:hint="eastAsia" w:ascii="宋体" w:hAnsi="宋体" w:eastAsia="宋体"/>
          <w:color w:val="B00824"/>
          <w:szCs w:val="21"/>
        </w:rPr>
        <w:t>既可公诉也可自诉</w:t>
      </w:r>
      <w:r>
        <w:rPr>
          <w:rFonts w:hint="eastAsia" w:ascii="宋体" w:hAnsi="宋体" w:eastAsia="宋体"/>
          <w:szCs w:val="21"/>
        </w:rPr>
        <w:t>（第二类自诉案件）——可以立案侦查，随同公诉案件移送法院，法院合并审理。</w:t>
      </w:r>
    </w:p>
    <w:p w14:paraId="2AE77CFD">
      <w:pPr>
        <w:spacing w:line="300" w:lineRule="exact"/>
        <w:ind w:firstLine="420" w:firstLineChars="200"/>
        <w:rPr>
          <w:rFonts w:hint="eastAsia" w:ascii="宋体" w:hAnsi="宋体" w:eastAsia="宋体"/>
          <w:color w:val="B00824"/>
          <w:szCs w:val="21"/>
        </w:rPr>
      </w:pPr>
      <w:r>
        <w:rPr>
          <w:rFonts w:hint="eastAsia" w:ascii="宋体" w:hAnsi="宋体" w:eastAsia="宋体"/>
          <w:szCs w:val="21"/>
        </w:rPr>
        <w:t>（2）法院审理自诉案件时发现有遗漏公诉罪行——法院</w:t>
      </w:r>
      <w:r>
        <w:rPr>
          <w:rFonts w:hint="eastAsia" w:ascii="宋体" w:hAnsi="宋体" w:eastAsia="宋体"/>
          <w:color w:val="B00824"/>
          <w:szCs w:val="21"/>
        </w:rPr>
        <w:t>应将新发现的罪行另案移送有管辖权的公安机关或者检察院处理</w:t>
      </w:r>
    </w:p>
    <w:p w14:paraId="0DB2C56A">
      <w:pPr>
        <w:spacing w:line="300" w:lineRule="exact"/>
        <w:ind w:firstLine="420" w:firstLineChars="200"/>
        <w:rPr>
          <w:rFonts w:hint="eastAsia" w:ascii="宋体" w:hAnsi="宋体" w:eastAsia="宋体"/>
          <w:szCs w:val="21"/>
        </w:rPr>
      </w:pPr>
      <w:r>
        <w:rPr>
          <w:rFonts w:hint="eastAsia" w:ascii="宋体" w:hAnsi="宋体" w:eastAsia="宋体"/>
          <w:szCs w:val="21"/>
        </w:rPr>
        <w:t>（3）法院审理公诉案件时发现有遗漏自诉罪行：</w:t>
      </w:r>
    </w:p>
    <w:p w14:paraId="1E4C1C45">
      <w:pPr>
        <w:spacing w:line="300" w:lineRule="exact"/>
        <w:ind w:firstLine="420" w:firstLineChars="200"/>
        <w:rPr>
          <w:rFonts w:hint="eastAsia" w:ascii="宋体" w:hAnsi="宋体" w:eastAsia="宋体"/>
          <w:szCs w:val="21"/>
        </w:rPr>
      </w:pPr>
      <w:r>
        <w:rPr>
          <w:rFonts w:hint="eastAsia" w:ascii="宋体" w:hAnsi="宋体" w:eastAsia="宋体"/>
          <w:szCs w:val="21"/>
        </w:rPr>
        <w:t>如果是</w:t>
      </w:r>
      <w:r>
        <w:rPr>
          <w:rFonts w:hint="eastAsia" w:ascii="宋体" w:hAnsi="宋体" w:eastAsia="宋体"/>
          <w:color w:val="B00824"/>
          <w:szCs w:val="21"/>
        </w:rPr>
        <w:t>告诉才处理</w:t>
      </w:r>
      <w:r>
        <w:rPr>
          <w:rFonts w:hint="eastAsia" w:ascii="宋体" w:hAnsi="宋体" w:eastAsia="宋体"/>
          <w:szCs w:val="21"/>
        </w:rPr>
        <w:t>的犯罪——告知被害人向法院直接提起自诉；</w:t>
      </w:r>
    </w:p>
    <w:p w14:paraId="68E555B6">
      <w:pPr>
        <w:spacing w:line="300" w:lineRule="exact"/>
        <w:ind w:firstLine="420" w:firstLineChars="200"/>
        <w:rPr>
          <w:rFonts w:hint="eastAsia" w:ascii="宋体" w:hAnsi="宋体" w:eastAsia="宋体"/>
          <w:szCs w:val="21"/>
        </w:rPr>
      </w:pPr>
      <w:r>
        <w:rPr>
          <w:rFonts w:hint="eastAsia" w:ascii="宋体" w:hAnsi="宋体" w:eastAsia="宋体"/>
          <w:szCs w:val="21"/>
        </w:rPr>
        <w:t>如果是</w:t>
      </w:r>
      <w:r>
        <w:rPr>
          <w:rFonts w:hint="eastAsia" w:ascii="宋体" w:hAnsi="宋体" w:eastAsia="宋体"/>
          <w:color w:val="B00824"/>
          <w:szCs w:val="21"/>
        </w:rPr>
        <w:t>既可公诉也可自诉</w:t>
      </w:r>
      <w:r>
        <w:rPr>
          <w:rFonts w:hint="eastAsia" w:ascii="宋体" w:hAnsi="宋体" w:eastAsia="宋体"/>
          <w:szCs w:val="21"/>
        </w:rPr>
        <w:t>（第二类自诉案件）——告知被害人人可以提起自诉；对其中证据不足、可以由公安机关受理的，或者认为对被告人可能判处三年有期徒刑以上刑罚的，应当告知被害人向公安机关报案，或者移送公安机关立案侦查。</w:t>
      </w:r>
    </w:p>
    <w:p w14:paraId="41160E5E">
      <w:pPr>
        <w:spacing w:line="300" w:lineRule="exact"/>
        <w:ind w:firstLine="420" w:firstLineChars="200"/>
        <w:rPr>
          <w:rFonts w:hint="eastAsia" w:ascii="宋体" w:hAnsi="宋体" w:eastAsia="宋体"/>
          <w:szCs w:val="21"/>
        </w:rPr>
      </w:pPr>
      <w:r>
        <w:rPr>
          <w:rFonts w:hint="eastAsia" w:ascii="宋体" w:hAnsi="宋体" w:eastAsia="宋体"/>
          <w:szCs w:val="21"/>
        </w:rPr>
        <w:t>（4）</w:t>
      </w:r>
      <w:r>
        <w:rPr>
          <w:rFonts w:hint="eastAsia" w:ascii="宋体" w:hAnsi="宋体" w:eastAsia="宋体"/>
          <w:color w:val="B00824"/>
          <w:szCs w:val="21"/>
        </w:rPr>
        <w:t>法院审理公诉案件时发现遗漏公诉罪行</w:t>
      </w:r>
      <w:r>
        <w:rPr>
          <w:rFonts w:hint="eastAsia" w:ascii="宋体" w:hAnsi="宋体" w:eastAsia="宋体"/>
          <w:szCs w:val="21"/>
        </w:rPr>
        <w:t>——人民法院发现新的事实，可能影响定罪量刑的，或者需要补查补证的，</w:t>
      </w:r>
      <w:r>
        <w:rPr>
          <w:rFonts w:hint="eastAsia" w:ascii="宋体" w:hAnsi="宋体" w:eastAsia="宋体"/>
          <w:color w:val="B00824"/>
          <w:szCs w:val="21"/>
        </w:rPr>
        <w:t>应当通知人民检察院，由其决定是否补充、变更、追加起诉或者补充侦查</w:t>
      </w:r>
      <w:r>
        <w:rPr>
          <w:rFonts w:hint="eastAsia" w:ascii="宋体" w:hAnsi="宋体" w:eastAsia="宋体"/>
          <w:szCs w:val="21"/>
        </w:rPr>
        <w:t>。</w:t>
      </w:r>
    </w:p>
    <w:p w14:paraId="06321188">
      <w:pPr>
        <w:spacing w:line="300" w:lineRule="exact"/>
        <w:ind w:firstLine="420" w:firstLineChars="200"/>
        <w:rPr>
          <w:rFonts w:hint="eastAsia" w:ascii="宋体" w:hAnsi="宋体" w:eastAsia="宋体" w:cs="Courier New"/>
          <w:bCs/>
          <w:color w:val="FF0000"/>
          <w:szCs w:val="21"/>
        </w:rPr>
      </w:pPr>
      <w:r>
        <w:rPr>
          <w:rFonts w:hint="eastAsia" w:ascii="宋体" w:hAnsi="宋体" w:eastAsia="宋体" w:cs="Courier New"/>
          <w:bCs/>
          <w:szCs w:val="21"/>
        </w:rPr>
        <w:t>3．检察院与监察委之间管辖权的竞合：</w:t>
      </w:r>
      <w:r>
        <w:rPr>
          <w:rFonts w:hint="eastAsia" w:ascii="宋体" w:hAnsi="宋体" w:eastAsia="宋体" w:cs="Courier New"/>
          <w:bCs/>
          <w:color w:val="FF0000"/>
          <w:szCs w:val="21"/>
        </w:rPr>
        <w:t>分别管辖，以监察委为主</w:t>
      </w:r>
    </w:p>
    <w:p w14:paraId="49D738AA">
      <w:pPr>
        <w:spacing w:line="300" w:lineRule="exact"/>
        <w:ind w:firstLine="420" w:firstLineChars="200"/>
        <w:rPr>
          <w:rFonts w:hint="eastAsia" w:ascii="宋体" w:hAnsi="宋体" w:eastAsia="宋体"/>
          <w:szCs w:val="21"/>
        </w:rPr>
      </w:pPr>
      <w:r>
        <w:rPr>
          <w:rFonts w:hint="eastAsia" w:ascii="宋体" w:hAnsi="宋体" w:eastAsia="宋体"/>
          <w:szCs w:val="21"/>
        </w:rPr>
        <w:t>人民检察院侦查时，发现犯罪嫌疑人同时涉嫌监察机关管辖的职务犯罪线索的，应当及时与同级监察机关沟通，</w:t>
      </w:r>
      <w:r>
        <w:rPr>
          <w:rFonts w:hint="eastAsia" w:ascii="宋体" w:hAnsi="宋体" w:eastAsia="宋体"/>
          <w:color w:val="B00824"/>
          <w:szCs w:val="21"/>
        </w:rPr>
        <w:t>一般应当由监察委员会为主调查，人民检察院予以协助</w:t>
      </w:r>
      <w:r>
        <w:rPr>
          <w:rFonts w:hint="eastAsia" w:ascii="宋体" w:hAnsi="宋体" w:eastAsia="宋体"/>
          <w:szCs w:val="21"/>
        </w:rPr>
        <w:t>。</w:t>
      </w:r>
      <w:r>
        <w:rPr>
          <w:rFonts w:hint="eastAsia" w:ascii="宋体" w:hAnsi="宋体" w:eastAsia="宋体"/>
          <w:color w:val="B00824"/>
          <w:szCs w:val="21"/>
        </w:rPr>
        <w:t>经沟通，认为全案由监察机关管辖更为适宜的，人民检察院应当将案件和相应职务犯罪线索一并移送监察机关</w:t>
      </w:r>
      <w:r>
        <w:rPr>
          <w:rFonts w:hint="eastAsia" w:ascii="宋体" w:hAnsi="宋体" w:eastAsia="宋体"/>
          <w:szCs w:val="21"/>
        </w:rPr>
        <w:t>；认为由监察机关和人民检察院</w:t>
      </w:r>
      <w:r>
        <w:rPr>
          <w:rFonts w:hint="eastAsia" w:ascii="宋体" w:hAnsi="宋体" w:eastAsia="宋体"/>
          <w:color w:val="B00824"/>
          <w:szCs w:val="21"/>
        </w:rPr>
        <w:t>分别管辖更为适宜</w:t>
      </w:r>
      <w:r>
        <w:rPr>
          <w:rFonts w:hint="eastAsia" w:ascii="宋体" w:hAnsi="宋体" w:eastAsia="宋体"/>
          <w:szCs w:val="21"/>
        </w:rPr>
        <w:t>的，人民检察院应当将监察机关管辖的相应职务犯罪线索移送监察机关，对依法由人民检察院管辖的犯罪案件继续侦查。</w:t>
      </w:r>
    </w:p>
    <w:p w14:paraId="60A5BCAE">
      <w:pPr>
        <w:spacing w:line="300" w:lineRule="exact"/>
        <w:ind w:firstLine="420" w:firstLineChars="200"/>
        <w:rPr>
          <w:rFonts w:hint="eastAsia" w:ascii="宋体" w:hAnsi="宋体" w:eastAsia="宋体"/>
          <w:color w:val="B00824"/>
          <w:szCs w:val="21"/>
        </w:rPr>
      </w:pPr>
      <w:r>
        <w:rPr>
          <w:rFonts w:hint="eastAsia" w:ascii="宋体" w:hAnsi="宋体" w:eastAsia="宋体"/>
          <w:szCs w:val="21"/>
        </w:rPr>
        <w:t>人民检察院应当及时将沟通情况报告上一级人民检察院。沟通期间，人民检察院不得停止对案件的侦查。</w:t>
      </w:r>
      <w:r>
        <w:rPr>
          <w:rFonts w:hint="eastAsia" w:ascii="宋体" w:hAnsi="宋体" w:eastAsia="宋体"/>
          <w:color w:val="B00824"/>
          <w:szCs w:val="21"/>
        </w:rPr>
        <w:t>监察机关和人民检察院分别管辖的案件，调查（侦查）终结前，人民检察院应当就移送审查起诉有关事宜与监察机关加强沟通，协调一致，由人民检察院依法对全案审查起诉。</w:t>
      </w:r>
    </w:p>
    <w:p w14:paraId="42758C13">
      <w:pPr>
        <w:spacing w:line="300" w:lineRule="exact"/>
        <w:ind w:firstLine="420" w:firstLineChars="200"/>
        <w:jc w:val="left"/>
        <w:rPr>
          <w:rFonts w:hint="eastAsia" w:ascii="宋体" w:hAnsi="宋体" w:eastAsia="宋体" w:cs="汉仪大宋简"/>
          <w:bCs/>
          <w:szCs w:val="21"/>
        </w:rPr>
      </w:pPr>
      <w:r>
        <w:rPr>
          <w:rFonts w:hint="eastAsia" w:ascii="宋体" w:hAnsi="宋体" w:eastAsia="宋体" w:cs="汉仪大宋简"/>
          <w:bCs/>
          <w:szCs w:val="21"/>
        </w:rPr>
        <w:t>二、审判管辖</w:t>
      </w:r>
    </w:p>
    <w:p w14:paraId="2E7FC5BE">
      <w:pPr>
        <w:spacing w:line="300" w:lineRule="exact"/>
        <w:ind w:firstLine="420" w:firstLineChars="200"/>
        <w:rPr>
          <w:rFonts w:hint="eastAsia" w:ascii="宋体" w:hAnsi="宋体" w:eastAsia="宋体" w:cs="汉仪大宋简"/>
          <w:bCs/>
          <w:szCs w:val="21"/>
        </w:rPr>
      </w:pPr>
      <w:r>
        <w:rPr>
          <w:rFonts w:hint="eastAsia" w:ascii="宋体" w:hAnsi="宋体" w:eastAsia="宋体" w:cs="汉仪大宋简"/>
          <w:bCs/>
          <w:szCs w:val="21"/>
        </w:rPr>
        <w:t>（一）级别管辖</w:t>
      </w:r>
    </w:p>
    <w:p w14:paraId="0EF17A81">
      <w:pPr>
        <w:spacing w:line="300" w:lineRule="exact"/>
        <w:ind w:firstLine="420" w:firstLineChars="200"/>
        <w:rPr>
          <w:rFonts w:hint="eastAsia" w:ascii="宋体" w:hAnsi="宋体" w:eastAsia="宋体"/>
          <w:szCs w:val="21"/>
        </w:rPr>
      </w:pPr>
      <w:r>
        <w:rPr>
          <w:rFonts w:hint="eastAsia" w:ascii="宋体" w:hAnsi="宋体" w:eastAsia="宋体" w:cs="Courier New"/>
          <w:bCs/>
          <w:szCs w:val="21"/>
        </w:rPr>
        <w:t>1．中级法院的案件管辖范围</w:t>
      </w:r>
      <w:r>
        <w:rPr>
          <w:rFonts w:hint="eastAsia" w:ascii="宋体" w:hAnsi="宋体" w:eastAsia="宋体"/>
          <w:szCs w:val="21"/>
        </w:rPr>
        <w:t>：</w:t>
      </w:r>
      <w:r>
        <w:rPr>
          <w:rFonts w:hint="eastAsia" w:ascii="宋体" w:hAnsi="宋体" w:eastAsia="宋体"/>
          <w:color w:val="FF0000"/>
          <w:szCs w:val="21"/>
        </w:rPr>
        <w:t>注意违法所得没收案件、缺席审判</w:t>
      </w:r>
    </w:p>
    <w:p w14:paraId="3F73D24D">
      <w:pPr>
        <w:spacing w:line="300" w:lineRule="exact"/>
        <w:ind w:firstLine="420" w:firstLineChars="200"/>
        <w:rPr>
          <w:rFonts w:hint="eastAsia" w:ascii="宋体" w:hAnsi="宋体" w:eastAsia="宋体" w:cs="Courier New"/>
          <w:bCs/>
          <w:szCs w:val="21"/>
        </w:rPr>
      </w:pPr>
      <w:r>
        <w:rPr>
          <w:rFonts w:hint="eastAsia" w:ascii="宋体" w:hAnsi="宋体" w:eastAsia="宋体" w:cs="Courier New"/>
          <w:bCs/>
          <w:szCs w:val="21"/>
        </w:rPr>
        <w:t>2．与级别管辖有关的其他规定</w:t>
      </w:r>
    </w:p>
    <w:p w14:paraId="10A5F96A">
      <w:pPr>
        <w:widowControl/>
        <w:spacing w:line="300" w:lineRule="exact"/>
        <w:ind w:firstLine="420" w:firstLineChars="200"/>
        <w:rPr>
          <w:rFonts w:hint="eastAsia" w:ascii="宋体" w:hAnsi="宋体" w:eastAsia="宋体"/>
          <w:szCs w:val="21"/>
        </w:rPr>
      </w:pPr>
      <w:r>
        <w:rPr>
          <w:rFonts w:hint="eastAsia" w:ascii="宋体" w:hAnsi="宋体" w:eastAsia="宋体"/>
          <w:szCs w:val="21"/>
        </w:rPr>
        <w:t>（1）就高不就低：</w:t>
      </w:r>
      <w:r>
        <w:rPr>
          <w:rFonts w:ascii="宋体" w:hAnsi="宋体" w:eastAsia="宋体"/>
          <w:szCs w:val="21"/>
        </w:rPr>
        <w:t>一人犯数罪、共同犯罪和其他需要并案审理的案件，其中</w:t>
      </w:r>
      <w:r>
        <w:rPr>
          <w:rFonts w:ascii="宋体" w:hAnsi="宋体" w:eastAsia="宋体"/>
          <w:color w:val="B00824"/>
          <w:szCs w:val="21"/>
        </w:rPr>
        <w:t>一人或者一罪</w:t>
      </w:r>
      <w:r>
        <w:rPr>
          <w:rFonts w:ascii="宋体" w:hAnsi="宋体" w:eastAsia="宋体"/>
          <w:szCs w:val="21"/>
        </w:rPr>
        <w:t>属于上级人民法院管辖的，全案由上级人民法院管辖。</w:t>
      </w:r>
    </w:p>
    <w:p w14:paraId="0D4927D0">
      <w:pPr>
        <w:widowControl/>
        <w:spacing w:line="300" w:lineRule="exact"/>
        <w:ind w:firstLine="420" w:firstLineChars="200"/>
        <w:rPr>
          <w:rFonts w:hint="eastAsia" w:ascii="宋体" w:hAnsi="宋体" w:eastAsia="宋体"/>
          <w:szCs w:val="21"/>
        </w:rPr>
      </w:pPr>
      <w:r>
        <w:rPr>
          <w:rFonts w:hint="eastAsia" w:ascii="宋体" w:hAnsi="宋体" w:eastAsia="宋体"/>
          <w:szCs w:val="21"/>
        </w:rPr>
        <w:t>（2）可上不可下：对于不需要判处无期徒刑、死刑的案件，中级人民法院不应向基层人民法院移送案件。基层人民法院向中级人民法院移送案件——应当移送：可能判处无期徒刑、死刑的案件；可以移送：重大、复杂案件、新类型的疑难案件、在法律适用上具有普遍指导意义的案件。</w:t>
      </w:r>
    </w:p>
    <w:p w14:paraId="28ABC8F8">
      <w:pPr>
        <w:spacing w:line="300" w:lineRule="exact"/>
        <w:ind w:firstLine="420" w:firstLineChars="200"/>
        <w:rPr>
          <w:rFonts w:hint="eastAsia" w:ascii="宋体" w:hAnsi="宋体" w:eastAsia="宋体" w:cs="汉仪大宋简"/>
          <w:bCs/>
          <w:szCs w:val="21"/>
        </w:rPr>
      </w:pPr>
      <w:r>
        <w:rPr>
          <w:rFonts w:hint="eastAsia" w:ascii="宋体" w:hAnsi="宋体" w:eastAsia="宋体" w:cs="汉仪大宋简"/>
          <w:bCs/>
          <w:szCs w:val="21"/>
        </w:rPr>
        <w:t>（二）</w:t>
      </w:r>
      <w:r>
        <w:rPr>
          <w:rFonts w:hint="eastAsia" w:ascii="宋体" w:hAnsi="宋体" w:eastAsia="宋体" w:cs="汉仪大宋简"/>
          <w:bCs/>
          <w:color w:val="FF0000"/>
          <w:szCs w:val="21"/>
        </w:rPr>
        <w:t>地域管辖（直接看法院解释2、3、</w:t>
      </w:r>
      <w:r>
        <w:rPr>
          <w:rFonts w:ascii="宋体" w:hAnsi="宋体" w:eastAsia="宋体" w:cs="汉仪大宋简"/>
          <w:bCs/>
          <w:color w:val="FF0000"/>
          <w:szCs w:val="21"/>
        </w:rPr>
        <w:t>4</w:t>
      </w:r>
      <w:r>
        <w:rPr>
          <w:rFonts w:hint="eastAsia" w:ascii="宋体" w:hAnsi="宋体" w:eastAsia="宋体" w:cs="汉仪大宋简"/>
          <w:bCs/>
          <w:color w:val="FF0000"/>
          <w:szCs w:val="21"/>
        </w:rPr>
        <w:t>、</w:t>
      </w:r>
      <w:r>
        <w:rPr>
          <w:rFonts w:ascii="宋体" w:hAnsi="宋体" w:eastAsia="宋体" w:cs="汉仪大宋简"/>
          <w:bCs/>
          <w:color w:val="FF0000"/>
          <w:szCs w:val="21"/>
        </w:rPr>
        <w:t>5</w:t>
      </w:r>
      <w:r>
        <w:rPr>
          <w:rFonts w:hint="eastAsia" w:ascii="宋体" w:hAnsi="宋体" w:eastAsia="宋体" w:cs="汉仪大宋简"/>
          <w:bCs/>
          <w:color w:val="FF0000"/>
          <w:szCs w:val="21"/>
        </w:rPr>
        <w:t>条）</w:t>
      </w:r>
    </w:p>
    <w:p w14:paraId="79B63984">
      <w:pPr>
        <w:spacing w:line="300" w:lineRule="exact"/>
        <w:ind w:firstLine="420" w:firstLineChars="200"/>
        <w:rPr>
          <w:rFonts w:hint="eastAsia" w:ascii="宋体" w:hAnsi="宋体" w:eastAsia="宋体" w:cs="等线"/>
          <w:szCs w:val="21"/>
        </w:rPr>
      </w:pPr>
      <w:r>
        <w:rPr>
          <w:rFonts w:hint="eastAsia" w:ascii="宋体" w:hAnsi="宋体" w:eastAsia="宋体"/>
          <w:szCs w:val="21"/>
        </w:rPr>
        <w:t>以犯罪地法院管辖为主，被告人居住地法院管辖为辅。以最初受理的法院审判为主，主要犯罪地法院审理为辅。</w:t>
      </w:r>
    </w:p>
    <w:p w14:paraId="5A18364F">
      <w:pPr>
        <w:spacing w:line="300" w:lineRule="exact"/>
        <w:ind w:firstLine="420" w:firstLineChars="200"/>
        <w:rPr>
          <w:rFonts w:hint="eastAsia" w:ascii="宋体" w:hAnsi="宋体" w:eastAsia="宋体" w:cs="汉仪大宋简"/>
          <w:bCs/>
          <w:szCs w:val="21"/>
        </w:rPr>
      </w:pPr>
      <w:r>
        <w:rPr>
          <w:rFonts w:hint="eastAsia" w:ascii="宋体" w:hAnsi="宋体" w:eastAsia="宋体" w:cs="汉仪大宋简"/>
          <w:bCs/>
          <w:szCs w:val="21"/>
        </w:rPr>
        <w:t>（三）指定管辖</w:t>
      </w:r>
    </w:p>
    <w:p w14:paraId="475F85FE">
      <w:pPr>
        <w:spacing w:line="300" w:lineRule="exact"/>
        <w:ind w:firstLine="408" w:firstLineChars="200"/>
        <w:rPr>
          <w:rFonts w:hint="eastAsia" w:ascii="宋体" w:hAnsi="宋体" w:eastAsia="宋体"/>
          <w:spacing w:val="-3"/>
          <w:szCs w:val="21"/>
        </w:rPr>
      </w:pPr>
      <w:r>
        <w:rPr>
          <w:rFonts w:hint="eastAsia" w:ascii="宋体" w:hAnsi="宋体" w:eastAsia="宋体"/>
          <w:spacing w:val="-3"/>
          <w:szCs w:val="21"/>
        </w:rPr>
        <w:t>当出现管辖权不明或者有管辖权的法院因故不宜行使管辖权时，由上级人民法院指定法院管辖。——</w:t>
      </w:r>
      <w:r>
        <w:rPr>
          <w:rFonts w:hint="eastAsia" w:ascii="宋体" w:hAnsi="宋体" w:eastAsia="宋体"/>
          <w:bCs/>
          <w:szCs w:val="21"/>
        </w:rPr>
        <w:t>管辖权不明：</w:t>
      </w:r>
      <w:r>
        <w:rPr>
          <w:rFonts w:hint="eastAsia" w:ascii="宋体" w:hAnsi="宋体" w:eastAsia="宋体"/>
          <w:szCs w:val="21"/>
        </w:rPr>
        <w:t>由争议的法院先协商，协商不成层报</w:t>
      </w:r>
      <w:r>
        <w:rPr>
          <w:rFonts w:hint="eastAsia" w:ascii="宋体" w:hAnsi="宋体" w:eastAsia="宋体"/>
          <w:color w:val="B00824"/>
          <w:szCs w:val="21"/>
        </w:rPr>
        <w:t>共同的上级法院</w:t>
      </w:r>
      <w:r>
        <w:rPr>
          <w:rFonts w:hint="eastAsia" w:ascii="宋体" w:hAnsi="宋体" w:eastAsia="宋体"/>
          <w:szCs w:val="21"/>
        </w:rPr>
        <w:t>指定；</w:t>
      </w:r>
      <w:r>
        <w:rPr>
          <w:rFonts w:hint="eastAsia" w:ascii="宋体" w:hAnsi="宋体" w:eastAsia="宋体"/>
          <w:bCs/>
          <w:szCs w:val="21"/>
        </w:rPr>
        <w:t>不宜行使管辖权：</w:t>
      </w:r>
      <w:r>
        <w:rPr>
          <w:rFonts w:hint="eastAsia" w:ascii="宋体" w:hAnsi="宋体" w:eastAsia="宋体"/>
          <w:szCs w:val="21"/>
        </w:rPr>
        <w:t>可以请求移送上一级法院管辖，上一级法院可以审理，也可以指定。有关案件，由犯罪地、被告人居住地以外的人民法院审判更为适宜的，上级人民法院可以指定下级人民法院管辖。</w:t>
      </w:r>
    </w:p>
    <w:p w14:paraId="50427D6A">
      <w:pPr>
        <w:spacing w:line="300" w:lineRule="exact"/>
        <w:ind w:firstLine="420" w:firstLineChars="200"/>
        <w:rPr>
          <w:rFonts w:hint="eastAsia" w:ascii="宋体" w:hAnsi="宋体" w:eastAsia="宋体" w:cs="等线"/>
          <w:color w:val="FF0000"/>
          <w:szCs w:val="21"/>
        </w:rPr>
      </w:pPr>
      <w:r>
        <w:rPr>
          <w:rFonts w:hint="eastAsia" w:ascii="宋体" w:hAnsi="宋体" w:eastAsia="宋体" w:cs="等线"/>
          <w:szCs w:val="21"/>
        </w:rPr>
        <w:t>改变管辖时的衔接程序：1．</w:t>
      </w:r>
      <w:r>
        <w:rPr>
          <w:rFonts w:hint="eastAsia" w:ascii="宋体" w:hAnsi="宋体" w:eastAsia="宋体" w:cs="等线"/>
          <w:color w:val="FF0000"/>
          <w:szCs w:val="21"/>
        </w:rPr>
        <w:t>公诉案件</w:t>
      </w:r>
      <w:r>
        <w:rPr>
          <w:rFonts w:hint="eastAsia" w:ascii="宋体" w:hAnsi="宋体" w:eastAsia="宋体" w:cs="等线"/>
          <w:szCs w:val="21"/>
        </w:rPr>
        <w:t>：原受理法院书面通知原提起公诉的检察院，</w:t>
      </w:r>
      <w:r>
        <w:rPr>
          <w:rFonts w:hint="eastAsia" w:ascii="宋体" w:hAnsi="宋体" w:eastAsia="宋体" w:cs="等线"/>
          <w:color w:val="FF0000"/>
          <w:szCs w:val="21"/>
        </w:rPr>
        <w:t>并将案卷材料退回，同时书面通知当事人</w:t>
      </w:r>
      <w:r>
        <w:rPr>
          <w:rFonts w:hint="eastAsia" w:ascii="宋体" w:hAnsi="宋体" w:eastAsia="宋体" w:cs="等线"/>
          <w:szCs w:val="21"/>
        </w:rPr>
        <w:t>。再由原检察院将案卷交给有管辖权的法院对应的检察院，由其提起公诉。2．</w:t>
      </w:r>
      <w:r>
        <w:rPr>
          <w:rFonts w:hint="eastAsia" w:ascii="宋体" w:hAnsi="宋体" w:eastAsia="宋体" w:cs="等线"/>
          <w:color w:val="FF0000"/>
          <w:szCs w:val="21"/>
        </w:rPr>
        <w:t>自诉案件</w:t>
      </w:r>
      <w:r>
        <w:rPr>
          <w:rFonts w:hint="eastAsia" w:ascii="宋体" w:hAnsi="宋体" w:eastAsia="宋体" w:cs="等线"/>
          <w:szCs w:val="21"/>
        </w:rPr>
        <w:t>：原受理法院</w:t>
      </w:r>
      <w:r>
        <w:rPr>
          <w:rFonts w:hint="eastAsia" w:ascii="宋体" w:hAnsi="宋体" w:eastAsia="宋体" w:cs="等线"/>
          <w:color w:val="FF0000"/>
          <w:szCs w:val="21"/>
        </w:rPr>
        <w:t>直接将案件移送给有管辖权的法院</w:t>
      </w:r>
      <w:r>
        <w:rPr>
          <w:rFonts w:hint="eastAsia" w:ascii="宋体" w:hAnsi="宋体" w:eastAsia="宋体" w:cs="等线"/>
          <w:szCs w:val="21"/>
        </w:rPr>
        <w:t>，并书面通知当事人。</w:t>
      </w:r>
      <w:r>
        <w:rPr>
          <w:rFonts w:hint="eastAsia" w:ascii="宋体" w:hAnsi="宋体" w:eastAsia="宋体" w:cs="等线"/>
          <w:color w:val="FF0000"/>
          <w:szCs w:val="21"/>
        </w:rPr>
        <w:t>（注意我们国家没有集体回避，有需要集体回避的情形的叫不宜行使管辖权）</w:t>
      </w:r>
    </w:p>
    <w:p w14:paraId="594997D9">
      <w:pPr>
        <w:spacing w:line="300" w:lineRule="exact"/>
        <w:ind w:firstLine="420" w:firstLineChars="200"/>
        <w:rPr>
          <w:rFonts w:hint="eastAsia" w:ascii="宋体" w:hAnsi="宋体" w:eastAsia="宋体" w:cs="汉仪大宋简"/>
          <w:bCs/>
          <w:szCs w:val="21"/>
        </w:rPr>
      </w:pPr>
      <w:r>
        <w:rPr>
          <w:rFonts w:hint="eastAsia" w:ascii="宋体" w:hAnsi="宋体" w:eastAsia="宋体" w:cs="汉仪大宋简"/>
          <w:bCs/>
          <w:szCs w:val="21"/>
        </w:rPr>
        <w:t>（四）并案审理</w:t>
      </w:r>
    </w:p>
    <w:p w14:paraId="4EDB2D07">
      <w:pPr>
        <w:spacing w:line="300" w:lineRule="exact"/>
        <w:ind w:firstLine="420" w:firstLineChars="200"/>
        <w:rPr>
          <w:rFonts w:hint="eastAsia" w:ascii="宋体" w:hAnsi="宋体" w:eastAsia="宋体"/>
          <w:szCs w:val="21"/>
        </w:rPr>
      </w:pPr>
      <w:r>
        <w:rPr>
          <w:rFonts w:hint="eastAsia" w:ascii="宋体" w:hAnsi="宋体" w:eastAsia="宋体"/>
          <w:szCs w:val="21"/>
        </w:rPr>
        <w:t>人民法院发现被告人还有其他犯罪被起诉的，</w:t>
      </w:r>
      <w:r>
        <w:rPr>
          <w:rFonts w:hint="eastAsia" w:ascii="宋体" w:hAnsi="宋体" w:eastAsia="宋体"/>
          <w:color w:val="B00824"/>
          <w:szCs w:val="21"/>
        </w:rPr>
        <w:t>可以并案审理</w:t>
      </w:r>
      <w:r>
        <w:rPr>
          <w:rFonts w:hint="eastAsia" w:ascii="宋体" w:hAnsi="宋体" w:eastAsia="宋体"/>
          <w:szCs w:val="21"/>
        </w:rPr>
        <w:t>；</w:t>
      </w:r>
      <w:r>
        <w:rPr>
          <w:rFonts w:hint="eastAsia" w:ascii="宋体" w:hAnsi="宋体" w:eastAsia="宋体"/>
          <w:color w:val="B00824"/>
          <w:szCs w:val="21"/>
        </w:rPr>
        <w:t>涉及同种犯罪的，一般应当并案审理</w:t>
      </w:r>
      <w:r>
        <w:rPr>
          <w:rFonts w:hint="eastAsia" w:ascii="宋体" w:hAnsi="宋体" w:eastAsia="宋体"/>
          <w:szCs w:val="21"/>
        </w:rPr>
        <w:t>。人民法院发现被告人还有其他犯罪被审查起诉、立案侦查、立案调查的，可以参照前款规定协商人民检察院、公安机关、监察机关并案处理，但可能造成审判过分迟延的除外。根据前两款规定并案处理的案件，由最初受理地的人民法院审判。必要时，可以由主要犯罪地的人民法院审判。第二审人民法院在审理过程中，发现被告人还有其他犯罪没有判决的，参照前条规定处理。</w:t>
      </w:r>
      <w:r>
        <w:rPr>
          <w:rFonts w:hint="eastAsia" w:ascii="宋体" w:hAnsi="宋体" w:eastAsia="宋体"/>
          <w:color w:val="B00824"/>
          <w:szCs w:val="21"/>
        </w:rPr>
        <w:t>第二审人民法院决定并案审理的，应当发回第一审人民法院，由第一审人民法院作出处理。</w:t>
      </w:r>
    </w:p>
    <w:p w14:paraId="4BEEEC08">
      <w:pPr>
        <w:spacing w:line="300" w:lineRule="exact"/>
        <w:ind w:firstLine="420" w:firstLineChars="200"/>
        <w:rPr>
          <w:rFonts w:hint="eastAsia" w:ascii="宋体" w:hAnsi="宋体" w:eastAsia="宋体" w:cs="汉仪大宋简"/>
          <w:b/>
          <w:color w:val="FF0000"/>
          <w:szCs w:val="21"/>
        </w:rPr>
      </w:pPr>
      <w:r>
        <w:rPr>
          <w:rFonts w:hint="eastAsia" w:ascii="宋体" w:hAnsi="宋体" w:eastAsia="宋体" w:cs="汉仪大宋简"/>
          <w:b/>
          <w:color w:val="FF0000"/>
          <w:szCs w:val="21"/>
        </w:rPr>
        <w:t>（五）信息网络犯罪案件的办理（2022年《关于办理信息网络犯罪案件适用刑事诉讼程序若干问题的意见》）（重中之重，以下内容要全部掌握！）</w:t>
      </w:r>
    </w:p>
    <w:p w14:paraId="27E1D962">
      <w:pPr>
        <w:spacing w:line="300" w:lineRule="exact"/>
        <w:ind w:firstLine="420" w:firstLineChars="200"/>
        <w:rPr>
          <w:rFonts w:hint="eastAsia" w:ascii="宋体" w:hAnsi="宋体" w:eastAsia="宋体"/>
          <w:szCs w:val="21"/>
        </w:rPr>
      </w:pPr>
      <w:r>
        <w:rPr>
          <w:rFonts w:hint="eastAsia" w:ascii="宋体" w:hAnsi="宋体" w:eastAsia="宋体"/>
          <w:szCs w:val="21"/>
        </w:rPr>
        <w:t>1．案件范围</w:t>
      </w:r>
    </w:p>
    <w:p w14:paraId="1E5D3C5A">
      <w:pPr>
        <w:spacing w:line="300" w:lineRule="exact"/>
        <w:ind w:firstLine="420" w:firstLineChars="200"/>
        <w:rPr>
          <w:rFonts w:hint="eastAsia" w:ascii="宋体" w:hAnsi="宋体" w:eastAsia="宋体"/>
          <w:szCs w:val="21"/>
        </w:rPr>
      </w:pPr>
      <w:r>
        <w:rPr>
          <w:rFonts w:hint="eastAsia" w:ascii="宋体" w:hAnsi="宋体" w:eastAsia="宋体"/>
          <w:szCs w:val="21"/>
        </w:rPr>
        <w:t>（1）危害计算机信息系统安全犯罪案件；（2）拒不履行信息网络安全管理义务、非法利用信息网络、帮助信息网络犯罪活动的犯罪案件；（3）主要行为通过信息网络实施的诈骗、赌博、侵犯公民个人信息等其他犯罪案件。</w:t>
      </w:r>
    </w:p>
    <w:p w14:paraId="79E10190">
      <w:pPr>
        <w:spacing w:line="300" w:lineRule="exact"/>
        <w:ind w:firstLine="420" w:firstLineChars="200"/>
        <w:rPr>
          <w:rFonts w:hint="eastAsia" w:ascii="宋体" w:hAnsi="宋体" w:eastAsia="宋体"/>
          <w:szCs w:val="21"/>
        </w:rPr>
      </w:pPr>
      <w:r>
        <w:rPr>
          <w:rFonts w:hint="eastAsia" w:ascii="宋体" w:hAnsi="宋体" w:eastAsia="宋体"/>
          <w:szCs w:val="21"/>
        </w:rPr>
        <w:t>2．管辖</w:t>
      </w:r>
    </w:p>
    <w:p w14:paraId="4805EC58">
      <w:pPr>
        <w:spacing w:line="300" w:lineRule="exact"/>
        <w:ind w:firstLine="420" w:firstLineChars="200"/>
        <w:rPr>
          <w:rFonts w:hint="eastAsia" w:ascii="宋体" w:hAnsi="宋体" w:eastAsia="宋体"/>
          <w:szCs w:val="21"/>
        </w:rPr>
      </w:pPr>
      <w:r>
        <w:rPr>
          <w:rFonts w:hint="eastAsia" w:ascii="宋体" w:hAnsi="宋体" w:eastAsia="宋体"/>
          <w:szCs w:val="21"/>
        </w:rPr>
        <w:t>信息网络犯罪案件由犯罪地公安机关立案侦查。必要时，可以由犯罪嫌疑人居住地公安机关立案侦查。</w:t>
      </w:r>
    </w:p>
    <w:p w14:paraId="2648CFB3">
      <w:pPr>
        <w:spacing w:line="300" w:lineRule="exact"/>
        <w:ind w:firstLine="420" w:firstLineChars="200"/>
        <w:rPr>
          <w:rFonts w:hint="eastAsia" w:ascii="宋体" w:hAnsi="宋体" w:eastAsia="宋体"/>
          <w:szCs w:val="21"/>
        </w:rPr>
      </w:pPr>
      <w:r>
        <w:rPr>
          <w:rFonts w:hint="eastAsia" w:ascii="宋体" w:hAnsi="宋体" w:eastAsia="宋体"/>
          <w:szCs w:val="21"/>
        </w:rPr>
        <w:t>信息网络犯罪案件的犯罪地包括用于实施犯罪行为的网络服务使用的服务器所在地，网络服务提供者所在地，被侵害的信息网络系统及其管理者所在地，犯罪过程中犯罪嫌疑人、被害人或者其他涉案人员使用的信息网络系统所在地，被害人被侵害时所在地以及被害人财产遭受损失地等。</w:t>
      </w:r>
      <w:r>
        <w:rPr>
          <w:rFonts w:hint="eastAsia" w:ascii="宋体" w:hAnsi="宋体" w:eastAsia="宋体"/>
          <w:color w:val="B00824"/>
          <w:szCs w:val="21"/>
        </w:rPr>
        <w:t>涉及多个环节的信息网络犯罪案件，犯罪嫌疑人为信息网络犯罪提供帮助的，其犯罪地、居住地或者被帮助对象的犯罪地公安机关可以立案侦查</w:t>
      </w:r>
      <w:r>
        <w:rPr>
          <w:rFonts w:hint="eastAsia" w:ascii="宋体" w:hAnsi="宋体" w:eastAsia="宋体"/>
          <w:szCs w:val="21"/>
        </w:rPr>
        <w:t>。</w:t>
      </w:r>
    </w:p>
    <w:p w14:paraId="5254D6CD">
      <w:pPr>
        <w:spacing w:line="300" w:lineRule="exact"/>
        <w:ind w:firstLine="420" w:firstLineChars="200"/>
        <w:rPr>
          <w:rFonts w:hint="eastAsia" w:ascii="宋体" w:hAnsi="宋体" w:eastAsia="宋体"/>
          <w:szCs w:val="21"/>
        </w:rPr>
      </w:pPr>
      <w:r>
        <w:rPr>
          <w:rFonts w:hint="eastAsia" w:ascii="宋体" w:hAnsi="宋体" w:eastAsia="宋体"/>
          <w:szCs w:val="21"/>
        </w:rPr>
        <w:t>有多个犯罪地的信息网络犯罪案件，由最初受理的公安机关或者主要犯罪地公安机关立案侦查。</w:t>
      </w:r>
      <w:r>
        <w:rPr>
          <w:rFonts w:hint="eastAsia" w:ascii="宋体" w:hAnsi="宋体" w:eastAsia="宋体"/>
          <w:color w:val="B00824"/>
          <w:szCs w:val="21"/>
        </w:rPr>
        <w:t>有争议的，协商解决</w:t>
      </w:r>
      <w:r>
        <w:rPr>
          <w:rFonts w:hint="eastAsia" w:ascii="宋体" w:hAnsi="宋体" w:eastAsia="宋体"/>
          <w:szCs w:val="21"/>
        </w:rPr>
        <w:t>；经协商无法达成一致的，由</w:t>
      </w:r>
      <w:r>
        <w:rPr>
          <w:rFonts w:hint="eastAsia" w:ascii="宋体" w:hAnsi="宋体" w:eastAsia="宋体"/>
          <w:color w:val="B00824"/>
          <w:szCs w:val="21"/>
        </w:rPr>
        <w:t>共同上级公安机关指定</w:t>
      </w:r>
      <w:r>
        <w:rPr>
          <w:rFonts w:hint="eastAsia" w:ascii="宋体" w:hAnsi="宋体" w:eastAsia="宋体"/>
          <w:szCs w:val="21"/>
        </w:rPr>
        <w:t>有关公安机关立案侦查。</w:t>
      </w:r>
    </w:p>
    <w:p w14:paraId="1BC148F9">
      <w:pPr>
        <w:spacing w:line="300" w:lineRule="exact"/>
        <w:ind w:firstLine="420" w:firstLineChars="200"/>
        <w:rPr>
          <w:rFonts w:hint="eastAsia" w:ascii="宋体" w:hAnsi="宋体" w:eastAsia="宋体"/>
          <w:szCs w:val="21"/>
        </w:rPr>
      </w:pPr>
      <w:r>
        <w:rPr>
          <w:rFonts w:hint="eastAsia" w:ascii="宋体" w:hAnsi="宋体" w:eastAsia="宋体"/>
          <w:szCs w:val="21"/>
        </w:rPr>
        <w:t>公安机关、人民检察院、人民法院可以在其职责范围内</w:t>
      </w:r>
      <w:r>
        <w:rPr>
          <w:rFonts w:hint="eastAsia" w:ascii="宋体" w:hAnsi="宋体" w:eastAsia="宋体"/>
          <w:color w:val="B00824"/>
          <w:szCs w:val="21"/>
        </w:rPr>
        <w:t>并案处理</w:t>
      </w:r>
      <w:r>
        <w:rPr>
          <w:rFonts w:hint="eastAsia" w:ascii="宋体" w:hAnsi="宋体" w:eastAsia="宋体"/>
          <w:szCs w:val="21"/>
        </w:rPr>
        <w:t>：（1）一人犯数罪的；（2）共同犯罪的；（3）共同犯罪的犯罪嫌疑人、被告人还实施其他犯罪的；（4）多个犯罪嫌疑人、被告人实施的犯罪行为存在关联，并案处理有利于查明全部案件事实的。</w:t>
      </w:r>
    </w:p>
    <w:p w14:paraId="61192B68">
      <w:pPr>
        <w:spacing w:line="300" w:lineRule="exact"/>
        <w:ind w:firstLine="420" w:firstLineChars="200"/>
        <w:rPr>
          <w:rFonts w:hint="eastAsia" w:ascii="宋体" w:hAnsi="宋体" w:eastAsia="宋体"/>
          <w:szCs w:val="21"/>
        </w:rPr>
      </w:pPr>
      <w:r>
        <w:rPr>
          <w:rFonts w:hint="eastAsia" w:ascii="宋体" w:hAnsi="宋体" w:eastAsia="宋体"/>
          <w:szCs w:val="21"/>
        </w:rPr>
        <w:t>对为信息网络犯罪提供程序开发、互联网接入、服务器托管、网络存储、通讯传输等技术支持，或者广告推广、支付结算等帮助，涉嫌犯罪的，可以</w:t>
      </w:r>
      <w:r>
        <w:rPr>
          <w:rFonts w:hint="eastAsia" w:ascii="宋体" w:hAnsi="宋体" w:eastAsia="宋体"/>
          <w:color w:val="B00824"/>
          <w:szCs w:val="21"/>
        </w:rPr>
        <w:t>并案侦查</w:t>
      </w:r>
      <w:r>
        <w:rPr>
          <w:rFonts w:hint="eastAsia" w:ascii="宋体" w:hAnsi="宋体" w:eastAsia="宋体"/>
          <w:szCs w:val="21"/>
        </w:rPr>
        <w:t>。</w:t>
      </w:r>
    </w:p>
    <w:p w14:paraId="1DA32267">
      <w:pPr>
        <w:spacing w:line="300" w:lineRule="exact"/>
        <w:ind w:firstLine="420" w:firstLineChars="200"/>
        <w:rPr>
          <w:rFonts w:hint="eastAsia" w:ascii="宋体" w:hAnsi="宋体" w:eastAsia="宋体"/>
          <w:szCs w:val="21"/>
        </w:rPr>
      </w:pPr>
      <w:r>
        <w:rPr>
          <w:rFonts w:hint="eastAsia" w:ascii="宋体" w:hAnsi="宋体" w:eastAsia="宋体"/>
          <w:szCs w:val="21"/>
        </w:rPr>
        <w:t>并案侦查的共同犯罪或者关联犯罪案件，</w:t>
      </w:r>
      <w:r>
        <w:rPr>
          <w:rFonts w:hint="eastAsia" w:ascii="宋体" w:hAnsi="宋体" w:eastAsia="宋体"/>
          <w:color w:val="B00824"/>
          <w:szCs w:val="21"/>
        </w:rPr>
        <w:t>犯罪嫌疑人人数众多、案情复杂的</w:t>
      </w:r>
      <w:r>
        <w:rPr>
          <w:rFonts w:hint="eastAsia" w:ascii="宋体" w:hAnsi="宋体" w:eastAsia="宋体"/>
          <w:szCs w:val="21"/>
        </w:rPr>
        <w:t>，公安机关可以</w:t>
      </w:r>
      <w:r>
        <w:rPr>
          <w:rFonts w:hint="eastAsia" w:ascii="宋体" w:hAnsi="宋体" w:eastAsia="宋体"/>
          <w:color w:val="B00824"/>
          <w:szCs w:val="21"/>
        </w:rPr>
        <w:t>分案移送审查起诉</w:t>
      </w:r>
      <w:r>
        <w:rPr>
          <w:rFonts w:hint="eastAsia" w:ascii="宋体" w:hAnsi="宋体" w:eastAsia="宋体"/>
          <w:szCs w:val="21"/>
        </w:rPr>
        <w:t>、人民检察院可以</w:t>
      </w:r>
      <w:r>
        <w:rPr>
          <w:rFonts w:hint="eastAsia" w:ascii="宋体" w:hAnsi="宋体" w:eastAsia="宋体"/>
          <w:color w:val="B00824"/>
          <w:szCs w:val="21"/>
        </w:rPr>
        <w:t>分案提起公诉</w:t>
      </w:r>
      <w:r>
        <w:rPr>
          <w:rFonts w:hint="eastAsia" w:ascii="宋体" w:hAnsi="宋体" w:eastAsia="宋体"/>
          <w:szCs w:val="21"/>
        </w:rPr>
        <w:t>，人民法院可以</w:t>
      </w:r>
      <w:r>
        <w:rPr>
          <w:rFonts w:hint="eastAsia" w:ascii="宋体" w:hAnsi="宋体" w:eastAsia="宋体"/>
          <w:color w:val="B00824"/>
          <w:szCs w:val="21"/>
        </w:rPr>
        <w:t>分案审理</w:t>
      </w:r>
      <w:r>
        <w:rPr>
          <w:rFonts w:hint="eastAsia" w:ascii="宋体" w:hAnsi="宋体" w:eastAsia="宋体"/>
          <w:szCs w:val="21"/>
        </w:rPr>
        <w:t>。公安机关、人民检察院、人民法院在分案前有管辖权的，分案后对相关案件的管辖权不受影响。根据具体情况，分案处理的相关案件可以由不同审级的人民法院分别审理。</w:t>
      </w:r>
      <w:r>
        <w:rPr>
          <w:rFonts w:hint="eastAsia" w:ascii="宋体" w:hAnsi="宋体" w:eastAsia="宋体"/>
          <w:color w:val="FF0000"/>
          <w:szCs w:val="21"/>
        </w:rPr>
        <w:t>（并案侦查不等于一并起诉）</w:t>
      </w:r>
    </w:p>
    <w:p w14:paraId="166B994B">
      <w:pPr>
        <w:spacing w:line="300" w:lineRule="exact"/>
        <w:ind w:firstLine="420" w:firstLineChars="200"/>
        <w:rPr>
          <w:rFonts w:hint="eastAsia" w:ascii="宋体" w:hAnsi="宋体" w:eastAsia="宋体"/>
          <w:szCs w:val="21"/>
        </w:rPr>
      </w:pPr>
      <w:r>
        <w:rPr>
          <w:rFonts w:hint="eastAsia" w:ascii="宋体" w:hAnsi="宋体" w:eastAsia="宋体"/>
          <w:szCs w:val="21"/>
        </w:rPr>
        <w:t>犯罪嫌疑人被多个公安机关立案侦查的，有关公安机关</w:t>
      </w:r>
      <w:r>
        <w:rPr>
          <w:rFonts w:hint="eastAsia" w:ascii="宋体" w:hAnsi="宋体" w:eastAsia="宋体"/>
          <w:color w:val="B00824"/>
          <w:szCs w:val="21"/>
        </w:rPr>
        <w:t>一般应当协商并案</w:t>
      </w:r>
      <w:r>
        <w:rPr>
          <w:rFonts w:hint="eastAsia" w:ascii="宋体" w:hAnsi="宋体" w:eastAsia="宋体"/>
          <w:szCs w:val="21"/>
        </w:rPr>
        <w:t>处理，并依法移送案件。协商不成的，可以报请</w:t>
      </w:r>
      <w:r>
        <w:rPr>
          <w:rFonts w:hint="eastAsia" w:ascii="宋体" w:hAnsi="宋体" w:eastAsia="宋体"/>
          <w:color w:val="B00824"/>
          <w:szCs w:val="21"/>
        </w:rPr>
        <w:t>共同上级公安机关指定管辖</w:t>
      </w:r>
      <w:r>
        <w:rPr>
          <w:rFonts w:hint="eastAsia" w:ascii="宋体" w:hAnsi="宋体" w:eastAsia="宋体"/>
          <w:szCs w:val="21"/>
        </w:rPr>
        <w:t>。</w:t>
      </w:r>
      <w:r>
        <w:rPr>
          <w:rFonts w:hint="eastAsia" w:ascii="宋体" w:hAnsi="宋体" w:eastAsia="宋体"/>
          <w:color w:val="B00824"/>
          <w:szCs w:val="21"/>
        </w:rPr>
        <w:t>人民检察院对于审查起诉的案件，发现犯罪嫌疑人还有犯罪被异地公安机关立案侦查的，应当通知移送审查起诉的公安机关。人民法院对于提起公诉的案件，发现被告人还有其他犯罪被审查起诉、立案侦查的，可以协商人民检察院、公安机关并案处理</w:t>
      </w:r>
      <w:r>
        <w:rPr>
          <w:rFonts w:hint="eastAsia" w:ascii="宋体" w:hAnsi="宋体" w:eastAsia="宋体"/>
          <w:szCs w:val="21"/>
        </w:rPr>
        <w:t>，但可能造成审判过分迟延的除外。决定对有关犯罪并案处理，符合《中华人民共和国刑事诉讼法》第二百零四条规定的，人民检察院可以建议人民法院延期审理。</w:t>
      </w:r>
    </w:p>
    <w:p w14:paraId="38E49DD9">
      <w:pPr>
        <w:spacing w:line="300" w:lineRule="exact"/>
        <w:ind w:firstLine="420" w:firstLineChars="200"/>
        <w:rPr>
          <w:rFonts w:hint="eastAsia" w:ascii="宋体" w:hAnsi="宋体" w:eastAsia="宋体"/>
          <w:szCs w:val="21"/>
        </w:rPr>
      </w:pPr>
      <w:r>
        <w:rPr>
          <w:rFonts w:hint="eastAsia" w:ascii="宋体" w:hAnsi="宋体" w:eastAsia="宋体"/>
          <w:szCs w:val="21"/>
        </w:rPr>
        <w:t>3．调查核实</w:t>
      </w:r>
    </w:p>
    <w:p w14:paraId="3588723D">
      <w:pPr>
        <w:spacing w:line="300" w:lineRule="exact"/>
        <w:ind w:firstLine="420" w:firstLineChars="200"/>
        <w:rPr>
          <w:rFonts w:hint="eastAsia" w:ascii="宋体" w:hAnsi="宋体" w:eastAsia="宋体"/>
          <w:szCs w:val="21"/>
        </w:rPr>
      </w:pPr>
      <w:r>
        <w:rPr>
          <w:rFonts w:hint="eastAsia" w:ascii="宋体" w:hAnsi="宋体" w:eastAsia="宋体"/>
          <w:szCs w:val="21"/>
        </w:rPr>
        <w:t>公安机关对接受的案件或者发现的犯罪线索，在审查中发现案件事实或者线索不明，需要经过调查才能够确认是否达到刑事立案标准的，</w:t>
      </w:r>
      <w:r>
        <w:rPr>
          <w:rFonts w:hint="eastAsia" w:ascii="宋体" w:hAnsi="宋体" w:eastAsia="宋体"/>
          <w:color w:val="B00824"/>
          <w:szCs w:val="21"/>
        </w:rPr>
        <w:t>经公安机关办案部门负责人批准</w:t>
      </w:r>
      <w:r>
        <w:rPr>
          <w:rFonts w:hint="eastAsia" w:ascii="宋体" w:hAnsi="宋体" w:eastAsia="宋体"/>
          <w:szCs w:val="21"/>
        </w:rPr>
        <w:t>，可以进行调查核实；经过调查核实达到刑事立案标准的，应当及时立案。</w:t>
      </w:r>
    </w:p>
    <w:p w14:paraId="4E9350EC">
      <w:pPr>
        <w:spacing w:line="300" w:lineRule="exact"/>
        <w:ind w:firstLine="420" w:firstLineChars="200"/>
        <w:rPr>
          <w:rFonts w:hint="eastAsia" w:ascii="宋体" w:hAnsi="宋体" w:eastAsia="宋体"/>
          <w:szCs w:val="21"/>
        </w:rPr>
      </w:pPr>
      <w:r>
        <w:rPr>
          <w:rFonts w:hint="eastAsia" w:ascii="宋体" w:hAnsi="宋体" w:eastAsia="宋体"/>
          <w:szCs w:val="21"/>
        </w:rPr>
        <w:t>4．抽样取证</w:t>
      </w:r>
    </w:p>
    <w:p w14:paraId="04944182">
      <w:pPr>
        <w:spacing w:line="300" w:lineRule="exact"/>
        <w:ind w:firstLine="420" w:firstLineChars="200"/>
        <w:rPr>
          <w:rFonts w:hint="eastAsia" w:ascii="宋体" w:hAnsi="宋体" w:eastAsia="宋体"/>
          <w:szCs w:val="21"/>
        </w:rPr>
      </w:pPr>
      <w:r>
        <w:rPr>
          <w:rFonts w:hint="eastAsia" w:ascii="宋体" w:hAnsi="宋体" w:eastAsia="宋体"/>
          <w:szCs w:val="21"/>
        </w:rPr>
        <w:t>对于数量特别众多且具有同类性质、特征或者功能的物证、书证、证人证言、被害人陈述、视听资料、电子数据等证据材料，确因客观条件限制无法逐一收集的，</w:t>
      </w:r>
      <w:r>
        <w:rPr>
          <w:rFonts w:hint="eastAsia" w:ascii="宋体" w:hAnsi="宋体" w:eastAsia="宋体"/>
          <w:color w:val="B00824"/>
          <w:szCs w:val="21"/>
        </w:rPr>
        <w:t>应当按照一定比例或者数量选取证据，并对选取情况作出说明和论证。</w:t>
      </w:r>
      <w:r>
        <w:rPr>
          <w:rFonts w:hint="eastAsia" w:ascii="宋体" w:hAnsi="宋体" w:eastAsia="宋体"/>
          <w:szCs w:val="21"/>
        </w:rPr>
        <w:t>人民检察院、人民法院应当重点审查取证方法、过程是否科学。经审查认为取证不科学的</w:t>
      </w:r>
      <w:r>
        <w:rPr>
          <w:rFonts w:hint="eastAsia" w:ascii="宋体" w:hAnsi="宋体" w:eastAsia="宋体"/>
          <w:color w:val="B00824"/>
          <w:szCs w:val="21"/>
        </w:rPr>
        <w:t>，应当由原取证机关作出补充说明或者重新取证。</w:t>
      </w:r>
      <w:r>
        <w:rPr>
          <w:rFonts w:hint="eastAsia" w:ascii="宋体" w:hAnsi="宋体" w:eastAsia="宋体"/>
          <w:szCs w:val="21"/>
        </w:rPr>
        <w:t>人民检察院、人民法院应当结合其他证据材料，以及犯罪嫌疑人、被告人及其辩护人所提辩解、辩护意见，审查认定取得的证据。经审查，</w:t>
      </w:r>
      <w:r>
        <w:rPr>
          <w:rFonts w:hint="eastAsia" w:ascii="宋体" w:hAnsi="宋体" w:eastAsia="宋体"/>
          <w:color w:val="B00824"/>
          <w:szCs w:val="21"/>
        </w:rPr>
        <w:t>对相关事实不能排除合理怀疑的，应当作出有利于犯罪嫌疑人、被告人的认定</w:t>
      </w:r>
      <w:r>
        <w:rPr>
          <w:rFonts w:hint="eastAsia" w:ascii="宋体" w:hAnsi="宋体" w:eastAsia="宋体"/>
          <w:szCs w:val="21"/>
        </w:rPr>
        <w:t>。</w:t>
      </w:r>
    </w:p>
    <w:p w14:paraId="3E906EF4">
      <w:pPr>
        <w:spacing w:line="300" w:lineRule="exact"/>
        <w:jc w:val="center"/>
        <w:rPr>
          <w:rFonts w:hint="eastAsia" w:ascii="宋体" w:hAnsi="宋体" w:eastAsia="宋体" w:cs="汉仪大宋简"/>
          <w:b/>
          <w:bCs/>
          <w:kern w:val="44"/>
          <w:sz w:val="24"/>
          <w:szCs w:val="24"/>
        </w:rPr>
      </w:pPr>
      <w:r>
        <w:rPr>
          <w:rFonts w:hint="eastAsia" w:ascii="宋体" w:hAnsi="宋体" w:eastAsia="宋体" w:cs="汉仪大宋简"/>
          <w:b/>
          <w:bCs/>
          <w:kern w:val="44"/>
          <w:sz w:val="24"/>
          <w:szCs w:val="24"/>
        </w:rPr>
        <w:t>专题二  刑事辩护（</w:t>
      </w:r>
      <w:r>
        <w:rPr>
          <w:rFonts w:hint="eastAsia" w:ascii="宋体" w:hAnsi="宋体" w:eastAsia="宋体" w:cs="汉仪大宋简"/>
          <w:b/>
          <w:bCs/>
          <w:kern w:val="44"/>
          <w:sz w:val="24"/>
          <w:szCs w:val="24"/>
          <w:lang w:val="en-US" w:eastAsia="zh-CN"/>
        </w:rPr>
        <w:t>20</w:t>
      </w:r>
      <w:r>
        <w:rPr>
          <w:rFonts w:ascii="宋体" w:hAnsi="宋体" w:eastAsia="宋体" w:cs="汉仪大宋简"/>
          <w:b/>
          <w:bCs/>
          <w:kern w:val="44"/>
          <w:sz w:val="24"/>
          <w:szCs w:val="24"/>
        </w:rPr>
        <w:t>:</w:t>
      </w:r>
      <w:r>
        <w:rPr>
          <w:rFonts w:hint="eastAsia" w:ascii="宋体" w:hAnsi="宋体" w:eastAsia="宋体" w:cs="汉仪大宋简"/>
          <w:b/>
          <w:bCs/>
          <w:kern w:val="44"/>
          <w:sz w:val="24"/>
          <w:szCs w:val="24"/>
          <w:lang w:val="en-US" w:eastAsia="zh-CN"/>
        </w:rPr>
        <w:t>42</w:t>
      </w:r>
      <w:r>
        <w:rPr>
          <w:rFonts w:ascii="宋体" w:hAnsi="宋体" w:eastAsia="宋体" w:cs="汉仪大宋简"/>
          <w:b/>
          <w:bCs/>
          <w:kern w:val="44"/>
          <w:sz w:val="24"/>
          <w:szCs w:val="24"/>
        </w:rPr>
        <w:t>:00-</w:t>
      </w:r>
      <w:r>
        <w:rPr>
          <w:rFonts w:hint="eastAsia" w:ascii="宋体" w:hAnsi="宋体" w:eastAsia="宋体" w:cs="汉仪大宋简"/>
          <w:b/>
          <w:bCs/>
          <w:kern w:val="44"/>
          <w:sz w:val="24"/>
          <w:szCs w:val="24"/>
        </w:rPr>
        <w:t>21</w:t>
      </w:r>
      <w:r>
        <w:rPr>
          <w:rFonts w:ascii="宋体" w:hAnsi="宋体" w:eastAsia="宋体" w:cs="汉仪大宋简"/>
          <w:b/>
          <w:bCs/>
          <w:kern w:val="44"/>
          <w:sz w:val="24"/>
          <w:szCs w:val="24"/>
        </w:rPr>
        <w:t>:</w:t>
      </w:r>
      <w:r>
        <w:rPr>
          <w:rFonts w:hint="eastAsia" w:ascii="宋体" w:hAnsi="宋体" w:eastAsia="宋体" w:cs="汉仪大宋简"/>
          <w:b/>
          <w:bCs/>
          <w:kern w:val="44"/>
          <w:sz w:val="24"/>
          <w:szCs w:val="24"/>
        </w:rPr>
        <w:t>25</w:t>
      </w:r>
      <w:r>
        <w:rPr>
          <w:rFonts w:ascii="宋体" w:hAnsi="宋体" w:eastAsia="宋体" w:cs="汉仪大宋简"/>
          <w:b/>
          <w:bCs/>
          <w:kern w:val="44"/>
          <w:sz w:val="24"/>
          <w:szCs w:val="24"/>
        </w:rPr>
        <w:t>:00）</w:t>
      </w:r>
    </w:p>
    <w:p w14:paraId="26779E50">
      <w:pPr>
        <w:spacing w:line="300" w:lineRule="exact"/>
        <w:ind w:firstLine="420" w:firstLineChars="0"/>
        <w:jc w:val="left"/>
        <w:rPr>
          <w:rFonts w:hint="eastAsia" w:ascii="宋体" w:hAnsi="宋体" w:eastAsia="宋体" w:cs="汉仪大宋简"/>
          <w:bCs/>
          <w:szCs w:val="21"/>
        </w:rPr>
      </w:pPr>
      <w:r>
        <w:rPr>
          <w:rFonts w:hint="eastAsia" w:ascii="宋体" w:hAnsi="宋体" w:eastAsia="宋体" w:cs="汉仪大宋简"/>
          <w:bCs/>
          <w:szCs w:val="21"/>
        </w:rPr>
        <w:t>一、辩护人</w:t>
      </w:r>
      <w:r>
        <w:rPr>
          <w:rFonts w:ascii="宋体" w:hAnsi="宋体" w:eastAsia="宋体" w:cs="汉仪大宋简"/>
          <w:bCs/>
          <w:szCs w:val="21"/>
        </w:rPr>
        <w:t>及其权利义务</w:t>
      </w:r>
    </w:p>
    <w:p w14:paraId="06E96E59">
      <w:pPr>
        <w:spacing w:line="300" w:lineRule="exact"/>
        <w:ind w:firstLine="273" w:firstLineChars="130"/>
        <w:rPr>
          <w:rFonts w:hint="eastAsia" w:ascii="宋体" w:hAnsi="宋体" w:eastAsia="宋体" w:cs="汉仪大宋简"/>
          <w:bCs/>
          <w:szCs w:val="21"/>
        </w:rPr>
      </w:pPr>
      <w:r>
        <w:rPr>
          <w:rFonts w:hint="eastAsia" w:ascii="宋体" w:hAnsi="宋体" w:eastAsia="宋体" w:cs="汉仪大宋简"/>
          <w:bCs/>
          <w:szCs w:val="21"/>
        </w:rPr>
        <w:t>（一）范围</w:t>
      </w:r>
    </w:p>
    <w:p w14:paraId="443AEF19">
      <w:pPr>
        <w:spacing w:line="300" w:lineRule="exact"/>
        <w:ind w:firstLine="420" w:firstLineChars="200"/>
        <w:rPr>
          <w:rFonts w:hint="eastAsia" w:ascii="宋体" w:hAnsi="宋体" w:eastAsia="宋体"/>
          <w:szCs w:val="21"/>
        </w:rPr>
      </w:pPr>
      <w:r>
        <w:rPr>
          <w:rFonts w:hint="eastAsia" w:ascii="宋体" w:hAnsi="宋体" w:eastAsia="宋体" w:cs="仿宋_GB2312"/>
          <w:szCs w:val="21"/>
        </w:rPr>
        <w:t>可以担任辩护人：</w:t>
      </w:r>
      <w:r>
        <w:rPr>
          <w:rFonts w:hint="eastAsia" w:ascii="宋体" w:hAnsi="宋体" w:eastAsia="宋体"/>
          <w:szCs w:val="21"/>
        </w:rPr>
        <w:t>律师；人民团体或者犯罪嫌疑人、被告人所在单位推荐的人；监护人、亲友。</w:t>
      </w:r>
    </w:p>
    <w:p w14:paraId="23F376B6">
      <w:pPr>
        <w:spacing w:line="300" w:lineRule="exact"/>
        <w:ind w:firstLine="420" w:firstLineChars="200"/>
        <w:rPr>
          <w:rFonts w:hint="eastAsia" w:ascii="宋体" w:hAnsi="宋体" w:eastAsia="宋体" w:cs="仿宋_GB2312"/>
          <w:szCs w:val="21"/>
        </w:rPr>
      </w:pPr>
      <w:r>
        <w:rPr>
          <w:rFonts w:hint="eastAsia" w:ascii="宋体" w:hAnsi="宋体" w:eastAsia="宋体" w:cs="仿宋_GB2312"/>
          <w:szCs w:val="21"/>
        </w:rPr>
        <w:t>禁止担任辩护人：</w:t>
      </w:r>
    </w:p>
    <w:p w14:paraId="4E1DFBC8">
      <w:pPr>
        <w:spacing w:line="300" w:lineRule="exact"/>
        <w:ind w:firstLine="420" w:firstLineChars="200"/>
        <w:rPr>
          <w:rFonts w:hint="eastAsia" w:ascii="宋体" w:hAnsi="宋体" w:eastAsia="宋体" w:cs="仿宋_GB2312"/>
          <w:color w:val="EE0000"/>
          <w:szCs w:val="21"/>
        </w:rPr>
      </w:pPr>
      <w:bookmarkStart w:id="3" w:name="_Toc128736256"/>
      <w:r>
        <w:rPr>
          <w:rFonts w:hint="eastAsia" w:ascii="宋体" w:hAnsi="宋体" w:eastAsia="宋体" w:cs="仿宋_GB2312"/>
          <w:color w:val="EE0000"/>
          <w:szCs w:val="21"/>
        </w:rPr>
        <w:t>1．绝对禁止：</w:t>
      </w:r>
      <w:bookmarkEnd w:id="3"/>
    </w:p>
    <w:p w14:paraId="6F51156C">
      <w:pPr>
        <w:spacing w:line="300" w:lineRule="exact"/>
        <w:ind w:firstLine="420" w:firstLineChars="200"/>
        <w:rPr>
          <w:rFonts w:hint="eastAsia" w:ascii="宋体" w:hAnsi="宋体" w:eastAsia="宋体"/>
          <w:szCs w:val="21"/>
        </w:rPr>
      </w:pPr>
      <w:r>
        <w:rPr>
          <w:rFonts w:hint="eastAsia" w:ascii="宋体" w:hAnsi="宋体" w:eastAsia="宋体"/>
          <w:szCs w:val="21"/>
        </w:rPr>
        <w:t>（1）正在被执行刑罚或者依法被剥夺、限制人身自由的人(含处于缓刑、假释考验期间的人)；</w:t>
      </w:r>
    </w:p>
    <w:p w14:paraId="14AFD469">
      <w:pPr>
        <w:spacing w:line="300" w:lineRule="exact"/>
        <w:ind w:firstLine="420" w:firstLineChars="200"/>
        <w:rPr>
          <w:rFonts w:hint="eastAsia" w:ascii="宋体" w:hAnsi="宋体" w:eastAsia="宋体"/>
          <w:szCs w:val="21"/>
        </w:rPr>
      </w:pPr>
      <w:r>
        <w:rPr>
          <w:rFonts w:hint="eastAsia" w:ascii="宋体" w:hAnsi="宋体" w:eastAsia="宋体"/>
          <w:szCs w:val="21"/>
        </w:rPr>
        <w:t>（2）无行为能力或限制行为能力人。</w:t>
      </w:r>
    </w:p>
    <w:p w14:paraId="38748381">
      <w:pPr>
        <w:spacing w:line="300" w:lineRule="exact"/>
        <w:ind w:firstLine="420" w:firstLineChars="200"/>
        <w:rPr>
          <w:rFonts w:hint="eastAsia" w:ascii="宋体" w:hAnsi="宋体" w:eastAsia="宋体" w:cs="仿宋_GB2312"/>
          <w:szCs w:val="21"/>
        </w:rPr>
      </w:pPr>
      <w:bookmarkStart w:id="4" w:name="_Hlk534880632"/>
      <w:bookmarkStart w:id="5" w:name="_Toc128736257"/>
      <w:r>
        <w:rPr>
          <w:rFonts w:hint="eastAsia" w:ascii="宋体" w:hAnsi="宋体" w:eastAsia="宋体" w:cs="仿宋_GB2312"/>
          <w:szCs w:val="21"/>
        </w:rPr>
        <w:t>2．相对禁止</w:t>
      </w:r>
      <w:bookmarkEnd w:id="4"/>
      <w:r>
        <w:rPr>
          <w:rFonts w:hint="eastAsia" w:ascii="宋体" w:hAnsi="宋体" w:eastAsia="宋体" w:cs="仿宋_GB2312"/>
          <w:szCs w:val="21"/>
        </w:rPr>
        <w:t>：</w:t>
      </w:r>
      <w:bookmarkEnd w:id="5"/>
    </w:p>
    <w:p w14:paraId="68E5D104">
      <w:pPr>
        <w:spacing w:line="300" w:lineRule="exact"/>
        <w:ind w:firstLine="420" w:firstLineChars="200"/>
        <w:rPr>
          <w:rFonts w:hint="eastAsia" w:ascii="宋体" w:hAnsi="宋体" w:eastAsia="宋体"/>
          <w:szCs w:val="21"/>
        </w:rPr>
      </w:pPr>
      <w:r>
        <w:rPr>
          <w:rFonts w:hint="eastAsia" w:ascii="宋体" w:hAnsi="宋体" w:eastAsia="宋体"/>
          <w:szCs w:val="21"/>
        </w:rPr>
        <w:t>（1）人民法院、人民检察院、监察机关、公安机关、国家安全机关、监狱的现职人员；</w:t>
      </w:r>
    </w:p>
    <w:p w14:paraId="53906889">
      <w:pPr>
        <w:spacing w:line="300" w:lineRule="exact"/>
        <w:ind w:firstLine="420" w:firstLineChars="200"/>
        <w:rPr>
          <w:rFonts w:hint="eastAsia" w:ascii="宋体" w:hAnsi="宋体" w:eastAsia="宋体"/>
          <w:szCs w:val="21"/>
        </w:rPr>
      </w:pPr>
      <w:r>
        <w:rPr>
          <w:rFonts w:hint="eastAsia" w:ascii="宋体" w:hAnsi="宋体" w:eastAsia="宋体"/>
          <w:szCs w:val="21"/>
        </w:rPr>
        <w:t>（2）人民陪审员；</w:t>
      </w:r>
    </w:p>
    <w:p w14:paraId="660720B1">
      <w:pPr>
        <w:spacing w:line="300" w:lineRule="exact"/>
        <w:ind w:firstLine="420" w:firstLineChars="200"/>
        <w:rPr>
          <w:rFonts w:hint="eastAsia" w:ascii="宋体" w:hAnsi="宋体" w:eastAsia="宋体"/>
          <w:szCs w:val="21"/>
        </w:rPr>
      </w:pPr>
      <w:r>
        <w:rPr>
          <w:rFonts w:hint="eastAsia" w:ascii="宋体" w:hAnsi="宋体" w:eastAsia="宋体"/>
          <w:szCs w:val="21"/>
        </w:rPr>
        <w:t>（3）与本案审理结果有利害关系的人；</w:t>
      </w:r>
    </w:p>
    <w:p w14:paraId="3A7E06BC">
      <w:pPr>
        <w:spacing w:line="300" w:lineRule="exact"/>
        <w:ind w:firstLine="420" w:firstLineChars="200"/>
        <w:rPr>
          <w:rFonts w:hint="eastAsia" w:ascii="宋体" w:hAnsi="宋体" w:eastAsia="宋体"/>
          <w:szCs w:val="21"/>
        </w:rPr>
      </w:pPr>
      <w:r>
        <w:rPr>
          <w:rFonts w:hint="eastAsia" w:ascii="宋体" w:hAnsi="宋体" w:eastAsia="宋体"/>
          <w:szCs w:val="21"/>
        </w:rPr>
        <w:t>（4）外国人或者无国籍人；</w:t>
      </w:r>
    </w:p>
    <w:p w14:paraId="0FD52B5F">
      <w:pPr>
        <w:spacing w:line="300" w:lineRule="exact"/>
        <w:ind w:firstLine="420" w:firstLineChars="200"/>
        <w:rPr>
          <w:rFonts w:hint="eastAsia" w:ascii="宋体" w:hAnsi="宋体" w:eastAsia="宋体"/>
          <w:szCs w:val="21"/>
        </w:rPr>
      </w:pPr>
      <w:r>
        <w:rPr>
          <w:rFonts w:hint="eastAsia" w:ascii="宋体" w:hAnsi="宋体" w:eastAsia="宋体"/>
          <w:szCs w:val="21"/>
        </w:rPr>
        <w:t>（5）被开除公职和被吊销律师、公证员执业证书的人；</w:t>
      </w:r>
    </w:p>
    <w:p w14:paraId="7FEDA384">
      <w:pPr>
        <w:spacing w:line="300" w:lineRule="exact"/>
        <w:ind w:firstLine="420" w:firstLineChars="200"/>
        <w:rPr>
          <w:rFonts w:hint="eastAsia" w:ascii="宋体" w:hAnsi="宋体" w:eastAsia="宋体"/>
          <w:szCs w:val="21"/>
        </w:rPr>
      </w:pPr>
      <w:bookmarkStart w:id="6" w:name="_Toc128736258"/>
      <w:r>
        <w:rPr>
          <w:rFonts w:hint="eastAsia" w:ascii="宋体" w:hAnsi="宋体" w:eastAsia="宋体"/>
          <w:szCs w:val="21"/>
        </w:rPr>
        <w:t>上述人员如果是被告人的监护人、近亲属，由被告人委托担任辩护人的，可以准许。</w:t>
      </w:r>
      <w:bookmarkEnd w:id="6"/>
    </w:p>
    <w:p w14:paraId="510AF08F">
      <w:pPr>
        <w:spacing w:line="300" w:lineRule="exact"/>
        <w:ind w:firstLine="273" w:firstLineChars="130"/>
        <w:rPr>
          <w:rFonts w:hint="eastAsia" w:ascii="宋体" w:hAnsi="宋体" w:eastAsia="宋体" w:cs="汉仪大宋简"/>
          <w:bCs/>
          <w:szCs w:val="21"/>
        </w:rPr>
      </w:pPr>
      <w:bookmarkStart w:id="7" w:name="_Toc128736260"/>
      <w:bookmarkStart w:id="8" w:name="_Hlk535154296"/>
      <w:r>
        <w:rPr>
          <w:rFonts w:hint="eastAsia" w:ascii="宋体" w:hAnsi="宋体" w:eastAsia="宋体" w:cs="汉仪大宋简"/>
          <w:bCs/>
          <w:szCs w:val="21"/>
        </w:rPr>
        <w:t>（二）人数</w:t>
      </w:r>
      <w:bookmarkEnd w:id="7"/>
    </w:p>
    <w:bookmarkEnd w:id="8"/>
    <w:p w14:paraId="2BBB861A">
      <w:pPr>
        <w:spacing w:line="300" w:lineRule="exact"/>
        <w:ind w:firstLine="420" w:firstLineChars="200"/>
        <w:rPr>
          <w:rFonts w:hint="eastAsia" w:ascii="宋体" w:hAnsi="宋体" w:eastAsia="宋体"/>
          <w:szCs w:val="21"/>
        </w:rPr>
      </w:pPr>
      <w:r>
        <w:rPr>
          <w:rFonts w:hint="eastAsia" w:ascii="宋体" w:hAnsi="宋体" w:eastAsia="宋体"/>
          <w:szCs w:val="21"/>
        </w:rPr>
        <w:t>1．一名犯罪嫌疑人、被告人可以同时委托1-2名辩护人；</w:t>
      </w:r>
    </w:p>
    <w:p w14:paraId="1EE86F74">
      <w:pPr>
        <w:spacing w:line="300" w:lineRule="exact"/>
        <w:ind w:firstLine="420" w:firstLineChars="200"/>
        <w:rPr>
          <w:rFonts w:hint="eastAsia" w:ascii="宋体" w:hAnsi="宋体" w:eastAsia="宋体"/>
          <w:szCs w:val="21"/>
        </w:rPr>
      </w:pPr>
      <w:r>
        <w:rPr>
          <w:rFonts w:hint="eastAsia" w:ascii="宋体" w:hAnsi="宋体" w:eastAsia="宋体"/>
          <w:szCs w:val="21"/>
        </w:rPr>
        <w:t>2．一名辩护人不得为两名以上（含2名）的同案犯罪嫌疑人、被告人；或者未同案处理但犯罪事实存在关联的犯罪嫌疑人、被告人辩护。</w:t>
      </w:r>
    </w:p>
    <w:p w14:paraId="4FDA3946">
      <w:pPr>
        <w:spacing w:line="300" w:lineRule="exact"/>
        <w:ind w:firstLine="420" w:firstLineChars="200"/>
        <w:rPr>
          <w:rFonts w:hint="eastAsia" w:ascii="宋体" w:hAnsi="宋体" w:eastAsia="宋体"/>
          <w:szCs w:val="21"/>
        </w:rPr>
      </w:pPr>
      <w:r>
        <w:rPr>
          <w:rFonts w:hint="eastAsia" w:ascii="宋体" w:hAnsi="宋体" w:eastAsia="宋体" w:cs="汉仪大宋简"/>
          <w:bCs/>
          <w:szCs w:val="21"/>
        </w:rPr>
        <w:t>二、应当通知法律援助机构指派律师提供辩护的情形</w:t>
      </w:r>
    </w:p>
    <w:p w14:paraId="01D41018">
      <w:pPr>
        <w:spacing w:line="300" w:lineRule="exact"/>
        <w:ind w:firstLine="420" w:firstLineChars="200"/>
        <w:rPr>
          <w:rFonts w:hint="eastAsia" w:ascii="宋体" w:hAnsi="宋体" w:eastAsia="宋体"/>
          <w:szCs w:val="21"/>
        </w:rPr>
      </w:pPr>
      <w:r>
        <w:rPr>
          <w:rFonts w:hint="eastAsia" w:ascii="宋体" w:hAnsi="宋体" w:eastAsia="宋体"/>
          <w:szCs w:val="21"/>
        </w:rPr>
        <w:t>以下案件，犯罪嫌疑人、被告人未委托辩护人的，公、检、法应通知法律援助机构指派律师提供辩护：</w:t>
      </w:r>
    </w:p>
    <w:p w14:paraId="3F7A1E25">
      <w:pPr>
        <w:spacing w:line="300" w:lineRule="exact"/>
        <w:ind w:firstLine="420" w:firstLineChars="200"/>
        <w:rPr>
          <w:rFonts w:hint="eastAsia" w:ascii="宋体" w:hAnsi="宋体" w:eastAsia="宋体"/>
          <w:szCs w:val="21"/>
        </w:rPr>
      </w:pPr>
      <w:r>
        <w:rPr>
          <w:rFonts w:hint="eastAsia" w:ascii="宋体" w:hAnsi="宋体" w:eastAsia="宋体"/>
          <w:szCs w:val="21"/>
        </w:rPr>
        <w:t>1．盲、聋、哑；</w:t>
      </w:r>
    </w:p>
    <w:p w14:paraId="4AE3387A">
      <w:pPr>
        <w:spacing w:line="300" w:lineRule="exact"/>
        <w:ind w:firstLine="420" w:firstLineChars="200"/>
        <w:rPr>
          <w:rFonts w:hint="eastAsia" w:ascii="宋体" w:hAnsi="宋体" w:eastAsia="宋体"/>
          <w:szCs w:val="21"/>
        </w:rPr>
      </w:pPr>
      <w:r>
        <w:rPr>
          <w:rFonts w:hint="eastAsia" w:ascii="宋体" w:hAnsi="宋体" w:eastAsia="宋体"/>
          <w:szCs w:val="21"/>
        </w:rPr>
        <w:t>2．未完全丧失辨认或者控制能力的精神病人；</w:t>
      </w:r>
    </w:p>
    <w:p w14:paraId="09FA724C">
      <w:pPr>
        <w:spacing w:line="300" w:lineRule="exact"/>
        <w:ind w:firstLine="420" w:firstLineChars="200"/>
        <w:rPr>
          <w:rFonts w:hint="eastAsia" w:ascii="宋体" w:hAnsi="宋体" w:eastAsia="宋体"/>
          <w:szCs w:val="21"/>
        </w:rPr>
      </w:pPr>
      <w:r>
        <w:rPr>
          <w:rFonts w:hint="eastAsia" w:ascii="宋体" w:hAnsi="宋体" w:eastAsia="宋体"/>
          <w:szCs w:val="21"/>
        </w:rPr>
        <w:t>3．可能判处无期徒刑、死刑的；</w:t>
      </w:r>
    </w:p>
    <w:p w14:paraId="67FF7625">
      <w:pPr>
        <w:spacing w:line="300" w:lineRule="exact"/>
        <w:ind w:firstLine="420" w:firstLineChars="200"/>
        <w:rPr>
          <w:rFonts w:hint="eastAsia" w:ascii="宋体" w:hAnsi="宋体" w:eastAsia="宋体"/>
          <w:szCs w:val="21"/>
        </w:rPr>
      </w:pPr>
      <w:r>
        <w:rPr>
          <w:rFonts w:hint="eastAsia" w:ascii="宋体" w:hAnsi="宋体" w:eastAsia="宋体"/>
          <w:szCs w:val="21"/>
        </w:rPr>
        <w:t>4．未成年人；</w:t>
      </w:r>
    </w:p>
    <w:p w14:paraId="4E644D8C">
      <w:pPr>
        <w:spacing w:line="300" w:lineRule="exact"/>
        <w:ind w:firstLine="420" w:firstLineChars="200"/>
        <w:rPr>
          <w:rFonts w:hint="eastAsia" w:ascii="宋体" w:hAnsi="宋体" w:eastAsia="宋体"/>
          <w:szCs w:val="21"/>
        </w:rPr>
      </w:pPr>
      <w:r>
        <w:rPr>
          <w:rFonts w:hint="eastAsia" w:ascii="宋体" w:hAnsi="宋体" w:eastAsia="宋体"/>
          <w:szCs w:val="21"/>
        </w:rPr>
        <w:t>5．高级人民法院复核死刑案件，被告人没有委托辩护人的，应当通知法律援助机构指派律师为其辩护；</w:t>
      </w:r>
    </w:p>
    <w:p w14:paraId="06A0336E">
      <w:pPr>
        <w:spacing w:line="300" w:lineRule="exact"/>
        <w:ind w:firstLine="420" w:firstLineChars="200"/>
        <w:rPr>
          <w:rFonts w:hint="eastAsia" w:ascii="宋体" w:hAnsi="宋体" w:eastAsia="宋体"/>
          <w:szCs w:val="21"/>
        </w:rPr>
      </w:pPr>
      <w:r>
        <w:rPr>
          <w:rFonts w:hint="eastAsia" w:ascii="宋体" w:hAnsi="宋体" w:eastAsia="宋体"/>
          <w:szCs w:val="21"/>
        </w:rPr>
        <w:t>6．最高人民法院复核死刑案件，被告人申请法律援助的，</w:t>
      </w:r>
      <w:r>
        <w:rPr>
          <w:rFonts w:hint="eastAsia" w:ascii="宋体" w:hAnsi="宋体" w:eastAsia="宋体"/>
          <w:color w:val="EE0000"/>
          <w:szCs w:val="21"/>
        </w:rPr>
        <w:t>应当通知司法部法律援助中心指派律师为其提供辩护</w:t>
      </w:r>
      <w:r>
        <w:rPr>
          <w:rFonts w:hint="eastAsia" w:ascii="宋体" w:hAnsi="宋体" w:eastAsia="宋体"/>
          <w:szCs w:val="21"/>
        </w:rPr>
        <w:t>。司法部法律援助中心在接到最高人民法院法律援助通知书后，应当在三日内指派具有三年以上刑事辩护执业经历的律师担任被告人的辩护律师，并函告最高人民法院。</w:t>
      </w:r>
    </w:p>
    <w:p w14:paraId="4AE1B7EF">
      <w:pPr>
        <w:spacing w:line="300" w:lineRule="exact"/>
        <w:ind w:firstLine="420" w:firstLineChars="200"/>
        <w:rPr>
          <w:rFonts w:ascii="宋体" w:hAnsi="宋体" w:eastAsia="宋体"/>
          <w:szCs w:val="21"/>
        </w:rPr>
      </w:pPr>
      <w:r>
        <w:rPr>
          <w:rFonts w:hint="eastAsia" w:ascii="宋体" w:hAnsi="宋体" w:eastAsia="宋体"/>
          <w:szCs w:val="21"/>
        </w:rPr>
        <w:t>7.</w:t>
      </w:r>
      <w:r>
        <w:rPr>
          <w:rFonts w:hint="eastAsia"/>
        </w:rPr>
        <w:t xml:space="preserve"> </w:t>
      </w:r>
      <w:r>
        <w:rPr>
          <w:rFonts w:ascii="宋体" w:hAnsi="宋体" w:eastAsia="宋体"/>
          <w:szCs w:val="21"/>
        </w:rPr>
        <w:t>缺席审判程序中，被告人及其近亲属没有委托辩护人的。</w:t>
      </w:r>
    </w:p>
    <w:p w14:paraId="10CBFD4F">
      <w:pPr>
        <w:spacing w:line="300" w:lineRule="exact"/>
        <w:ind w:firstLine="420" w:firstLineChars="200"/>
        <w:rPr>
          <w:rFonts w:hint="eastAsia" w:ascii="宋体" w:hAnsi="宋体" w:eastAsia="宋体"/>
          <w:color w:val="EE0000"/>
          <w:szCs w:val="21"/>
        </w:rPr>
      </w:pPr>
      <w:r>
        <w:rPr>
          <w:rFonts w:ascii="宋体" w:hAnsi="宋体" w:eastAsia="宋体"/>
          <w:color w:val="EE0000"/>
          <w:szCs w:val="21"/>
        </w:rPr>
        <w:t>8．被告人申请排除非法证据，但没有辩护人的。</w:t>
      </w:r>
    </w:p>
    <w:p w14:paraId="50DE34F6">
      <w:pPr>
        <w:spacing w:line="300" w:lineRule="exact"/>
        <w:ind w:firstLine="420" w:firstLineChars="200"/>
        <w:rPr>
          <w:rFonts w:hint="eastAsia" w:ascii="宋体" w:hAnsi="宋体" w:eastAsia="宋体"/>
          <w:color w:val="FF0000"/>
          <w:szCs w:val="21"/>
        </w:rPr>
      </w:pPr>
      <w:r>
        <w:rPr>
          <w:rFonts w:hint="eastAsia" w:ascii="宋体" w:hAnsi="宋体" w:eastAsia="宋体"/>
          <w:color w:val="FF0000"/>
          <w:szCs w:val="21"/>
        </w:rPr>
        <w:t>注意：</w:t>
      </w:r>
      <w:r>
        <w:rPr>
          <w:rFonts w:hint="eastAsia" w:ascii="宋体" w:hAnsi="宋体" w:eastAsia="宋体"/>
          <w:szCs w:val="21"/>
        </w:rPr>
        <w:t>1．对法律援助机构指派律师为被告人提供辩护，被告人的监护人、近亲属又代为委托辩护人的，应当听取被告人的意见，由其确定辩护人人选。2．对可能被判处无期徒刑、死刑的人，以及死刑复核案件的被告人，法律援助机构收到人民法院、人民检察院、公安机关通知后，应当指派具有三年以上相关执业经历的律师担任辩护人。</w:t>
      </w:r>
    </w:p>
    <w:p w14:paraId="153C4E23">
      <w:pPr>
        <w:spacing w:line="300" w:lineRule="exact"/>
        <w:ind w:firstLine="420" w:firstLineChars="200"/>
        <w:rPr>
          <w:rFonts w:hint="eastAsia" w:ascii="宋体" w:hAnsi="宋体" w:eastAsia="宋体"/>
          <w:color w:val="FF0000"/>
          <w:szCs w:val="21"/>
        </w:rPr>
      </w:pPr>
      <w:r>
        <w:rPr>
          <w:rFonts w:hint="eastAsia" w:ascii="宋体" w:hAnsi="宋体" w:eastAsia="宋体" w:cs="汉仪大宋简"/>
          <w:bCs/>
          <w:szCs w:val="21"/>
        </w:rPr>
        <w:t>三、值班律师的职责</w:t>
      </w:r>
    </w:p>
    <w:p w14:paraId="458E50CF">
      <w:pPr>
        <w:spacing w:line="300" w:lineRule="exact"/>
        <w:ind w:firstLine="420" w:firstLineChars="200"/>
        <w:rPr>
          <w:rFonts w:hint="eastAsia" w:ascii="宋体" w:hAnsi="宋体" w:eastAsia="宋体"/>
          <w:szCs w:val="21"/>
        </w:rPr>
      </w:pPr>
      <w:r>
        <w:rPr>
          <w:rFonts w:ascii="宋体" w:hAnsi="宋体" w:eastAsia="宋体"/>
          <w:szCs w:val="21"/>
        </w:rPr>
        <w:t>犯罪嫌疑人、被告人没有委托辩护人，法律援助机构没有指派律师为其提供辩护的，由值班律师为犯罪嫌疑人、被告人提供法律咨询、程序选择建议、申请变更强制措施、对案件处理提出意见等法律帮助。</w:t>
      </w:r>
    </w:p>
    <w:p w14:paraId="7FBEE299">
      <w:pPr>
        <w:spacing w:line="300" w:lineRule="exact"/>
        <w:ind w:firstLine="420" w:firstLineChars="200"/>
        <w:rPr>
          <w:rFonts w:hint="eastAsia" w:ascii="宋体" w:hAnsi="宋体" w:eastAsia="宋体"/>
          <w:szCs w:val="21"/>
        </w:rPr>
      </w:pPr>
      <w:bookmarkStart w:id="9" w:name="_Toc128736283"/>
      <w:r>
        <w:rPr>
          <w:rFonts w:hint="eastAsia" w:ascii="宋体" w:hAnsi="宋体" w:eastAsia="宋体"/>
          <w:szCs w:val="21"/>
        </w:rPr>
        <w:t>值班律师可以会见犯罪嫌疑人、被告人，看守所应当为值班律师会见提供便利。</w:t>
      </w:r>
      <w:bookmarkEnd w:id="9"/>
    </w:p>
    <w:p w14:paraId="5907F9C6">
      <w:pPr>
        <w:spacing w:line="300" w:lineRule="exact"/>
        <w:ind w:firstLine="420" w:firstLineChars="200"/>
        <w:rPr>
          <w:rFonts w:hint="eastAsia" w:ascii="宋体" w:hAnsi="宋体" w:eastAsia="宋体"/>
          <w:szCs w:val="21"/>
        </w:rPr>
      </w:pPr>
      <w:r>
        <w:rPr>
          <w:rFonts w:hint="eastAsia" w:ascii="宋体" w:hAnsi="宋体" w:eastAsia="宋体"/>
          <w:szCs w:val="21"/>
        </w:rPr>
        <w:t>自人民检察院对案件审查起诉之日起，值班律师可以查阅案卷材料、了解案情。人民法院、人民检察院应当为值班律师查阅案卷材料提供便利。</w:t>
      </w:r>
    </w:p>
    <w:p w14:paraId="7E49AAF6">
      <w:pPr>
        <w:spacing w:line="300" w:lineRule="exact"/>
        <w:ind w:firstLine="420" w:firstLineChars="200"/>
        <w:rPr>
          <w:rFonts w:hint="eastAsia" w:ascii="宋体" w:hAnsi="宋体" w:eastAsia="宋体"/>
          <w:szCs w:val="21"/>
        </w:rPr>
      </w:pPr>
      <w:r>
        <w:rPr>
          <w:rFonts w:hint="eastAsia" w:ascii="宋体" w:hAnsi="宋体" w:eastAsia="宋体"/>
          <w:szCs w:val="21"/>
        </w:rPr>
        <w:t>犯罪嫌疑人签署认罪认罚具结书时，值班律师对犯罪嫌疑人认罪认罚自愿性、人民检察院量刑建议、程序适用等均无异议的，应当在具结书上签名，同时留存一份复印件归档。</w:t>
      </w:r>
      <w:r>
        <w:rPr>
          <w:rFonts w:hint="eastAsia" w:ascii="宋体" w:hAnsi="宋体" w:eastAsia="宋体"/>
          <w:color w:val="FF0000"/>
          <w:szCs w:val="21"/>
        </w:rPr>
        <w:t>值班律师对人民检察院量刑建议、程序适用有异议的，在确认犯罪嫌疑人系自愿认罪认罚后，应当在具结书上签字，同时可以向人民检察院提出法律意见。犯罪嫌疑人拒绝值班律师帮助的，值班律师无需在具结书上签字</w:t>
      </w:r>
      <w:r>
        <w:rPr>
          <w:rFonts w:hint="eastAsia" w:ascii="宋体" w:hAnsi="宋体" w:eastAsia="宋体"/>
          <w:szCs w:val="21"/>
        </w:rPr>
        <w:t>，应当将犯罪嫌疑人签字拒绝法律帮助的书面材料留存一份归档。</w:t>
      </w:r>
    </w:p>
    <w:p w14:paraId="6A038C0D">
      <w:pPr>
        <w:pStyle w:val="2"/>
        <w:spacing w:before="0" w:after="0" w:line="300" w:lineRule="exact"/>
        <w:ind w:firstLine="420" w:firstLineChars="200"/>
        <w:jc w:val="center"/>
        <w:rPr>
          <w:rFonts w:hint="eastAsia" w:ascii="宋体" w:hAnsi="宋体" w:cs="汉仪大宋简"/>
          <w:sz w:val="21"/>
          <w:szCs w:val="21"/>
        </w:rPr>
      </w:pPr>
      <w:bookmarkStart w:id="10" w:name="_Toc4844107"/>
      <w:bookmarkStart w:id="11" w:name="_Toc137116756"/>
      <w:bookmarkStart w:id="12" w:name="_Toc26205"/>
      <w:bookmarkStart w:id="13" w:name="_Toc18503"/>
      <w:bookmarkStart w:id="14" w:name="_Toc137116757"/>
      <w:r>
        <w:rPr>
          <w:rFonts w:hint="eastAsia" w:ascii="宋体" w:hAnsi="宋体" w:cs="汉仪大宋简"/>
          <w:sz w:val="21"/>
          <w:szCs w:val="21"/>
        </w:rPr>
        <w:t>专题三</w:t>
      </w:r>
      <w:r>
        <w:rPr>
          <w:rFonts w:ascii="宋体" w:hAnsi="宋体" w:cs="汉仪大宋简"/>
          <w:sz w:val="21"/>
          <w:szCs w:val="21"/>
        </w:rPr>
        <w:t xml:space="preserve">  </w:t>
      </w:r>
      <w:bookmarkStart w:id="15" w:name="_Hlk174048548"/>
      <w:r>
        <w:rPr>
          <w:rFonts w:hint="eastAsia" w:ascii="宋体" w:hAnsi="宋体" w:cs="汉仪大宋简"/>
          <w:sz w:val="21"/>
          <w:szCs w:val="21"/>
        </w:rPr>
        <w:t>刑事证据的</w:t>
      </w:r>
      <w:bookmarkEnd w:id="10"/>
      <w:r>
        <w:rPr>
          <w:rFonts w:hint="eastAsia" w:ascii="宋体" w:hAnsi="宋体" w:cs="汉仪大宋简"/>
          <w:sz w:val="21"/>
          <w:szCs w:val="21"/>
        </w:rPr>
        <w:t>审查与判断</w:t>
      </w:r>
      <w:bookmarkEnd w:id="11"/>
      <w:bookmarkEnd w:id="12"/>
      <w:bookmarkEnd w:id="15"/>
      <w:r>
        <w:rPr>
          <w:rFonts w:hint="eastAsia" w:ascii="宋体" w:hAnsi="宋体" w:cs="汉仪大宋简"/>
          <w:sz w:val="21"/>
          <w:szCs w:val="21"/>
        </w:rPr>
        <w:t>（</w:t>
      </w:r>
      <w:r>
        <w:rPr>
          <w:rFonts w:hint="eastAsia" w:ascii="宋体" w:hAnsi="宋体" w:cs="汉仪大宋简"/>
          <w:sz w:val="21"/>
          <w:szCs w:val="21"/>
          <w:lang w:val="en-US" w:eastAsia="zh-CN"/>
        </w:rPr>
        <w:t>21</w:t>
      </w:r>
      <w:r>
        <w:rPr>
          <w:rFonts w:ascii="宋体" w:hAnsi="宋体" w:cs="汉仪大宋简"/>
          <w:sz w:val="21"/>
          <w:szCs w:val="21"/>
        </w:rPr>
        <w:t>:</w:t>
      </w:r>
      <w:r>
        <w:rPr>
          <w:rFonts w:hint="eastAsia" w:ascii="宋体" w:hAnsi="宋体" w:cs="汉仪大宋简"/>
          <w:sz w:val="21"/>
          <w:szCs w:val="21"/>
          <w:lang w:val="en-US" w:eastAsia="zh-CN"/>
        </w:rPr>
        <w:t>36:</w:t>
      </w:r>
      <w:r>
        <w:rPr>
          <w:rFonts w:ascii="宋体" w:hAnsi="宋体" w:cs="汉仪大宋简"/>
          <w:sz w:val="21"/>
          <w:szCs w:val="21"/>
        </w:rPr>
        <w:t>00-</w:t>
      </w:r>
      <w:r>
        <w:rPr>
          <w:rFonts w:hint="eastAsia" w:ascii="宋体" w:hAnsi="宋体" w:cs="汉仪大宋简"/>
          <w:sz w:val="21"/>
          <w:szCs w:val="21"/>
        </w:rPr>
        <w:t>22</w:t>
      </w:r>
      <w:r>
        <w:rPr>
          <w:rFonts w:ascii="宋体" w:hAnsi="宋体" w:cs="汉仪大宋简"/>
          <w:sz w:val="21"/>
          <w:szCs w:val="21"/>
        </w:rPr>
        <w:t>:3</w:t>
      </w:r>
      <w:r>
        <w:rPr>
          <w:rFonts w:hint="eastAsia" w:ascii="宋体" w:hAnsi="宋体" w:cs="汉仪大宋简"/>
          <w:sz w:val="21"/>
          <w:szCs w:val="21"/>
        </w:rPr>
        <w:t>2</w:t>
      </w:r>
      <w:r>
        <w:rPr>
          <w:rFonts w:ascii="宋体" w:hAnsi="宋体" w:cs="汉仪大宋简"/>
          <w:sz w:val="21"/>
          <w:szCs w:val="21"/>
        </w:rPr>
        <w:t>:00）</w:t>
      </w:r>
    </w:p>
    <w:p w14:paraId="2520B1A1">
      <w:pPr>
        <w:spacing w:line="300" w:lineRule="exact"/>
        <w:ind w:firstLine="420" w:firstLineChars="200"/>
        <w:jc w:val="left"/>
        <w:rPr>
          <w:rFonts w:cs="汉仪大宋简"/>
          <w:bCs/>
        </w:rPr>
      </w:pPr>
      <w:bookmarkStart w:id="16" w:name="_Toc510879009"/>
      <w:r>
        <w:rPr>
          <w:rFonts w:hint="eastAsia" w:cs="汉仪大宋简"/>
          <w:bCs/>
        </w:rPr>
        <w:t>一、</w:t>
      </w:r>
      <w:bookmarkEnd w:id="16"/>
      <w:r>
        <w:rPr>
          <w:rFonts w:hint="eastAsia" w:cs="汉仪大宋简"/>
          <w:bCs/>
        </w:rPr>
        <w:t>基本规定</w:t>
      </w:r>
    </w:p>
    <w:p w14:paraId="724B3E55">
      <w:pPr>
        <w:spacing w:line="300" w:lineRule="exact"/>
        <w:ind w:firstLine="420" w:firstLineChars="200"/>
        <w:rPr>
          <w:rFonts w:cs="汉仪大宋简"/>
          <w:bCs/>
        </w:rPr>
      </w:pPr>
      <w:r>
        <w:rPr>
          <w:rFonts w:hint="eastAsia" w:cs="汉仪大宋简"/>
          <w:bCs/>
        </w:rPr>
        <w:t>（一）证据裁判原则</w:t>
      </w:r>
    </w:p>
    <w:p w14:paraId="4BA342B5">
      <w:pPr>
        <w:spacing w:line="300" w:lineRule="exact"/>
        <w:ind w:firstLine="420" w:firstLineChars="200"/>
        <w:rPr>
          <w:rFonts w:cs="仿宋_GB2312"/>
        </w:rPr>
      </w:pPr>
      <w:r>
        <w:rPr>
          <w:rFonts w:cs="仿宋_GB2312"/>
        </w:rPr>
        <w:t>1.</w:t>
      </w:r>
      <w:r>
        <w:rPr>
          <w:rFonts w:hint="eastAsia" w:cs="仿宋_GB2312"/>
          <w:color w:val="FF0000"/>
        </w:rPr>
        <w:t>证据裁判原则</w:t>
      </w:r>
      <w:r>
        <w:rPr>
          <w:rFonts w:hint="eastAsia" w:cs="仿宋_GB2312"/>
        </w:rPr>
        <w:t>：</w:t>
      </w:r>
      <w:r>
        <w:rPr>
          <w:rFonts w:hint="eastAsia" w:cs="仿宋_GB2312"/>
          <w:bCs/>
        </w:rPr>
        <w:t>（1）认定事实须靠证据；（2）认定事实的证据必须具有证据能力；（3）定案的证据必须经查证属实；（4）综合全案证据必须达到证明标准。</w:t>
      </w:r>
    </w:p>
    <w:p w14:paraId="5142EF19">
      <w:pPr>
        <w:spacing w:line="300" w:lineRule="exact"/>
        <w:ind w:firstLine="420" w:firstLineChars="200"/>
        <w:rPr>
          <w:rFonts w:cs="仿宋_GB2312"/>
          <w:bCs/>
          <w:color w:val="FF0000"/>
        </w:rPr>
      </w:pPr>
      <w:r>
        <w:rPr>
          <w:rFonts w:cs="仿宋_GB2312"/>
        </w:rPr>
        <w:t>2.</w:t>
      </w:r>
      <w:r>
        <w:rPr>
          <w:rFonts w:hint="eastAsia" w:cs="仿宋_GB2312"/>
        </w:rPr>
        <w:t>自由心证原则：</w:t>
      </w:r>
      <w:r>
        <w:rPr>
          <w:rFonts w:hint="eastAsia" w:cs="仿宋_GB2312"/>
          <w:bCs/>
        </w:rPr>
        <w:t>对证据的取舍、</w:t>
      </w:r>
      <w:r>
        <w:rPr>
          <w:rFonts w:hint="eastAsia" w:cs="仿宋_GB2312"/>
          <w:bCs/>
          <w:color w:val="FF0000"/>
        </w:rPr>
        <w:t>证明力的大小</w:t>
      </w:r>
      <w:r>
        <w:rPr>
          <w:rFonts w:hint="eastAsia" w:cs="仿宋_GB2312"/>
          <w:bCs/>
        </w:rPr>
        <w:t>以及事实的认定程度，法律不预先规定，由裁判者根据理性、良心形成内心确信。</w:t>
      </w:r>
      <w:r>
        <w:rPr>
          <w:rFonts w:hint="eastAsia" w:cs="仿宋_GB2312"/>
          <w:bCs/>
          <w:color w:val="FF0000"/>
        </w:rPr>
        <w:t>只适用于最终裁判阶段。</w:t>
      </w:r>
      <w:r>
        <w:rPr>
          <w:rFonts w:hint="eastAsia" w:cs="仿宋_GB2312"/>
          <w:bCs/>
          <w:color w:val="B00824"/>
        </w:rPr>
        <w:t>“自由”</w:t>
      </w:r>
      <w:r>
        <w:rPr>
          <w:rFonts w:hint="eastAsia" w:cs="仿宋_GB2312"/>
          <w:bCs/>
        </w:rPr>
        <w:t>不是不受限制，是相对的，要受一系列制度和规则的制约，裁判者应综合考虑证据调查和辩论的全部过程作出判断。</w:t>
      </w:r>
      <w:r>
        <w:rPr>
          <w:rFonts w:hint="eastAsia" w:cs="仿宋_GB2312"/>
          <w:bCs/>
          <w:color w:val="B00824"/>
        </w:rPr>
        <w:t>“内心确信”</w:t>
      </w:r>
      <w:r>
        <w:rPr>
          <w:rFonts w:hint="eastAsia" w:cs="仿宋_GB2312"/>
          <w:bCs/>
        </w:rPr>
        <w:t>强调对事实的认定应达到深信不疑的程度，禁止根据似是而非、尚有疑虑的主观感受判定事实。</w:t>
      </w:r>
    </w:p>
    <w:p w14:paraId="594CDBA7">
      <w:pPr>
        <w:spacing w:line="300" w:lineRule="exact"/>
        <w:ind w:firstLine="420" w:firstLineChars="200"/>
        <w:rPr>
          <w:rFonts w:cs="汉仪大宋简"/>
          <w:bCs/>
        </w:rPr>
      </w:pPr>
      <w:r>
        <w:rPr>
          <w:rFonts w:hint="eastAsia" w:cs="汉仪大宋简"/>
          <w:bCs/>
        </w:rPr>
        <w:t>（二）对行政机关在行政执法和查办案件过程中收集到的部分证据材料的使用：</w:t>
      </w:r>
      <w:r>
        <w:rPr>
          <w:color w:val="B00824"/>
          <w:kern w:val="0"/>
        </w:rPr>
        <w:t>物证、书证、视听资料、电子数据等证据材料，在刑事诉讼中可以作为证据使用</w:t>
      </w:r>
      <w:r>
        <w:rPr>
          <w:rFonts w:hint="eastAsia"/>
          <w:kern w:val="0"/>
        </w:rPr>
        <w:t>。</w:t>
      </w:r>
    </w:p>
    <w:p w14:paraId="74936A56">
      <w:pPr>
        <w:spacing w:line="300" w:lineRule="exact"/>
        <w:ind w:firstLine="420" w:firstLineChars="200"/>
        <w:rPr>
          <w:rFonts w:cs="仿宋_GB2312"/>
          <w:b/>
        </w:rPr>
      </w:pPr>
      <w:r>
        <w:rPr>
          <w:rFonts w:hint="eastAsia" w:cs="仿宋_GB2312"/>
          <w:b/>
        </w:rPr>
        <w:t>当事人陈述、证人证言等言词证据不能直接使用，必须要由侦查人员重新按照刑事诉讼法所规定的程序依法重新询问、制作询问笔录，方能在刑事诉讼中作为证据使用。而对于鉴定意见、勘验、检查笔录原则上应转化，只有特殊情况下才可作为证据使用。</w:t>
      </w:r>
    </w:p>
    <w:p w14:paraId="566348D2">
      <w:pPr>
        <w:spacing w:line="300" w:lineRule="exact"/>
        <w:ind w:firstLine="420" w:firstLineChars="200"/>
        <w:rPr>
          <w:rFonts w:cs="仿宋_GB2312"/>
          <w:b/>
          <w:bCs/>
        </w:rPr>
      </w:pPr>
      <w:r>
        <w:rPr>
          <w:rFonts w:hint="eastAsia" w:cs="汉仪大宋简"/>
          <w:bCs/>
        </w:rPr>
        <w:t>（三）对监察机关在调查过程中收集到的证据材料的使用</w:t>
      </w:r>
      <w:r>
        <w:rPr>
          <w:rFonts w:hint="eastAsia" w:cs="仿宋_GB2312"/>
          <w:b/>
          <w:bCs/>
        </w:rPr>
        <w:t>：</w:t>
      </w:r>
      <w:r>
        <w:rPr>
          <w:rFonts w:hint="eastAsia" w:cs="仿宋_GB2312"/>
          <w:bCs/>
          <w:color w:val="B00824"/>
        </w:rPr>
        <w:t>不存在转换的问题</w:t>
      </w:r>
    </w:p>
    <w:p w14:paraId="39ED8990">
      <w:pPr>
        <w:spacing w:line="300" w:lineRule="exact"/>
        <w:ind w:firstLine="420" w:firstLineChars="200"/>
        <w:rPr>
          <w:rFonts w:cs="汉仪大宋简"/>
          <w:bCs/>
        </w:rPr>
      </w:pPr>
      <w:r>
        <w:rPr>
          <w:rFonts w:hint="eastAsia" w:cs="汉仪大宋简"/>
          <w:bCs/>
        </w:rPr>
        <w:t>（四）境外收集到的证据材料的使用</w:t>
      </w:r>
    </w:p>
    <w:p w14:paraId="68C33B04">
      <w:pPr>
        <w:spacing w:line="300" w:lineRule="exact"/>
        <w:ind w:firstLine="420" w:firstLineChars="200"/>
        <w:jc w:val="left"/>
        <w:rPr>
          <w:rFonts w:cs="仿宋_GB2312"/>
          <w:bCs/>
        </w:rPr>
      </w:pPr>
      <w:bookmarkStart w:id="17" w:name="_Toc510879010"/>
      <w:r>
        <w:rPr>
          <w:rFonts w:hint="eastAsia" w:cs="仿宋_GB2312"/>
          <w:bCs/>
        </w:rPr>
        <w:t>对于办案机关收集的境外证据材料，无需经过公证、认证程序，只需对来源等作出说明即可；只有当事人等个人提供的境外证据材料才需要经过公证、认证程序。</w:t>
      </w:r>
      <w:bookmarkEnd w:id="17"/>
    </w:p>
    <w:p w14:paraId="24BC0343">
      <w:pPr>
        <w:spacing w:line="300" w:lineRule="exact"/>
        <w:ind w:firstLine="420" w:firstLineChars="200"/>
        <w:jc w:val="left"/>
        <w:rPr>
          <w:rFonts w:cs="汉仪大宋简"/>
          <w:bCs/>
        </w:rPr>
      </w:pPr>
      <w:r>
        <w:rPr>
          <w:rFonts w:hint="eastAsia" w:cs="汉仪大宋简"/>
          <w:bCs/>
        </w:rPr>
        <w:t>二、各类证据的审查与判断</w:t>
      </w:r>
    </w:p>
    <w:p w14:paraId="5BD5F003">
      <w:pPr>
        <w:spacing w:line="300" w:lineRule="exact"/>
        <w:ind w:firstLine="420" w:firstLineChars="200"/>
        <w:rPr>
          <w:rFonts w:cs="汉仪大宋简"/>
          <w:bCs/>
        </w:rPr>
      </w:pPr>
      <w:r>
        <w:rPr>
          <w:rFonts w:hint="eastAsia" w:cs="汉仪大宋简"/>
          <w:bCs/>
        </w:rPr>
        <w:t>（一）物证、书证的审查判断</w:t>
      </w:r>
    </w:p>
    <w:p w14:paraId="396598A7">
      <w:pPr>
        <w:spacing w:line="300" w:lineRule="exact"/>
        <w:ind w:firstLine="420" w:firstLineChars="200"/>
      </w:pPr>
      <w:r>
        <w:rPr>
          <w:rFonts w:hint="eastAsia"/>
        </w:rPr>
        <w:t>不能作为定案的根据（</w:t>
      </w:r>
      <w:r>
        <w:rPr>
          <w:rFonts w:hint="eastAsia"/>
          <w:bCs/>
          <w:color w:val="B00824"/>
        </w:rPr>
        <w:t>根本性缺陷</w:t>
      </w:r>
      <w:r>
        <w:rPr>
          <w:rFonts w:hint="eastAsia"/>
        </w:rPr>
        <w:t>）：复制品等与原物、原件不符；书证有更改或者更改迹象不能作出合理解释；未附笔录或者清单，不能证明物证、书证来源</w:t>
      </w:r>
    </w:p>
    <w:p w14:paraId="099E1849">
      <w:pPr>
        <w:spacing w:line="300" w:lineRule="exact"/>
        <w:ind w:firstLine="420" w:firstLineChars="200"/>
        <w:rPr>
          <w:rFonts w:cs="仿宋_GB2312"/>
          <w:bCs/>
          <w:color w:val="B00824"/>
        </w:rPr>
      </w:pPr>
      <w:r>
        <w:rPr>
          <w:rFonts w:hint="eastAsia"/>
          <w:bCs/>
          <w:color w:val="B00824"/>
        </w:rPr>
        <w:t>非法证据：</w:t>
      </w:r>
      <w:r>
        <w:rPr>
          <w:rFonts w:hint="eastAsia"/>
        </w:rPr>
        <w:t>收集物证、书证不符合法定程序，可能严重影响司法公正，不能补正或者作出合理解释的。</w:t>
      </w:r>
    </w:p>
    <w:p w14:paraId="1116654A">
      <w:pPr>
        <w:spacing w:line="300" w:lineRule="exact"/>
        <w:ind w:firstLine="420" w:firstLineChars="200"/>
        <w:rPr>
          <w:rFonts w:cs="汉仪大宋简"/>
          <w:bCs/>
        </w:rPr>
      </w:pPr>
      <w:r>
        <w:rPr>
          <w:rFonts w:hint="eastAsia" w:cs="汉仪大宋简"/>
          <w:bCs/>
        </w:rPr>
        <w:t>（二）证人证言、被害人陈述的审查判断</w:t>
      </w:r>
    </w:p>
    <w:p w14:paraId="23388746">
      <w:pPr>
        <w:spacing w:line="300" w:lineRule="exact"/>
        <w:ind w:firstLine="420" w:firstLineChars="200"/>
      </w:pPr>
      <w:r>
        <w:rPr>
          <w:rFonts w:hint="eastAsia"/>
          <w:color w:val="FF0000"/>
        </w:rPr>
        <w:t>不能作为定案的根据</w:t>
      </w:r>
      <w:r>
        <w:rPr>
          <w:rFonts w:hint="eastAsia"/>
        </w:rPr>
        <w:t>：（1）生理上、精神上有缺陷或者年幼，不能辨别是非、不能正确表达的人所作的陈述；（2）</w:t>
      </w:r>
      <w:r>
        <w:rPr>
          <w:rFonts w:hint="eastAsia"/>
          <w:spacing w:val="-3"/>
        </w:rPr>
        <w:t>处于明显醉酒、中毒或者麻醉等状态，不能正常感知或者正确表达的证人所提供的证言（3）</w:t>
      </w:r>
      <w:r>
        <w:rPr>
          <w:rFonts w:hint="eastAsia"/>
        </w:rPr>
        <w:t>猜测性、评论性、推断性的证言（根据一般生活经验判断符合事实的除外）（4）经人民法院通知，证人没有正当理由拒绝出庭或者出庭后拒绝作证，法庭对其证言的真实性无法确认的</w:t>
      </w:r>
    </w:p>
    <w:p w14:paraId="4AAA5588">
      <w:pPr>
        <w:spacing w:line="300" w:lineRule="exact"/>
        <w:ind w:firstLine="420" w:firstLineChars="200"/>
      </w:pPr>
      <w:r>
        <w:rPr>
          <w:rFonts w:hint="eastAsia"/>
          <w:color w:val="B00824"/>
        </w:rPr>
        <w:t>非法证据：</w:t>
      </w:r>
      <w:r>
        <w:rPr>
          <w:rFonts w:hint="eastAsia"/>
        </w:rPr>
        <w:t>采用暴力、威胁以及非法限制人身自由等非法方法取证</w:t>
      </w:r>
    </w:p>
    <w:p w14:paraId="03A018BA">
      <w:pPr>
        <w:spacing w:line="300" w:lineRule="exact"/>
        <w:ind w:firstLine="420" w:firstLineChars="200"/>
      </w:pPr>
      <w:r>
        <w:rPr>
          <w:rFonts w:hint="eastAsia"/>
        </w:rPr>
        <w:t>取证方式存在</w:t>
      </w:r>
      <w:r>
        <w:rPr>
          <w:rFonts w:hint="eastAsia"/>
          <w:color w:val="B00824"/>
        </w:rPr>
        <w:t>根本性缺陷：</w:t>
      </w:r>
      <w:r>
        <w:rPr>
          <w:rFonts w:hint="eastAsia"/>
        </w:rPr>
        <w:t>（1）询问证人没有个别进行的（2）书面证言没有经证人核对确认的（3）询问聋、哑人，应当提供通晓聋、哑手势的人员而未提供的（4）询问不通晓当地通用语言、文字的证人，应提供翻译人员而未提供</w:t>
      </w:r>
    </w:p>
    <w:p w14:paraId="2FE154A3">
      <w:pPr>
        <w:spacing w:line="300" w:lineRule="exact"/>
        <w:ind w:firstLine="420" w:firstLineChars="200"/>
      </w:pPr>
      <w:r>
        <w:rPr>
          <w:rFonts w:hint="eastAsia"/>
        </w:rPr>
        <w:t>注意</w:t>
      </w:r>
      <w:r>
        <w:rPr>
          <w:rFonts w:hint="eastAsia"/>
          <w:b/>
          <w:bCs/>
          <w:color w:val="B00824"/>
        </w:rPr>
        <w:t>询问</w:t>
      </w:r>
      <w:r>
        <w:rPr>
          <w:rFonts w:hint="eastAsia"/>
          <w:color w:val="B00824"/>
        </w:rPr>
        <w:t>未成年人，其法定代理人或者合适成年人不在场的</w:t>
      </w:r>
      <w:r>
        <w:rPr>
          <w:rFonts w:hint="eastAsia"/>
        </w:rPr>
        <w:t>可补正或作出合理解释（可以作为定案的根据）。</w:t>
      </w:r>
    </w:p>
    <w:p w14:paraId="7278CC7A">
      <w:pPr>
        <w:spacing w:line="300" w:lineRule="exact"/>
        <w:ind w:firstLine="420" w:firstLineChars="200"/>
      </w:pPr>
      <w:r>
        <w:rPr>
          <w:rFonts w:hint="eastAsia"/>
          <w:color w:val="FF0000"/>
        </w:rPr>
        <w:t>庭审证言与庭前证言矛盾的</w:t>
      </w:r>
      <w:r>
        <w:rPr>
          <w:rFonts w:hint="eastAsia"/>
        </w:rPr>
        <w:t>，出庭证人能够作出合理解释，并有相关证据印证，</w:t>
      </w:r>
      <w:r>
        <w:rPr>
          <w:rFonts w:hint="eastAsia"/>
          <w:color w:val="B00824"/>
        </w:rPr>
        <w:t>应当</w:t>
      </w:r>
      <w:r>
        <w:rPr>
          <w:rFonts w:hint="eastAsia"/>
        </w:rPr>
        <w:t>采信庭审证言；出庭证人不能做出合理解释，而庭前证言有相关证据印证，</w:t>
      </w:r>
      <w:r>
        <w:rPr>
          <w:rFonts w:hint="eastAsia"/>
          <w:color w:val="B00824"/>
        </w:rPr>
        <w:t>可以</w:t>
      </w:r>
      <w:r>
        <w:rPr>
          <w:rFonts w:hint="eastAsia"/>
        </w:rPr>
        <w:t>采信庭前证言。</w:t>
      </w:r>
    </w:p>
    <w:p w14:paraId="1F49474E">
      <w:pPr>
        <w:spacing w:line="300" w:lineRule="exact"/>
        <w:ind w:firstLine="420" w:firstLineChars="200"/>
        <w:rPr>
          <w:rFonts w:cs="汉仪大宋简"/>
          <w:bCs/>
        </w:rPr>
      </w:pPr>
      <w:r>
        <w:rPr>
          <w:rFonts w:hint="eastAsia" w:cs="汉仪大宋简"/>
          <w:bCs/>
        </w:rPr>
        <w:t>（三）犯罪嫌疑人、被告人供述的审查判断</w:t>
      </w:r>
    </w:p>
    <w:p w14:paraId="59412CDD">
      <w:pPr>
        <w:spacing w:line="300" w:lineRule="exact"/>
        <w:ind w:firstLine="420" w:firstLineChars="200"/>
        <w:rPr>
          <w:rFonts w:cs="仿宋_GB2312"/>
          <w:bCs/>
          <w:color w:val="B00824"/>
        </w:rPr>
      </w:pPr>
      <w:r>
        <w:rPr>
          <w:rFonts w:hint="eastAsia"/>
          <w:color w:val="FF0000"/>
        </w:rPr>
        <w:t>根本性缺陷</w:t>
      </w:r>
      <w:r>
        <w:rPr>
          <w:rFonts w:hint="eastAsia"/>
        </w:rPr>
        <w:t>（1）讯问笔录没有经被告人核对确认的（2）讯问聋、哑人，应当提供通晓聋、哑手势的人员而未提供的（3）讯问不通晓当地通用语言、文字的被告人，应提供翻译人员而未提供（4）</w:t>
      </w:r>
      <w:r>
        <w:rPr>
          <w:rFonts w:hint="eastAsia"/>
          <w:color w:val="B00824"/>
        </w:rPr>
        <w:t>讯问未成年人，其法定代理人或者合适成年人不在场的</w:t>
      </w:r>
    </w:p>
    <w:p w14:paraId="3462F699">
      <w:pPr>
        <w:spacing w:line="300" w:lineRule="exact"/>
        <w:ind w:firstLine="408" w:firstLineChars="200"/>
        <w:rPr>
          <w:spacing w:val="-3"/>
        </w:rPr>
      </w:pPr>
      <w:bookmarkStart w:id="18" w:name="_Hlk174129005"/>
      <w:r>
        <w:rPr>
          <w:spacing w:val="-3"/>
        </w:rPr>
        <w:t>审查被告人供述和辩解，应当结合控辩双方提供的所有证据以及被告人的全部供述和辩解</w:t>
      </w:r>
    </w:p>
    <w:bookmarkEnd w:id="18"/>
    <w:p w14:paraId="6B1A2F76">
      <w:pPr>
        <w:spacing w:line="300" w:lineRule="exact"/>
        <w:ind w:firstLine="420" w:firstLineChars="200"/>
        <w:rPr>
          <w:rFonts w:cs="汉仪大宋简"/>
          <w:b/>
          <w:color w:val="FF0000"/>
        </w:rPr>
      </w:pPr>
      <w:r>
        <w:rPr>
          <w:rFonts w:hint="eastAsia" w:cs="汉仪大宋简"/>
          <w:b/>
          <w:color w:val="FF0000"/>
        </w:rPr>
        <w:t>注意 即便分案审理，同案犯的口供也属于口供。（与刑诉法第5</w:t>
      </w:r>
      <w:r>
        <w:rPr>
          <w:rFonts w:cs="汉仪大宋简"/>
          <w:b/>
          <w:color w:val="FF0000"/>
        </w:rPr>
        <w:t>5</w:t>
      </w:r>
      <w:r>
        <w:rPr>
          <w:rFonts w:hint="eastAsia" w:cs="汉仪大宋简"/>
          <w:b/>
          <w:color w:val="FF0000"/>
        </w:rPr>
        <w:t>条联动记忆）</w:t>
      </w:r>
    </w:p>
    <w:p w14:paraId="669BA465">
      <w:pPr>
        <w:spacing w:line="300" w:lineRule="exact"/>
        <w:ind w:firstLine="420" w:firstLineChars="200"/>
        <w:rPr>
          <w:rFonts w:cs="汉仪大宋简"/>
          <w:bCs/>
        </w:rPr>
      </w:pPr>
      <w:r>
        <w:rPr>
          <w:rFonts w:hint="eastAsia" w:cs="汉仪大宋简"/>
          <w:bCs/>
        </w:rPr>
        <w:t>（四）鉴定人意见的审查判断</w:t>
      </w:r>
    </w:p>
    <w:p w14:paraId="7BFEB17F">
      <w:pPr>
        <w:spacing w:line="300" w:lineRule="exact"/>
        <w:ind w:firstLine="420" w:firstLineChars="200"/>
        <w:rPr>
          <w:color w:val="B00824"/>
        </w:rPr>
      </w:pPr>
      <w:r>
        <w:rPr>
          <w:rFonts w:hint="eastAsia"/>
          <w:color w:val="B00824"/>
        </w:rPr>
        <w:t>鉴定意见没有补正或者合理解释的情形</w:t>
      </w:r>
    </w:p>
    <w:p w14:paraId="74EC4A2C">
      <w:pPr>
        <w:spacing w:line="300" w:lineRule="exact"/>
        <w:ind w:firstLine="420" w:firstLineChars="200"/>
      </w:pPr>
      <w:bookmarkStart w:id="19" w:name="_Hlk141470099"/>
      <w:r>
        <w:rPr>
          <w:rFonts w:hint="eastAsia"/>
          <w:color w:val="B00824"/>
        </w:rPr>
        <w:t>专门性问题的报告（典型：价格认定报告）：</w:t>
      </w:r>
      <w:r>
        <w:rPr>
          <w:rFonts w:hint="eastAsia"/>
        </w:rPr>
        <w:t>因无鉴定机构，或者根据法律、司法解释的规定，指派、聘请有专门知识的人就案件的专门性问题出具的报告，</w:t>
      </w:r>
      <w:r>
        <w:rPr>
          <w:rFonts w:hint="eastAsia"/>
          <w:color w:val="B00824"/>
        </w:rPr>
        <w:t>可以作为证据使用</w:t>
      </w:r>
      <w:r>
        <w:rPr>
          <w:rFonts w:hint="eastAsia"/>
        </w:rPr>
        <w:t>。对报告的审查与认定，参照适用鉴定意见的有关规定。经人民法院通知，出具报告的人拒不出庭作证的，有关报告不得作为定案的根据。</w:t>
      </w:r>
    </w:p>
    <w:p w14:paraId="27E66FB3">
      <w:pPr>
        <w:spacing w:line="300" w:lineRule="exact"/>
        <w:ind w:firstLine="420" w:firstLineChars="200"/>
        <w:rPr>
          <w:color w:val="B00824"/>
        </w:rPr>
      </w:pPr>
      <w:r>
        <w:rPr>
          <w:rFonts w:hint="eastAsia"/>
          <w:color w:val="B00824"/>
        </w:rPr>
        <w:t>事故调查报告（典型：火灾事故调查报告）：</w:t>
      </w:r>
      <w:r>
        <w:rPr>
          <w:rFonts w:hint="eastAsia"/>
        </w:rPr>
        <w:t>有关部门对事故进行调查形成的报告，在刑事诉讼中</w:t>
      </w:r>
      <w:r>
        <w:rPr>
          <w:rFonts w:hint="eastAsia"/>
          <w:color w:val="B00824"/>
        </w:rPr>
        <w:t>可以作为证据使用；报告中涉及专门性问题的意见，经法庭查证属实，且调查程序符合法律、有关规定的，可以作为定案的根据</w:t>
      </w:r>
      <w:r>
        <w:rPr>
          <w:rFonts w:hint="eastAsia"/>
        </w:rPr>
        <w:t>。</w:t>
      </w:r>
    </w:p>
    <w:bookmarkEnd w:id="19"/>
    <w:p w14:paraId="4E57E74A">
      <w:pPr>
        <w:spacing w:line="300" w:lineRule="exact"/>
        <w:ind w:firstLine="420" w:firstLineChars="200"/>
        <w:rPr>
          <w:rFonts w:cs="汉仪大宋简"/>
          <w:bCs/>
        </w:rPr>
      </w:pPr>
      <w:r>
        <w:rPr>
          <w:rFonts w:hint="eastAsia" w:cs="汉仪大宋简"/>
          <w:bCs/>
        </w:rPr>
        <w:t>（五）勘验、检查笔录、辨认笔录、侦查实验笔录的审查判断</w:t>
      </w:r>
    </w:p>
    <w:p w14:paraId="1D50E3BE">
      <w:pPr>
        <w:spacing w:line="300" w:lineRule="exact"/>
        <w:ind w:firstLine="420" w:firstLineChars="200"/>
        <w:rPr>
          <w:spacing w:val="-4"/>
        </w:rPr>
      </w:pPr>
      <w:r>
        <w:rPr>
          <w:rFonts w:hint="eastAsia"/>
          <w:color w:val="FF0000"/>
        </w:rPr>
        <w:t>辨认笔录</w:t>
      </w:r>
      <w:r>
        <w:rPr>
          <w:rFonts w:hint="eastAsia"/>
          <w:bCs/>
          <w:color w:val="FF0000"/>
        </w:rPr>
        <w:t>不得作为定案的根据：</w:t>
      </w:r>
      <w:r>
        <w:rPr>
          <w:rFonts w:hint="eastAsia"/>
          <w:bCs/>
        </w:rPr>
        <w:t>（1）</w:t>
      </w:r>
      <w:r>
        <w:rPr>
          <w:rFonts w:hint="eastAsia"/>
        </w:rPr>
        <w:t>辨认不是在调查人员、侦查人员主持下进行的（2）辨认前使辨认人见到辨认对象的（3）辨认活动没有个别进行的（4）辨认对象没有混杂在具有类似特征的其他对象中，或者供辨认的对象数量不符合规定的（5）辨认中给辨认人明显暗示或者明显有指认嫌疑的（6）违反有关规定、不能确定辨认笔录真实性的其他情形</w:t>
      </w:r>
    </w:p>
    <w:p w14:paraId="433DAC0B">
      <w:pPr>
        <w:spacing w:line="300" w:lineRule="exact"/>
        <w:ind w:firstLine="420" w:firstLineChars="200"/>
        <w:rPr>
          <w:spacing w:val="-4"/>
        </w:rPr>
      </w:pPr>
      <w:r>
        <w:rPr>
          <w:rFonts w:hint="eastAsia"/>
          <w:color w:val="B00824"/>
        </w:rPr>
        <w:t>由于客观原因无法由符合条件的人员担任见证人的，应当在笔录材料中注明情况，并对相关活动进行全程录音录像。（可采）</w:t>
      </w:r>
    </w:p>
    <w:bookmarkEnd w:id="13"/>
    <w:bookmarkEnd w:id="14"/>
    <w:p w14:paraId="4515A263">
      <w:pPr>
        <w:spacing w:line="300" w:lineRule="exact"/>
        <w:ind w:firstLine="420" w:firstLineChars="200"/>
        <w:rPr>
          <w:rFonts w:cs="仿宋_GB2312"/>
          <w:bCs/>
        </w:rPr>
      </w:pPr>
      <w:bookmarkStart w:id="20" w:name="_GoBack"/>
      <w:bookmarkEnd w:id="2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大宋简">
    <w:altName w:val="汉仪书宋二KW"/>
    <w:panose1 w:val="00000000000000000000"/>
    <w:charset w:val="86"/>
    <w:family w:val="modern"/>
    <w:pitch w:val="default"/>
    <w:sig w:usb0="00000000" w:usb1="00000000" w:usb2="00000012" w:usb3="00000000" w:csb0="00040000" w:csb1="00000000"/>
  </w:font>
  <w:font w:name="微软雅黑">
    <w:altName w:val="汉仪旗黑"/>
    <w:panose1 w:val="00000000000000000000"/>
    <w:charset w:val="00"/>
    <w:family w:val="auto"/>
    <w:pitch w:val="default"/>
    <w:sig w:usb0="00000000" w:usb1="00000000" w:usb2="00000000" w:usb3="00000000" w:csb0="00000000" w:csb1="00000000"/>
  </w:font>
  <w:font w:name="Courier New">
    <w:panose1 w:val="02070409020205090404"/>
    <w:charset w:val="00"/>
    <w:family w:val="modern"/>
    <w:pitch w:val="default"/>
    <w:sig w:usb0="E0000AFF" w:usb1="40007843" w:usb2="00000001" w:usb3="00000000" w:csb0="400001BF" w:csb1="DFF70000"/>
  </w:font>
  <w:font w:name="ACADEMY ENGRAVED LET PLAIN:1.0">
    <w:panose1 w:val="02000000000000000000"/>
    <w:charset w:val="00"/>
    <w:family w:val="auto"/>
    <w:pitch w:val="default"/>
    <w:sig w:usb0="8000007F" w:usb1="4000000A" w:usb2="00000000" w:usb3="00000000" w:csb0="00000001"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7D4"/>
    <w:rsid w:val="00005E96"/>
    <w:rsid w:val="00014540"/>
    <w:rsid w:val="00015021"/>
    <w:rsid w:val="000159C7"/>
    <w:rsid w:val="00037BF7"/>
    <w:rsid w:val="00050941"/>
    <w:rsid w:val="00054C45"/>
    <w:rsid w:val="00067708"/>
    <w:rsid w:val="00073190"/>
    <w:rsid w:val="00082C69"/>
    <w:rsid w:val="0009282F"/>
    <w:rsid w:val="000A70B7"/>
    <w:rsid w:val="000B0E26"/>
    <w:rsid w:val="000B3654"/>
    <w:rsid w:val="000C40F8"/>
    <w:rsid w:val="000C5539"/>
    <w:rsid w:val="000C58DF"/>
    <w:rsid w:val="000C6284"/>
    <w:rsid w:val="000C6AA4"/>
    <w:rsid w:val="000D2A58"/>
    <w:rsid w:val="000D4AD7"/>
    <w:rsid w:val="000D6C07"/>
    <w:rsid w:val="000E25CC"/>
    <w:rsid w:val="000E29B5"/>
    <w:rsid w:val="000E4D25"/>
    <w:rsid w:val="000F6F07"/>
    <w:rsid w:val="00101202"/>
    <w:rsid w:val="00104E88"/>
    <w:rsid w:val="00106DB1"/>
    <w:rsid w:val="00107500"/>
    <w:rsid w:val="00115179"/>
    <w:rsid w:val="0011528D"/>
    <w:rsid w:val="0011627E"/>
    <w:rsid w:val="00117B40"/>
    <w:rsid w:val="001205AD"/>
    <w:rsid w:val="0013249F"/>
    <w:rsid w:val="001409D0"/>
    <w:rsid w:val="001516C3"/>
    <w:rsid w:val="0016016C"/>
    <w:rsid w:val="00173399"/>
    <w:rsid w:val="001900D8"/>
    <w:rsid w:val="00190383"/>
    <w:rsid w:val="00190ACB"/>
    <w:rsid w:val="00197FBF"/>
    <w:rsid w:val="001A7CCA"/>
    <w:rsid w:val="001B05DA"/>
    <w:rsid w:val="001B1DAA"/>
    <w:rsid w:val="001C0947"/>
    <w:rsid w:val="001C131F"/>
    <w:rsid w:val="001C500A"/>
    <w:rsid w:val="001C6B35"/>
    <w:rsid w:val="001C6D03"/>
    <w:rsid w:val="001C7DAC"/>
    <w:rsid w:val="001D1F7E"/>
    <w:rsid w:val="001E7875"/>
    <w:rsid w:val="001F23B2"/>
    <w:rsid w:val="002101E4"/>
    <w:rsid w:val="00210347"/>
    <w:rsid w:val="0021199C"/>
    <w:rsid w:val="002205A0"/>
    <w:rsid w:val="0023002E"/>
    <w:rsid w:val="0023254E"/>
    <w:rsid w:val="0024559F"/>
    <w:rsid w:val="00250109"/>
    <w:rsid w:val="00253FA7"/>
    <w:rsid w:val="002654ED"/>
    <w:rsid w:val="00266EB1"/>
    <w:rsid w:val="00267691"/>
    <w:rsid w:val="0028589C"/>
    <w:rsid w:val="002A6988"/>
    <w:rsid w:val="002B19A0"/>
    <w:rsid w:val="002B3BCF"/>
    <w:rsid w:val="002B7F04"/>
    <w:rsid w:val="002E37B3"/>
    <w:rsid w:val="002E4B09"/>
    <w:rsid w:val="002E4B2A"/>
    <w:rsid w:val="002E5CA5"/>
    <w:rsid w:val="002F088B"/>
    <w:rsid w:val="002F3EE8"/>
    <w:rsid w:val="002F7E12"/>
    <w:rsid w:val="00304791"/>
    <w:rsid w:val="00311C36"/>
    <w:rsid w:val="0031551A"/>
    <w:rsid w:val="0032215B"/>
    <w:rsid w:val="00323C4F"/>
    <w:rsid w:val="003333C3"/>
    <w:rsid w:val="0033584B"/>
    <w:rsid w:val="00336575"/>
    <w:rsid w:val="0034354D"/>
    <w:rsid w:val="00352A31"/>
    <w:rsid w:val="0037389B"/>
    <w:rsid w:val="00384C93"/>
    <w:rsid w:val="003A63D9"/>
    <w:rsid w:val="003B0773"/>
    <w:rsid w:val="003C3C56"/>
    <w:rsid w:val="003D6311"/>
    <w:rsid w:val="003D6786"/>
    <w:rsid w:val="003E560F"/>
    <w:rsid w:val="003E6A98"/>
    <w:rsid w:val="003F0D51"/>
    <w:rsid w:val="00402393"/>
    <w:rsid w:val="00424898"/>
    <w:rsid w:val="00427A63"/>
    <w:rsid w:val="00432018"/>
    <w:rsid w:val="0043336E"/>
    <w:rsid w:val="00434173"/>
    <w:rsid w:val="004364A6"/>
    <w:rsid w:val="00445015"/>
    <w:rsid w:val="00454BEC"/>
    <w:rsid w:val="00471D73"/>
    <w:rsid w:val="00476215"/>
    <w:rsid w:val="00482986"/>
    <w:rsid w:val="004947D4"/>
    <w:rsid w:val="00497240"/>
    <w:rsid w:val="004A3723"/>
    <w:rsid w:val="004A46D5"/>
    <w:rsid w:val="004B0631"/>
    <w:rsid w:val="004D0175"/>
    <w:rsid w:val="004D2856"/>
    <w:rsid w:val="004D2CCE"/>
    <w:rsid w:val="004F42D8"/>
    <w:rsid w:val="004F6FC4"/>
    <w:rsid w:val="00501E3E"/>
    <w:rsid w:val="00504BB8"/>
    <w:rsid w:val="00505AC7"/>
    <w:rsid w:val="00506D12"/>
    <w:rsid w:val="005107A2"/>
    <w:rsid w:val="005145B4"/>
    <w:rsid w:val="0051749F"/>
    <w:rsid w:val="00527648"/>
    <w:rsid w:val="00527F6F"/>
    <w:rsid w:val="0054067D"/>
    <w:rsid w:val="00545310"/>
    <w:rsid w:val="00562B7D"/>
    <w:rsid w:val="0056519D"/>
    <w:rsid w:val="00574429"/>
    <w:rsid w:val="005745F1"/>
    <w:rsid w:val="00587555"/>
    <w:rsid w:val="00594752"/>
    <w:rsid w:val="00594FEE"/>
    <w:rsid w:val="0059528A"/>
    <w:rsid w:val="005A5157"/>
    <w:rsid w:val="005B19CC"/>
    <w:rsid w:val="005B314C"/>
    <w:rsid w:val="005B3791"/>
    <w:rsid w:val="005B4E79"/>
    <w:rsid w:val="005C50A2"/>
    <w:rsid w:val="005C78E8"/>
    <w:rsid w:val="005F764A"/>
    <w:rsid w:val="006048BA"/>
    <w:rsid w:val="006226BD"/>
    <w:rsid w:val="00625CEF"/>
    <w:rsid w:val="00625F02"/>
    <w:rsid w:val="006430FC"/>
    <w:rsid w:val="00656AB4"/>
    <w:rsid w:val="00657DBC"/>
    <w:rsid w:val="00663026"/>
    <w:rsid w:val="00665F7C"/>
    <w:rsid w:val="006707E2"/>
    <w:rsid w:val="00670CF3"/>
    <w:rsid w:val="00675780"/>
    <w:rsid w:val="00687FFB"/>
    <w:rsid w:val="00690274"/>
    <w:rsid w:val="00693646"/>
    <w:rsid w:val="0069508C"/>
    <w:rsid w:val="006A6E20"/>
    <w:rsid w:val="006B3543"/>
    <w:rsid w:val="006B6D38"/>
    <w:rsid w:val="006B757A"/>
    <w:rsid w:val="006D0FCF"/>
    <w:rsid w:val="006D25D2"/>
    <w:rsid w:val="006D3169"/>
    <w:rsid w:val="006F73D8"/>
    <w:rsid w:val="007164EE"/>
    <w:rsid w:val="007269F1"/>
    <w:rsid w:val="0072718E"/>
    <w:rsid w:val="00732D4E"/>
    <w:rsid w:val="00755E4D"/>
    <w:rsid w:val="00761777"/>
    <w:rsid w:val="007633C0"/>
    <w:rsid w:val="007653E4"/>
    <w:rsid w:val="00767B4A"/>
    <w:rsid w:val="00780EA5"/>
    <w:rsid w:val="00786067"/>
    <w:rsid w:val="007A3C13"/>
    <w:rsid w:val="007B2315"/>
    <w:rsid w:val="007B48FA"/>
    <w:rsid w:val="007B6E1C"/>
    <w:rsid w:val="007D67D3"/>
    <w:rsid w:val="007D73C7"/>
    <w:rsid w:val="007D7CC3"/>
    <w:rsid w:val="007E0BE2"/>
    <w:rsid w:val="007E3049"/>
    <w:rsid w:val="007E5BE4"/>
    <w:rsid w:val="007E640D"/>
    <w:rsid w:val="007E700D"/>
    <w:rsid w:val="007F2962"/>
    <w:rsid w:val="007F6FB0"/>
    <w:rsid w:val="00802B10"/>
    <w:rsid w:val="008049E7"/>
    <w:rsid w:val="00811793"/>
    <w:rsid w:val="00821A1B"/>
    <w:rsid w:val="00823949"/>
    <w:rsid w:val="008252E3"/>
    <w:rsid w:val="00850088"/>
    <w:rsid w:val="00865EBB"/>
    <w:rsid w:val="00881C8E"/>
    <w:rsid w:val="00884DCA"/>
    <w:rsid w:val="008A0B88"/>
    <w:rsid w:val="008A3F7E"/>
    <w:rsid w:val="008A568F"/>
    <w:rsid w:val="008B78B8"/>
    <w:rsid w:val="008C469D"/>
    <w:rsid w:val="008C6EAD"/>
    <w:rsid w:val="008C7292"/>
    <w:rsid w:val="008D6B7B"/>
    <w:rsid w:val="008D6DE0"/>
    <w:rsid w:val="008F16EA"/>
    <w:rsid w:val="009052DA"/>
    <w:rsid w:val="00907B9C"/>
    <w:rsid w:val="0091394F"/>
    <w:rsid w:val="0091504E"/>
    <w:rsid w:val="00925ACD"/>
    <w:rsid w:val="00931AE1"/>
    <w:rsid w:val="009333D2"/>
    <w:rsid w:val="009458BA"/>
    <w:rsid w:val="0094665A"/>
    <w:rsid w:val="00946CA1"/>
    <w:rsid w:val="00956589"/>
    <w:rsid w:val="00964D67"/>
    <w:rsid w:val="00965DDF"/>
    <w:rsid w:val="00973412"/>
    <w:rsid w:val="00975D3D"/>
    <w:rsid w:val="00975F23"/>
    <w:rsid w:val="009870EC"/>
    <w:rsid w:val="0098757F"/>
    <w:rsid w:val="009B45A2"/>
    <w:rsid w:val="009B49F4"/>
    <w:rsid w:val="009B66F4"/>
    <w:rsid w:val="009C7DE2"/>
    <w:rsid w:val="009D7BF4"/>
    <w:rsid w:val="009E0B1E"/>
    <w:rsid w:val="00A11C9A"/>
    <w:rsid w:val="00A14904"/>
    <w:rsid w:val="00A169B9"/>
    <w:rsid w:val="00A23C51"/>
    <w:rsid w:val="00A23F29"/>
    <w:rsid w:val="00A36F49"/>
    <w:rsid w:val="00A437C2"/>
    <w:rsid w:val="00A447D0"/>
    <w:rsid w:val="00A63795"/>
    <w:rsid w:val="00A65047"/>
    <w:rsid w:val="00A672A3"/>
    <w:rsid w:val="00A67A85"/>
    <w:rsid w:val="00A746CD"/>
    <w:rsid w:val="00A7669F"/>
    <w:rsid w:val="00A836A4"/>
    <w:rsid w:val="00A85BAA"/>
    <w:rsid w:val="00A92A4E"/>
    <w:rsid w:val="00AA2E12"/>
    <w:rsid w:val="00AB65C7"/>
    <w:rsid w:val="00AC420C"/>
    <w:rsid w:val="00AC427C"/>
    <w:rsid w:val="00AC4410"/>
    <w:rsid w:val="00AD0D72"/>
    <w:rsid w:val="00AD1D6F"/>
    <w:rsid w:val="00AD2769"/>
    <w:rsid w:val="00AF2AEE"/>
    <w:rsid w:val="00B041FC"/>
    <w:rsid w:val="00B049E2"/>
    <w:rsid w:val="00B21949"/>
    <w:rsid w:val="00B2391A"/>
    <w:rsid w:val="00B508A9"/>
    <w:rsid w:val="00B5143B"/>
    <w:rsid w:val="00B72AC1"/>
    <w:rsid w:val="00B742DA"/>
    <w:rsid w:val="00B808AF"/>
    <w:rsid w:val="00B92381"/>
    <w:rsid w:val="00B94D4A"/>
    <w:rsid w:val="00BA061B"/>
    <w:rsid w:val="00BA0F72"/>
    <w:rsid w:val="00BA11C6"/>
    <w:rsid w:val="00BA4A96"/>
    <w:rsid w:val="00BB1072"/>
    <w:rsid w:val="00BB6FB3"/>
    <w:rsid w:val="00BC4FA1"/>
    <w:rsid w:val="00BE103F"/>
    <w:rsid w:val="00BE2936"/>
    <w:rsid w:val="00C114F3"/>
    <w:rsid w:val="00C1230F"/>
    <w:rsid w:val="00C23A41"/>
    <w:rsid w:val="00C257B8"/>
    <w:rsid w:val="00C306CC"/>
    <w:rsid w:val="00C33D2D"/>
    <w:rsid w:val="00C36150"/>
    <w:rsid w:val="00C44E60"/>
    <w:rsid w:val="00C61A96"/>
    <w:rsid w:val="00C6442D"/>
    <w:rsid w:val="00C772E2"/>
    <w:rsid w:val="00C80540"/>
    <w:rsid w:val="00C839FE"/>
    <w:rsid w:val="00C85E2D"/>
    <w:rsid w:val="00C86AC6"/>
    <w:rsid w:val="00CA2144"/>
    <w:rsid w:val="00CA5262"/>
    <w:rsid w:val="00CB1AC1"/>
    <w:rsid w:val="00CB4F7C"/>
    <w:rsid w:val="00CB555C"/>
    <w:rsid w:val="00CB66C9"/>
    <w:rsid w:val="00CC5F9E"/>
    <w:rsid w:val="00CD15CD"/>
    <w:rsid w:val="00CD303A"/>
    <w:rsid w:val="00CD57C2"/>
    <w:rsid w:val="00CD66F1"/>
    <w:rsid w:val="00CE094D"/>
    <w:rsid w:val="00CF03CF"/>
    <w:rsid w:val="00CF277B"/>
    <w:rsid w:val="00CF2CEF"/>
    <w:rsid w:val="00CF4EC1"/>
    <w:rsid w:val="00D03359"/>
    <w:rsid w:val="00D1023D"/>
    <w:rsid w:val="00D15B3E"/>
    <w:rsid w:val="00D2546A"/>
    <w:rsid w:val="00D27B4E"/>
    <w:rsid w:val="00D30A9E"/>
    <w:rsid w:val="00D32F2B"/>
    <w:rsid w:val="00D33806"/>
    <w:rsid w:val="00D50CCC"/>
    <w:rsid w:val="00D66BE0"/>
    <w:rsid w:val="00D76E8A"/>
    <w:rsid w:val="00D86269"/>
    <w:rsid w:val="00D87F6C"/>
    <w:rsid w:val="00DB05CA"/>
    <w:rsid w:val="00DD70AB"/>
    <w:rsid w:val="00DE1FDE"/>
    <w:rsid w:val="00DE7A89"/>
    <w:rsid w:val="00DF3F96"/>
    <w:rsid w:val="00DF5E9E"/>
    <w:rsid w:val="00DF6667"/>
    <w:rsid w:val="00E11C86"/>
    <w:rsid w:val="00E1753C"/>
    <w:rsid w:val="00E30E4A"/>
    <w:rsid w:val="00E311C8"/>
    <w:rsid w:val="00E31367"/>
    <w:rsid w:val="00E338DE"/>
    <w:rsid w:val="00E341AA"/>
    <w:rsid w:val="00E346BB"/>
    <w:rsid w:val="00E37CA7"/>
    <w:rsid w:val="00E4596F"/>
    <w:rsid w:val="00E55295"/>
    <w:rsid w:val="00E56A95"/>
    <w:rsid w:val="00E669AC"/>
    <w:rsid w:val="00E74855"/>
    <w:rsid w:val="00E803EF"/>
    <w:rsid w:val="00E807A6"/>
    <w:rsid w:val="00E822CE"/>
    <w:rsid w:val="00E83E83"/>
    <w:rsid w:val="00E842C3"/>
    <w:rsid w:val="00E85FEC"/>
    <w:rsid w:val="00E86F45"/>
    <w:rsid w:val="00E93A5C"/>
    <w:rsid w:val="00E93ABB"/>
    <w:rsid w:val="00E97439"/>
    <w:rsid w:val="00EA0FD6"/>
    <w:rsid w:val="00EB43E6"/>
    <w:rsid w:val="00EB443D"/>
    <w:rsid w:val="00EC59E1"/>
    <w:rsid w:val="00ED41E4"/>
    <w:rsid w:val="00EF2090"/>
    <w:rsid w:val="00F106EE"/>
    <w:rsid w:val="00F32AD1"/>
    <w:rsid w:val="00F34CD8"/>
    <w:rsid w:val="00F41C11"/>
    <w:rsid w:val="00F456AB"/>
    <w:rsid w:val="00F5138C"/>
    <w:rsid w:val="00F7744E"/>
    <w:rsid w:val="00F8476E"/>
    <w:rsid w:val="00F86CC2"/>
    <w:rsid w:val="00F87D1B"/>
    <w:rsid w:val="00F9290D"/>
    <w:rsid w:val="00FA22CD"/>
    <w:rsid w:val="00FB0000"/>
    <w:rsid w:val="00FB47F1"/>
    <w:rsid w:val="00FB7A39"/>
    <w:rsid w:val="00FB7E6B"/>
    <w:rsid w:val="00FC28AC"/>
    <w:rsid w:val="00FC2C99"/>
    <w:rsid w:val="00FC2FD2"/>
    <w:rsid w:val="00FC42B1"/>
    <w:rsid w:val="00FF7A41"/>
    <w:rsid w:val="7A5B33B6"/>
    <w:rsid w:val="F7D656B2"/>
    <w:rsid w:val="FEDFB268"/>
    <w:rsid w:val="FFFB8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99" w:semiHidden="0" w:name="annotation reference"/>
    <w:lsdException w:uiPriority="99" w:name="line number"/>
    <w:lsdException w:qFormat="1" w:uiPriority="99"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45"/>
    <w:unhideWhenUsed/>
    <w:qFormat/>
    <w:uiPriority w:val="9"/>
    <w:pPr>
      <w:keepNext/>
      <w:keepLines/>
      <w:spacing w:before="260" w:after="260" w:line="416" w:lineRule="auto"/>
      <w:outlineLvl w:val="1"/>
    </w:pPr>
    <w:rPr>
      <w:rFonts w:asciiTheme="majorHAnsi" w:hAnsiTheme="majorHAnsi" w:eastAsiaTheme="majorEastAsia" w:cstheme="majorBidi"/>
      <w:b/>
      <w:bCs/>
      <w:color w:val="000000" w:themeColor="text1"/>
      <w:sz w:val="32"/>
      <w:szCs w:val="32"/>
      <w14:textFill>
        <w14:solidFill>
          <w14:schemeClr w14:val="tx1"/>
        </w14:solidFill>
      </w14:textFill>
    </w:rPr>
  </w:style>
  <w:style w:type="paragraph" w:styleId="4">
    <w:name w:val="heading 3"/>
    <w:basedOn w:val="1"/>
    <w:next w:val="1"/>
    <w:link w:val="40"/>
    <w:unhideWhenUsed/>
    <w:qFormat/>
    <w:uiPriority w:val="9"/>
    <w:pPr>
      <w:keepNext/>
      <w:keepLines/>
      <w:tabs>
        <w:tab w:val="left" w:pos="420"/>
      </w:tabs>
      <w:spacing w:line="384" w:lineRule="exact"/>
      <w:jc w:val="left"/>
      <w:outlineLvl w:val="2"/>
    </w:pPr>
    <w:rPr>
      <w:rFonts w:ascii="宋体" w:hAnsi="宋体" w:eastAsia="汉仪大宋简" w:cs="宋体"/>
      <w:color w:val="000000" w:themeColor="text1"/>
      <w:sz w:val="26"/>
      <w:szCs w:val="21"/>
      <w14:textFill>
        <w14:solidFill>
          <w14:schemeClr w14:val="tx1"/>
        </w14:solidFill>
      </w14:textFill>
    </w:rPr>
  </w:style>
  <w:style w:type="paragraph" w:styleId="5">
    <w:name w:val="heading 4"/>
    <w:basedOn w:val="1"/>
    <w:next w:val="1"/>
    <w:link w:val="4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pPr>
    <w:rPr>
      <w:rFonts w:ascii="宋体" w:hAnsi="宋体" w:eastAsia="宋体" w:cs="宋体"/>
      <w:color w:val="000000" w:themeColor="text1"/>
      <w:szCs w:val="21"/>
      <w14:textFill>
        <w14:solidFill>
          <w14:schemeClr w14:val="tx1"/>
        </w14:solidFill>
      </w14:textFill>
    </w:rPr>
  </w:style>
  <w:style w:type="paragraph" w:styleId="7">
    <w:name w:val="Document Map"/>
    <w:basedOn w:val="1"/>
    <w:link w:val="46"/>
    <w:unhideWhenUsed/>
    <w:qFormat/>
    <w:uiPriority w:val="99"/>
    <w:rPr>
      <w:rFonts w:ascii="宋体" w:hAnsi="宋体" w:eastAsia="宋体" w:cs="宋体"/>
      <w:color w:val="000000" w:themeColor="text1"/>
      <w:sz w:val="24"/>
      <w:szCs w:val="24"/>
      <w14:textFill>
        <w14:solidFill>
          <w14:schemeClr w14:val="tx1"/>
        </w14:solidFill>
      </w14:textFill>
    </w:rPr>
  </w:style>
  <w:style w:type="paragraph" w:styleId="8">
    <w:name w:val="annotation text"/>
    <w:basedOn w:val="1"/>
    <w:link w:val="47"/>
    <w:unhideWhenUsed/>
    <w:qFormat/>
    <w:uiPriority w:val="99"/>
    <w:pPr>
      <w:jc w:val="left"/>
    </w:pPr>
    <w:rPr>
      <w:rFonts w:ascii="宋体" w:hAnsi="宋体" w:eastAsia="宋体" w:cs="宋体"/>
      <w:color w:val="000000" w:themeColor="text1"/>
      <w:szCs w:val="21"/>
      <w14:textFill>
        <w14:solidFill>
          <w14:schemeClr w14:val="tx1"/>
        </w14:solidFill>
      </w14:textFill>
    </w:rPr>
  </w:style>
  <w:style w:type="paragraph" w:styleId="9">
    <w:name w:val="Body Text"/>
    <w:basedOn w:val="1"/>
    <w:link w:val="72"/>
    <w:qFormat/>
    <w:uiPriority w:val="1"/>
    <w:pPr>
      <w:autoSpaceDE w:val="0"/>
      <w:autoSpaceDN w:val="0"/>
      <w:jc w:val="left"/>
    </w:pPr>
    <w:rPr>
      <w:rFonts w:ascii="宋体" w:hAnsi="宋体" w:eastAsia="宋体" w:cs="宋体"/>
      <w:kern w:val="0"/>
      <w:szCs w:val="21"/>
      <w:lang w:val="zh-CN" w:bidi="zh-CN"/>
    </w:rPr>
  </w:style>
  <w:style w:type="paragraph" w:styleId="10">
    <w:name w:val="toc 5"/>
    <w:basedOn w:val="1"/>
    <w:next w:val="1"/>
    <w:unhideWhenUsed/>
    <w:qFormat/>
    <w:uiPriority w:val="39"/>
    <w:pPr>
      <w:ind w:left="840"/>
    </w:pPr>
    <w:rPr>
      <w:rFonts w:ascii="宋体" w:hAnsi="宋体" w:eastAsia="宋体" w:cs="宋体"/>
      <w:color w:val="000000" w:themeColor="text1"/>
      <w:szCs w:val="21"/>
      <w14:textFill>
        <w14:solidFill>
          <w14:schemeClr w14:val="tx1"/>
        </w14:solidFill>
      </w14:textFill>
    </w:rPr>
  </w:style>
  <w:style w:type="paragraph" w:styleId="11">
    <w:name w:val="toc 3"/>
    <w:basedOn w:val="1"/>
    <w:next w:val="1"/>
    <w:unhideWhenUsed/>
    <w:qFormat/>
    <w:uiPriority w:val="39"/>
    <w:pPr>
      <w:ind w:left="420"/>
    </w:pPr>
    <w:rPr>
      <w:rFonts w:ascii="宋体" w:hAnsi="宋体" w:eastAsia="宋体" w:cs="宋体"/>
      <w:color w:val="000000" w:themeColor="text1"/>
      <w:szCs w:val="21"/>
      <w14:textFill>
        <w14:solidFill>
          <w14:schemeClr w14:val="tx1"/>
        </w14:solidFill>
      </w14:textFill>
    </w:rPr>
  </w:style>
  <w:style w:type="paragraph" w:styleId="12">
    <w:name w:val="Plain Text"/>
    <w:basedOn w:val="1"/>
    <w:link w:val="43"/>
    <w:unhideWhenUsed/>
    <w:qFormat/>
    <w:uiPriority w:val="99"/>
    <w:pPr>
      <w:spacing w:beforeLines="10" w:afterLines="10" w:line="240" w:lineRule="exact"/>
    </w:pPr>
    <w:rPr>
      <w:rFonts w:ascii="宋体" w:hAnsi="Courier New" w:eastAsia="宋体" w:cs="Courier New"/>
      <w:szCs w:val="21"/>
    </w:rPr>
  </w:style>
  <w:style w:type="paragraph" w:styleId="13">
    <w:name w:val="toc 8"/>
    <w:basedOn w:val="1"/>
    <w:next w:val="1"/>
    <w:unhideWhenUsed/>
    <w:qFormat/>
    <w:uiPriority w:val="39"/>
    <w:pPr>
      <w:ind w:left="1470"/>
    </w:pPr>
    <w:rPr>
      <w:rFonts w:ascii="宋体" w:hAnsi="宋体" w:eastAsia="宋体" w:cs="宋体"/>
      <w:color w:val="000000" w:themeColor="text1"/>
      <w:szCs w:val="21"/>
      <w14:textFill>
        <w14:solidFill>
          <w14:schemeClr w14:val="tx1"/>
        </w14:solidFill>
      </w14:textFill>
    </w:rPr>
  </w:style>
  <w:style w:type="paragraph" w:styleId="14">
    <w:name w:val="endnote text"/>
    <w:basedOn w:val="1"/>
    <w:link w:val="73"/>
    <w:unhideWhenUsed/>
    <w:qFormat/>
    <w:uiPriority w:val="99"/>
    <w:pPr>
      <w:snapToGrid w:val="0"/>
      <w:jc w:val="left"/>
    </w:pPr>
  </w:style>
  <w:style w:type="paragraph" w:styleId="15">
    <w:name w:val="Balloon Text"/>
    <w:basedOn w:val="1"/>
    <w:link w:val="48"/>
    <w:unhideWhenUsed/>
    <w:qFormat/>
    <w:uiPriority w:val="99"/>
    <w:rPr>
      <w:rFonts w:ascii="宋体" w:hAnsi="宋体" w:eastAsia="宋体" w:cs="宋体"/>
      <w:color w:val="000000" w:themeColor="text1"/>
      <w:sz w:val="18"/>
      <w:szCs w:val="18"/>
      <w14:textFill>
        <w14:solidFill>
          <w14:schemeClr w14:val="tx1"/>
        </w14:solidFill>
      </w14:textFill>
    </w:rPr>
  </w:style>
  <w:style w:type="paragraph" w:styleId="16">
    <w:name w:val="footer"/>
    <w:basedOn w:val="1"/>
    <w:link w:val="42"/>
    <w:unhideWhenUsed/>
    <w:qFormat/>
    <w:uiPriority w:val="99"/>
    <w:pPr>
      <w:tabs>
        <w:tab w:val="center" w:pos="4153"/>
        <w:tab w:val="right" w:pos="8306"/>
      </w:tabs>
      <w:snapToGrid w:val="0"/>
      <w:jc w:val="left"/>
    </w:pPr>
    <w:rPr>
      <w:sz w:val="18"/>
      <w:szCs w:val="18"/>
    </w:rPr>
  </w:style>
  <w:style w:type="paragraph" w:styleId="17">
    <w:name w:val="header"/>
    <w:basedOn w:val="1"/>
    <w:link w:val="41"/>
    <w:unhideWhenUsed/>
    <w:qFormat/>
    <w:uiPriority w:val="99"/>
    <w:pPr>
      <w:tabs>
        <w:tab w:val="center" w:pos="4153"/>
        <w:tab w:val="right" w:pos="8306"/>
      </w:tabs>
      <w:snapToGrid w:val="0"/>
      <w:jc w:val="center"/>
    </w:pPr>
    <w:rPr>
      <w:sz w:val="18"/>
      <w:szCs w:val="18"/>
    </w:rPr>
  </w:style>
  <w:style w:type="paragraph" w:styleId="18">
    <w:name w:val="toc 1"/>
    <w:basedOn w:val="1"/>
    <w:next w:val="1"/>
    <w:unhideWhenUsed/>
    <w:qFormat/>
    <w:uiPriority w:val="39"/>
    <w:rPr>
      <w:rFonts w:ascii="宋体" w:hAnsi="宋体" w:eastAsia="宋体" w:cs="宋体"/>
      <w:color w:val="000000" w:themeColor="text1"/>
      <w:szCs w:val="21"/>
      <w14:textFill>
        <w14:solidFill>
          <w14:schemeClr w14:val="tx1"/>
        </w14:solidFill>
      </w14:textFill>
    </w:rPr>
  </w:style>
  <w:style w:type="paragraph" w:styleId="19">
    <w:name w:val="toc 4"/>
    <w:basedOn w:val="1"/>
    <w:next w:val="1"/>
    <w:unhideWhenUsed/>
    <w:qFormat/>
    <w:uiPriority w:val="39"/>
    <w:pPr>
      <w:ind w:left="630"/>
    </w:pPr>
    <w:rPr>
      <w:rFonts w:ascii="宋体" w:hAnsi="宋体" w:eastAsia="宋体" w:cs="宋体"/>
      <w:color w:val="000000" w:themeColor="text1"/>
      <w:szCs w:val="21"/>
      <w14:textFill>
        <w14:solidFill>
          <w14:schemeClr w14:val="tx1"/>
        </w14:solidFill>
      </w14:textFill>
    </w:rPr>
  </w:style>
  <w:style w:type="paragraph" w:styleId="20">
    <w:name w:val="footnote text"/>
    <w:basedOn w:val="1"/>
    <w:link w:val="49"/>
    <w:unhideWhenUsed/>
    <w:qFormat/>
    <w:uiPriority w:val="0"/>
    <w:pPr>
      <w:snapToGrid w:val="0"/>
      <w:jc w:val="left"/>
    </w:pPr>
    <w:rPr>
      <w:rFonts w:ascii="宋体" w:hAnsi="宋体" w:eastAsia="宋体" w:cs="宋体"/>
      <w:color w:val="000000" w:themeColor="text1"/>
      <w:sz w:val="18"/>
      <w:szCs w:val="21"/>
      <w14:textFill>
        <w14:solidFill>
          <w14:schemeClr w14:val="tx1"/>
        </w14:solidFill>
      </w14:textFill>
    </w:rPr>
  </w:style>
  <w:style w:type="paragraph" w:styleId="21">
    <w:name w:val="toc 6"/>
    <w:basedOn w:val="1"/>
    <w:next w:val="1"/>
    <w:unhideWhenUsed/>
    <w:qFormat/>
    <w:uiPriority w:val="39"/>
    <w:pPr>
      <w:ind w:left="1050"/>
    </w:pPr>
    <w:rPr>
      <w:rFonts w:ascii="宋体" w:hAnsi="宋体" w:eastAsia="宋体" w:cs="宋体"/>
      <w:color w:val="000000" w:themeColor="text1"/>
      <w:szCs w:val="21"/>
      <w14:textFill>
        <w14:solidFill>
          <w14:schemeClr w14:val="tx1"/>
        </w14:solidFill>
      </w14:textFill>
    </w:rPr>
  </w:style>
  <w:style w:type="paragraph" w:styleId="22">
    <w:name w:val="toc 2"/>
    <w:basedOn w:val="1"/>
    <w:next w:val="1"/>
    <w:unhideWhenUsed/>
    <w:qFormat/>
    <w:uiPriority w:val="39"/>
    <w:pPr>
      <w:ind w:left="210"/>
    </w:pPr>
    <w:rPr>
      <w:rFonts w:ascii="宋体" w:hAnsi="宋体" w:eastAsia="宋体" w:cs="宋体"/>
      <w:color w:val="000000" w:themeColor="text1"/>
      <w:szCs w:val="21"/>
      <w14:textFill>
        <w14:solidFill>
          <w14:schemeClr w14:val="tx1"/>
        </w14:solidFill>
      </w14:textFill>
    </w:rPr>
  </w:style>
  <w:style w:type="paragraph" w:styleId="23">
    <w:name w:val="toc 9"/>
    <w:basedOn w:val="1"/>
    <w:next w:val="1"/>
    <w:unhideWhenUsed/>
    <w:qFormat/>
    <w:uiPriority w:val="39"/>
    <w:pPr>
      <w:ind w:left="1680"/>
    </w:pPr>
    <w:rPr>
      <w:rFonts w:ascii="宋体" w:hAnsi="宋体" w:eastAsia="宋体" w:cs="宋体"/>
      <w:color w:val="000000" w:themeColor="text1"/>
      <w:szCs w:val="21"/>
      <w14:textFill>
        <w14:solidFill>
          <w14:schemeClr w14:val="tx1"/>
        </w14:solidFill>
      </w14:textFill>
    </w:rPr>
  </w:style>
  <w:style w:type="paragraph" w:styleId="24">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6">
    <w:name w:val="Title"/>
    <w:basedOn w:val="1"/>
    <w:next w:val="1"/>
    <w:link w:val="50"/>
    <w:qFormat/>
    <w:uiPriority w:val="10"/>
    <w:pPr>
      <w:spacing w:before="240" w:after="60"/>
      <w:jc w:val="center"/>
      <w:outlineLvl w:val="0"/>
    </w:pPr>
    <w:rPr>
      <w:rFonts w:asciiTheme="majorHAnsi" w:hAnsiTheme="majorHAnsi" w:eastAsiaTheme="majorEastAsia" w:cstheme="majorBidi"/>
      <w:b/>
      <w:bCs/>
      <w:color w:val="000000" w:themeColor="text1"/>
      <w:sz w:val="32"/>
      <w:szCs w:val="32"/>
      <w14:textFill>
        <w14:solidFill>
          <w14:schemeClr w14:val="tx1"/>
        </w14:solidFill>
      </w14:textFill>
    </w:rPr>
  </w:style>
  <w:style w:type="paragraph" w:styleId="27">
    <w:name w:val="annotation subject"/>
    <w:basedOn w:val="8"/>
    <w:next w:val="8"/>
    <w:link w:val="51"/>
    <w:unhideWhenUsed/>
    <w:qFormat/>
    <w:uiPriority w:val="99"/>
    <w:rPr>
      <w:b/>
      <w:bCs/>
    </w:rPr>
  </w:style>
  <w:style w:type="table" w:styleId="29">
    <w:name w:val="Table Grid"/>
    <w:basedOn w:val="28"/>
    <w:qFormat/>
    <w:uiPriority w:val="59"/>
    <w:pPr>
      <w:spacing w:beforeLines="10" w:afterLines="1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rPr>
  </w:style>
  <w:style w:type="character" w:styleId="32">
    <w:name w:val="endnote reference"/>
    <w:basedOn w:val="30"/>
    <w:unhideWhenUsed/>
    <w:qFormat/>
    <w:uiPriority w:val="99"/>
    <w:rPr>
      <w:vertAlign w:val="superscript"/>
    </w:rPr>
  </w:style>
  <w:style w:type="character" w:styleId="33">
    <w:name w:val="page number"/>
    <w:basedOn w:val="30"/>
    <w:unhideWhenUsed/>
    <w:qFormat/>
    <w:uiPriority w:val="99"/>
  </w:style>
  <w:style w:type="character" w:styleId="34">
    <w:name w:val="FollowedHyperlink"/>
    <w:basedOn w:val="30"/>
    <w:semiHidden/>
    <w:unhideWhenUsed/>
    <w:qFormat/>
    <w:uiPriority w:val="99"/>
    <w:rPr>
      <w:color w:val="954F72"/>
      <w:u w:val="single"/>
    </w:rPr>
  </w:style>
  <w:style w:type="character" w:styleId="35">
    <w:name w:val="Emphasis"/>
    <w:basedOn w:val="30"/>
    <w:qFormat/>
    <w:uiPriority w:val="20"/>
    <w:rPr>
      <w:i/>
      <w:iCs/>
    </w:rPr>
  </w:style>
  <w:style w:type="character" w:styleId="36">
    <w:name w:val="Hyperlink"/>
    <w:basedOn w:val="30"/>
    <w:unhideWhenUsed/>
    <w:qFormat/>
    <w:uiPriority w:val="99"/>
    <w:rPr>
      <w:color w:val="0563C1" w:themeColor="hyperlink"/>
      <w:u w:val="single"/>
      <w14:textFill>
        <w14:solidFill>
          <w14:schemeClr w14:val="hlink"/>
        </w14:solidFill>
      </w14:textFill>
    </w:rPr>
  </w:style>
  <w:style w:type="character" w:styleId="37">
    <w:name w:val="annotation reference"/>
    <w:basedOn w:val="30"/>
    <w:unhideWhenUsed/>
    <w:qFormat/>
    <w:uiPriority w:val="99"/>
    <w:rPr>
      <w:sz w:val="21"/>
      <w:szCs w:val="21"/>
    </w:rPr>
  </w:style>
  <w:style w:type="character" w:styleId="38">
    <w:name w:val="footnote reference"/>
    <w:basedOn w:val="30"/>
    <w:unhideWhenUsed/>
    <w:qFormat/>
    <w:uiPriority w:val="0"/>
    <w:rPr>
      <w:vertAlign w:val="superscript"/>
    </w:rPr>
  </w:style>
  <w:style w:type="character" w:customStyle="1" w:styleId="39">
    <w:name w:val="标题 1 字符"/>
    <w:basedOn w:val="30"/>
    <w:link w:val="2"/>
    <w:qFormat/>
    <w:uiPriority w:val="9"/>
    <w:rPr>
      <w:rFonts w:ascii="Calibri" w:hAnsi="Calibri" w:eastAsia="宋体" w:cs="Times New Roman"/>
      <w:b/>
      <w:bCs/>
      <w:kern w:val="44"/>
      <w:sz w:val="44"/>
      <w:szCs w:val="44"/>
    </w:rPr>
  </w:style>
  <w:style w:type="character" w:customStyle="1" w:styleId="40">
    <w:name w:val="标题 3 字符"/>
    <w:basedOn w:val="30"/>
    <w:link w:val="4"/>
    <w:qFormat/>
    <w:uiPriority w:val="9"/>
    <w:rPr>
      <w:rFonts w:ascii="宋体" w:hAnsi="宋体" w:eastAsia="汉仪大宋简" w:cs="宋体"/>
      <w:color w:val="000000" w:themeColor="text1"/>
      <w:sz w:val="26"/>
      <w:szCs w:val="21"/>
      <w14:textFill>
        <w14:solidFill>
          <w14:schemeClr w14:val="tx1"/>
        </w14:solidFill>
      </w14:textFill>
    </w:rPr>
  </w:style>
  <w:style w:type="character" w:customStyle="1" w:styleId="41">
    <w:name w:val="页眉 字符"/>
    <w:basedOn w:val="30"/>
    <w:link w:val="17"/>
    <w:qFormat/>
    <w:uiPriority w:val="99"/>
    <w:rPr>
      <w:sz w:val="18"/>
      <w:szCs w:val="18"/>
    </w:rPr>
  </w:style>
  <w:style w:type="character" w:customStyle="1" w:styleId="42">
    <w:name w:val="页脚 字符"/>
    <w:basedOn w:val="30"/>
    <w:link w:val="16"/>
    <w:qFormat/>
    <w:uiPriority w:val="99"/>
    <w:rPr>
      <w:sz w:val="18"/>
      <w:szCs w:val="18"/>
    </w:rPr>
  </w:style>
  <w:style w:type="character" w:customStyle="1" w:styleId="43">
    <w:name w:val="纯文本 字符"/>
    <w:basedOn w:val="30"/>
    <w:link w:val="12"/>
    <w:qFormat/>
    <w:uiPriority w:val="99"/>
    <w:rPr>
      <w:rFonts w:ascii="宋体" w:hAnsi="Courier New" w:eastAsia="宋体" w:cs="Courier New"/>
      <w:szCs w:val="21"/>
    </w:rPr>
  </w:style>
  <w:style w:type="character" w:customStyle="1" w:styleId="44">
    <w:name w:val="标题 4 字符"/>
    <w:basedOn w:val="30"/>
    <w:link w:val="5"/>
    <w:qFormat/>
    <w:uiPriority w:val="9"/>
    <w:rPr>
      <w:rFonts w:asciiTheme="majorHAnsi" w:hAnsiTheme="majorHAnsi" w:eastAsiaTheme="majorEastAsia" w:cstheme="majorBidi"/>
      <w:b/>
      <w:bCs/>
      <w:sz w:val="28"/>
      <w:szCs w:val="28"/>
    </w:rPr>
  </w:style>
  <w:style w:type="character" w:customStyle="1" w:styleId="45">
    <w:name w:val="标题 2 字符"/>
    <w:basedOn w:val="30"/>
    <w:link w:val="3"/>
    <w:qFormat/>
    <w:uiPriority w:val="9"/>
    <w:rPr>
      <w:rFonts w:asciiTheme="majorHAnsi" w:hAnsiTheme="majorHAnsi" w:eastAsiaTheme="majorEastAsia" w:cstheme="majorBidi"/>
      <w:b/>
      <w:bCs/>
      <w:color w:val="000000" w:themeColor="text1"/>
      <w:sz w:val="32"/>
      <w:szCs w:val="32"/>
      <w14:textFill>
        <w14:solidFill>
          <w14:schemeClr w14:val="tx1"/>
        </w14:solidFill>
      </w14:textFill>
    </w:rPr>
  </w:style>
  <w:style w:type="character" w:customStyle="1" w:styleId="46">
    <w:name w:val="文档结构图 字符"/>
    <w:basedOn w:val="30"/>
    <w:link w:val="7"/>
    <w:qFormat/>
    <w:uiPriority w:val="99"/>
    <w:rPr>
      <w:rFonts w:ascii="宋体" w:hAnsi="宋体" w:eastAsia="宋体" w:cs="宋体"/>
      <w:color w:val="000000" w:themeColor="text1"/>
      <w:sz w:val="24"/>
      <w:szCs w:val="24"/>
      <w14:textFill>
        <w14:solidFill>
          <w14:schemeClr w14:val="tx1"/>
        </w14:solidFill>
      </w14:textFill>
    </w:rPr>
  </w:style>
  <w:style w:type="character" w:customStyle="1" w:styleId="47">
    <w:name w:val="批注文字 字符"/>
    <w:basedOn w:val="30"/>
    <w:link w:val="8"/>
    <w:qFormat/>
    <w:uiPriority w:val="99"/>
    <w:rPr>
      <w:rFonts w:ascii="宋体" w:hAnsi="宋体" w:eastAsia="宋体" w:cs="宋体"/>
      <w:color w:val="000000" w:themeColor="text1"/>
      <w:szCs w:val="21"/>
      <w14:textFill>
        <w14:solidFill>
          <w14:schemeClr w14:val="tx1"/>
        </w14:solidFill>
      </w14:textFill>
    </w:rPr>
  </w:style>
  <w:style w:type="character" w:customStyle="1" w:styleId="48">
    <w:name w:val="批注框文本 字符"/>
    <w:basedOn w:val="30"/>
    <w:link w:val="15"/>
    <w:qFormat/>
    <w:uiPriority w:val="99"/>
    <w:rPr>
      <w:rFonts w:ascii="宋体" w:hAnsi="宋体" w:eastAsia="宋体" w:cs="宋体"/>
      <w:color w:val="000000" w:themeColor="text1"/>
      <w:sz w:val="18"/>
      <w:szCs w:val="18"/>
      <w14:textFill>
        <w14:solidFill>
          <w14:schemeClr w14:val="tx1"/>
        </w14:solidFill>
      </w14:textFill>
    </w:rPr>
  </w:style>
  <w:style w:type="character" w:customStyle="1" w:styleId="49">
    <w:name w:val="脚注文本 字符"/>
    <w:basedOn w:val="30"/>
    <w:link w:val="20"/>
    <w:qFormat/>
    <w:uiPriority w:val="0"/>
    <w:rPr>
      <w:rFonts w:ascii="宋体" w:hAnsi="宋体" w:eastAsia="宋体" w:cs="宋体"/>
      <w:color w:val="000000" w:themeColor="text1"/>
      <w:sz w:val="18"/>
      <w:szCs w:val="21"/>
      <w14:textFill>
        <w14:solidFill>
          <w14:schemeClr w14:val="tx1"/>
        </w14:solidFill>
      </w14:textFill>
    </w:rPr>
  </w:style>
  <w:style w:type="character" w:customStyle="1" w:styleId="50">
    <w:name w:val="标题 字符"/>
    <w:basedOn w:val="30"/>
    <w:link w:val="26"/>
    <w:qFormat/>
    <w:uiPriority w:val="10"/>
    <w:rPr>
      <w:rFonts w:asciiTheme="majorHAnsi" w:hAnsiTheme="majorHAnsi" w:eastAsiaTheme="majorEastAsia" w:cstheme="majorBidi"/>
      <w:b/>
      <w:bCs/>
      <w:color w:val="000000" w:themeColor="text1"/>
      <w:sz w:val="32"/>
      <w:szCs w:val="32"/>
      <w14:textFill>
        <w14:solidFill>
          <w14:schemeClr w14:val="tx1"/>
        </w14:solidFill>
      </w14:textFill>
    </w:rPr>
  </w:style>
  <w:style w:type="character" w:customStyle="1" w:styleId="51">
    <w:name w:val="批注主题 字符"/>
    <w:basedOn w:val="47"/>
    <w:link w:val="27"/>
    <w:qFormat/>
    <w:uiPriority w:val="99"/>
    <w:rPr>
      <w:rFonts w:ascii="宋体" w:hAnsi="宋体" w:eastAsia="宋体" w:cs="宋体"/>
      <w:b/>
      <w:bCs/>
      <w:color w:val="000000" w:themeColor="text1"/>
      <w:szCs w:val="21"/>
      <w14:textFill>
        <w14:solidFill>
          <w14:schemeClr w14:val="tx1"/>
        </w14:solidFill>
      </w14:textFill>
    </w:rPr>
  </w:style>
  <w:style w:type="paragraph" w:styleId="52">
    <w:name w:val="List Paragraph"/>
    <w:basedOn w:val="1"/>
    <w:qFormat/>
    <w:uiPriority w:val="34"/>
    <w:pPr>
      <w:ind w:firstLine="420" w:firstLineChars="200"/>
    </w:pPr>
    <w:rPr>
      <w:rFonts w:ascii="宋体" w:hAnsi="宋体" w:eastAsia="宋体" w:cs="宋体"/>
      <w:color w:val="000000" w:themeColor="text1"/>
      <w:szCs w:val="21"/>
      <w14:textFill>
        <w14:solidFill>
          <w14:schemeClr w14:val="tx1"/>
        </w14:solidFill>
      </w14:textFill>
    </w:rPr>
  </w:style>
  <w:style w:type="table" w:customStyle="1" w:styleId="53">
    <w:name w:val="网格型1"/>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4">
    <w:name w:val="msolistparagraph"/>
    <w:basedOn w:val="1"/>
    <w:qFormat/>
    <w:uiPriority w:val="0"/>
    <w:pPr>
      <w:ind w:firstLine="420" w:firstLineChars="200"/>
    </w:pPr>
    <w:rPr>
      <w:rFonts w:hint="eastAsia" w:ascii="宋体" w:hAnsi="宋体" w:eastAsia="宋体" w:cs="Times New Roman"/>
      <w:color w:val="000000" w:themeColor="text1"/>
      <w:sz w:val="24"/>
      <w:szCs w:val="24"/>
      <w14:textFill>
        <w14:solidFill>
          <w14:schemeClr w14:val="tx1"/>
        </w14:solidFill>
      </w14:textFill>
    </w:rPr>
  </w:style>
  <w:style w:type="character" w:customStyle="1" w:styleId="55">
    <w:name w:val="页脚 字符1"/>
    <w:basedOn w:val="30"/>
    <w:semiHidden/>
    <w:qFormat/>
    <w:uiPriority w:val="99"/>
    <w:rPr>
      <w:rFonts w:ascii="Calibri" w:hAnsi="Calibri" w:eastAsia="宋体" w:cs="Times New Roman"/>
      <w:sz w:val="18"/>
      <w:szCs w:val="18"/>
    </w:rPr>
  </w:style>
  <w:style w:type="character" w:customStyle="1" w:styleId="56">
    <w:name w:val="批注框文本 字符1"/>
    <w:basedOn w:val="30"/>
    <w:semiHidden/>
    <w:qFormat/>
    <w:uiPriority w:val="99"/>
    <w:rPr>
      <w:rFonts w:ascii="宋体" w:hAnsi="Calibri" w:eastAsia="宋体" w:cs="Times New Roman"/>
      <w:sz w:val="18"/>
      <w:szCs w:val="18"/>
    </w:rPr>
  </w:style>
  <w:style w:type="character" w:customStyle="1" w:styleId="57">
    <w:name w:val="文档结构图 字符1"/>
    <w:basedOn w:val="30"/>
    <w:semiHidden/>
    <w:qFormat/>
    <w:uiPriority w:val="99"/>
    <w:rPr>
      <w:rFonts w:ascii="ACADEMY ENGRAVED LET PLAIN:1.0" w:hAnsi="ACADEMY ENGRAVED LET PLAIN:1.0" w:eastAsia="宋体" w:cs="Times New Roman"/>
      <w:sz w:val="26"/>
      <w:szCs w:val="26"/>
    </w:rPr>
  </w:style>
  <w:style w:type="character" w:customStyle="1" w:styleId="58">
    <w:name w:val="纯文本 字符1"/>
    <w:basedOn w:val="30"/>
    <w:semiHidden/>
    <w:qFormat/>
    <w:uiPriority w:val="99"/>
    <w:rPr>
      <w:rFonts w:hAnsi="Courier New" w:cs="Courier New" w:asciiTheme="minorEastAsia"/>
      <w:sz w:val="21"/>
    </w:rPr>
  </w:style>
  <w:style w:type="character" w:customStyle="1" w:styleId="59">
    <w:name w:val="脚注文本 字符1"/>
    <w:basedOn w:val="30"/>
    <w:semiHidden/>
    <w:qFormat/>
    <w:uiPriority w:val="99"/>
    <w:rPr>
      <w:rFonts w:ascii="Calibri" w:hAnsi="Calibri" w:eastAsia="宋体" w:cs="Times New Roman"/>
      <w:sz w:val="18"/>
      <w:szCs w:val="18"/>
    </w:rPr>
  </w:style>
  <w:style w:type="character" w:customStyle="1" w:styleId="60">
    <w:name w:val="页眉 字符1"/>
    <w:basedOn w:val="30"/>
    <w:semiHidden/>
    <w:qFormat/>
    <w:uiPriority w:val="99"/>
    <w:rPr>
      <w:rFonts w:ascii="Calibri" w:hAnsi="Calibri" w:eastAsia="宋体" w:cs="Times New Roman"/>
      <w:sz w:val="18"/>
      <w:szCs w:val="18"/>
    </w:rPr>
  </w:style>
  <w:style w:type="paragraph" w:customStyle="1" w:styleId="61">
    <w:name w:val="列出段落1"/>
    <w:basedOn w:val="1"/>
    <w:qFormat/>
    <w:uiPriority w:val="34"/>
    <w:pPr>
      <w:ind w:firstLine="420" w:firstLineChars="200"/>
    </w:pPr>
    <w:rPr>
      <w:rFonts w:ascii="Calibri" w:hAnsi="Calibri" w:eastAsia="宋体" w:cs="Times New Roman"/>
      <w:szCs w:val="24"/>
    </w:rPr>
  </w:style>
  <w:style w:type="paragraph" w:customStyle="1" w:styleId="62">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63">
    <w:name w:val="列出段落11"/>
    <w:basedOn w:val="1"/>
    <w:qFormat/>
    <w:uiPriority w:val="34"/>
    <w:pPr>
      <w:ind w:firstLine="420" w:firstLineChars="200"/>
    </w:pPr>
    <w:rPr>
      <w:rFonts w:ascii="Calibri" w:hAnsi="Calibri" w:eastAsia="宋体" w:cs="Times New Roman"/>
      <w:szCs w:val="24"/>
    </w:rPr>
  </w:style>
  <w:style w:type="table" w:customStyle="1" w:styleId="64">
    <w:name w:val="Table Normal"/>
    <w:qFormat/>
    <w:uiPriority w:val="0"/>
    <w:rPr>
      <w:rFonts w:ascii="Times New Roman" w:hAnsi="Times New Roman" w:eastAsia="等线" w:cs="Times New Roman"/>
      <w:kern w:val="0"/>
      <w:sz w:val="20"/>
      <w:szCs w:val="20"/>
    </w:rPr>
    <w:tblPr>
      <w:tblCellMar>
        <w:top w:w="0" w:type="dxa"/>
        <w:left w:w="0" w:type="dxa"/>
        <w:bottom w:w="0" w:type="dxa"/>
        <w:right w:w="0" w:type="dxa"/>
      </w:tblCellMar>
    </w:tblPr>
  </w:style>
  <w:style w:type="character" w:customStyle="1" w:styleId="65">
    <w:name w:val="无"/>
    <w:qFormat/>
    <w:uiPriority w:val="0"/>
  </w:style>
  <w:style w:type="table" w:customStyle="1" w:styleId="66">
    <w:name w:val="Table Normal1"/>
    <w:qFormat/>
    <w:uiPriority w:val="0"/>
    <w:rPr>
      <w:rFonts w:ascii="Times New Roman" w:hAnsi="Times New Roman" w:cs="Times New Roman"/>
      <w:kern w:val="0"/>
      <w:sz w:val="20"/>
      <w:szCs w:val="20"/>
    </w:rPr>
    <w:tblPr>
      <w:tblCellMar>
        <w:top w:w="0" w:type="dxa"/>
        <w:left w:w="0" w:type="dxa"/>
        <w:bottom w:w="0" w:type="dxa"/>
        <w:right w:w="0" w:type="dxa"/>
      </w:tblCellMar>
    </w:tblPr>
  </w:style>
  <w:style w:type="character" w:customStyle="1" w:styleId="67">
    <w:name w:val="Hyperlink.1"/>
    <w:basedOn w:val="65"/>
    <w:qFormat/>
    <w:uiPriority w:val="0"/>
    <w:rPr>
      <w:rFonts w:ascii="宋体" w:hAnsi="宋体" w:eastAsia="宋体" w:cs="宋体"/>
      <w:color w:val="000000"/>
      <w:u w:color="000000"/>
      <w:lang w:val="zh-TW" w:eastAsia="zh-TW"/>
    </w:rPr>
  </w:style>
  <w:style w:type="character" w:customStyle="1" w:styleId="68">
    <w:name w:val="纯文本 Char"/>
    <w:qFormat/>
    <w:uiPriority w:val="99"/>
    <w:rPr>
      <w:rFonts w:ascii="宋体" w:hAnsi="Courier New" w:eastAsia="宋体" w:cs="Courier New"/>
      <w:szCs w:val="21"/>
    </w:rPr>
  </w:style>
  <w:style w:type="character" w:customStyle="1" w:styleId="69">
    <w:name w:val="纯文本 Char1"/>
    <w:qFormat/>
    <w:uiPriority w:val="0"/>
    <w:rPr>
      <w:rFonts w:ascii="宋体" w:hAnsi="Courier New" w:eastAsia="宋体" w:cs="Courier New"/>
      <w:szCs w:val="21"/>
    </w:rPr>
  </w:style>
  <w:style w:type="paragraph" w:customStyle="1" w:styleId="70">
    <w:name w:val="Other|1"/>
    <w:basedOn w:val="1"/>
    <w:qFormat/>
    <w:uiPriority w:val="0"/>
    <w:pPr>
      <w:spacing w:line="293" w:lineRule="exact"/>
    </w:pPr>
    <w:rPr>
      <w:rFonts w:ascii="宋体" w:hAnsi="宋体" w:eastAsia="宋体" w:cs="宋体"/>
      <w:color w:val="2C1B1C"/>
      <w:sz w:val="19"/>
      <w:szCs w:val="19"/>
      <w:lang w:val="zh-TW" w:eastAsia="zh-TW" w:bidi="zh-TW"/>
    </w:rPr>
  </w:style>
  <w:style w:type="paragraph" w:customStyle="1" w:styleId="71">
    <w:name w:val="彩色列表 - 着色 11"/>
    <w:basedOn w:val="1"/>
    <w:unhideWhenUsed/>
    <w:qFormat/>
    <w:uiPriority w:val="34"/>
    <w:pPr>
      <w:ind w:firstLine="420" w:firstLineChars="200"/>
    </w:pPr>
    <w:rPr>
      <w:rFonts w:ascii="Calibri" w:hAnsi="Calibri" w:eastAsia="宋体" w:cs="Times New Roman"/>
      <w:szCs w:val="24"/>
    </w:rPr>
  </w:style>
  <w:style w:type="character" w:customStyle="1" w:styleId="72">
    <w:name w:val="正文文本 字符"/>
    <w:basedOn w:val="30"/>
    <w:link w:val="9"/>
    <w:qFormat/>
    <w:uiPriority w:val="1"/>
    <w:rPr>
      <w:rFonts w:ascii="宋体" w:hAnsi="宋体" w:eastAsia="宋体" w:cs="宋体"/>
      <w:kern w:val="0"/>
      <w:szCs w:val="21"/>
      <w:lang w:val="zh-CN" w:bidi="zh-CN"/>
    </w:rPr>
  </w:style>
  <w:style w:type="character" w:customStyle="1" w:styleId="73">
    <w:name w:val="尾注文本 字符"/>
    <w:basedOn w:val="30"/>
    <w:link w:val="14"/>
    <w:qFormat/>
    <w:uiPriority w:val="99"/>
  </w:style>
  <w:style w:type="character" w:customStyle="1" w:styleId="74">
    <w:name w:val="HTML 预设格式 字符"/>
    <w:basedOn w:val="30"/>
    <w:link w:val="24"/>
    <w:qFormat/>
    <w:uiPriority w:val="99"/>
    <w:rPr>
      <w:rFonts w:ascii="宋体" w:hAnsi="宋体" w:eastAsia="宋体" w:cs="宋体"/>
      <w:kern w:val="0"/>
      <w:sz w:val="24"/>
      <w:szCs w:val="24"/>
    </w:rPr>
  </w:style>
  <w:style w:type="character" w:customStyle="1" w:styleId="75">
    <w:name w:val="标题 1 Char"/>
    <w:basedOn w:val="30"/>
    <w:qFormat/>
    <w:uiPriority w:val="9"/>
    <w:rPr>
      <w:b/>
      <w:bCs/>
      <w:kern w:val="44"/>
      <w:sz w:val="44"/>
      <w:szCs w:val="44"/>
    </w:rPr>
  </w:style>
  <w:style w:type="character" w:customStyle="1" w:styleId="76">
    <w:name w:val="标题 2 Char"/>
    <w:basedOn w:val="30"/>
    <w:semiHidden/>
    <w:qFormat/>
    <w:uiPriority w:val="9"/>
    <w:rPr>
      <w:rFonts w:asciiTheme="majorHAnsi" w:hAnsiTheme="majorHAnsi" w:eastAsiaTheme="majorEastAsia" w:cstheme="majorBidi"/>
      <w:b/>
      <w:bCs/>
      <w:sz w:val="32"/>
      <w:szCs w:val="32"/>
    </w:rPr>
  </w:style>
  <w:style w:type="character" w:customStyle="1" w:styleId="77">
    <w:name w:val="标题 3 Char"/>
    <w:basedOn w:val="30"/>
    <w:semiHidden/>
    <w:qFormat/>
    <w:uiPriority w:val="9"/>
    <w:rPr>
      <w:b/>
      <w:bCs/>
      <w:sz w:val="32"/>
      <w:szCs w:val="32"/>
    </w:rPr>
  </w:style>
  <w:style w:type="character" w:customStyle="1" w:styleId="78">
    <w:name w:val="description"/>
    <w:basedOn w:val="30"/>
    <w:qFormat/>
    <w:uiPriority w:val="0"/>
  </w:style>
  <w:style w:type="character" w:customStyle="1" w:styleId="79">
    <w:name w:val="页眉 Char"/>
    <w:basedOn w:val="30"/>
    <w:link w:val="80"/>
    <w:qFormat/>
    <w:uiPriority w:val="99"/>
    <w:rPr>
      <w:sz w:val="18"/>
      <w:szCs w:val="18"/>
    </w:rPr>
  </w:style>
  <w:style w:type="paragraph" w:customStyle="1" w:styleId="80">
    <w:name w:val="页眉1"/>
    <w:basedOn w:val="1"/>
    <w:next w:val="17"/>
    <w:link w:val="7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1">
    <w:name w:val="页脚 Char"/>
    <w:basedOn w:val="30"/>
    <w:link w:val="82"/>
    <w:qFormat/>
    <w:uiPriority w:val="99"/>
    <w:rPr>
      <w:sz w:val="18"/>
      <w:szCs w:val="18"/>
    </w:rPr>
  </w:style>
  <w:style w:type="paragraph" w:customStyle="1" w:styleId="82">
    <w:name w:val="页脚1"/>
    <w:basedOn w:val="1"/>
    <w:next w:val="16"/>
    <w:link w:val="81"/>
    <w:unhideWhenUsed/>
    <w:qFormat/>
    <w:uiPriority w:val="99"/>
    <w:pPr>
      <w:tabs>
        <w:tab w:val="center" w:pos="4153"/>
        <w:tab w:val="right" w:pos="8306"/>
      </w:tabs>
      <w:snapToGrid w:val="0"/>
      <w:jc w:val="left"/>
    </w:pPr>
    <w:rPr>
      <w:sz w:val="18"/>
      <w:szCs w:val="18"/>
    </w:rPr>
  </w:style>
  <w:style w:type="character" w:customStyle="1" w:styleId="83">
    <w:name w:val="文档结构图 Char"/>
    <w:basedOn w:val="30"/>
    <w:semiHidden/>
    <w:qFormat/>
    <w:uiPriority w:val="99"/>
    <w:rPr>
      <w:rFonts w:ascii="宋体" w:eastAsia="宋体"/>
      <w:sz w:val="18"/>
      <w:szCs w:val="18"/>
    </w:rPr>
  </w:style>
  <w:style w:type="character" w:customStyle="1" w:styleId="84">
    <w:name w:val="脚注文本 Char"/>
    <w:basedOn w:val="30"/>
    <w:semiHidden/>
    <w:qFormat/>
    <w:uiPriority w:val="99"/>
    <w:rPr>
      <w:sz w:val="18"/>
      <w:szCs w:val="18"/>
    </w:rPr>
  </w:style>
  <w:style w:type="character" w:customStyle="1" w:styleId="85">
    <w:name w:val="apple-converted-space"/>
    <w:basedOn w:val="30"/>
    <w:qFormat/>
    <w:uiPriority w:val="0"/>
  </w:style>
  <w:style w:type="paragraph" w:customStyle="1" w:styleId="86">
    <w:name w:val="列出段落2"/>
    <w:basedOn w:val="1"/>
    <w:qFormat/>
    <w:uiPriority w:val="99"/>
    <w:pPr>
      <w:ind w:firstLine="420" w:firstLineChars="200"/>
    </w:pPr>
    <w:rPr>
      <w:rFonts w:ascii="Calibri" w:hAnsi="Calibri" w:eastAsia="宋体" w:cs="宋体"/>
    </w:rPr>
  </w:style>
  <w:style w:type="paragraph" w:customStyle="1" w:styleId="87">
    <w:name w:val="Table Paragraph"/>
    <w:basedOn w:val="1"/>
    <w:qFormat/>
    <w:uiPriority w:val="1"/>
    <w:pPr>
      <w:autoSpaceDE w:val="0"/>
      <w:autoSpaceDN w:val="0"/>
      <w:ind w:left="113"/>
      <w:jc w:val="left"/>
    </w:pPr>
    <w:rPr>
      <w:rFonts w:ascii="宋体" w:hAnsi="宋体" w:eastAsia="宋体" w:cs="宋体"/>
      <w:kern w:val="0"/>
      <w:sz w:val="22"/>
      <w:lang w:val="zh-CN" w:bidi="zh-CN"/>
    </w:rPr>
  </w:style>
  <w:style w:type="character" w:customStyle="1" w:styleId="88">
    <w:name w:val="Body text|1_"/>
    <w:link w:val="89"/>
    <w:qFormat/>
    <w:uiPriority w:val="0"/>
    <w:rPr>
      <w:rFonts w:ascii="宋体" w:hAnsi="宋体" w:cs="宋体"/>
      <w:color w:val="2E2E2D"/>
      <w:sz w:val="18"/>
      <w:szCs w:val="18"/>
      <w:lang w:val="zh-TW" w:eastAsia="zh-TW" w:bidi="zh-TW"/>
    </w:rPr>
  </w:style>
  <w:style w:type="paragraph" w:customStyle="1" w:styleId="89">
    <w:name w:val="Body text|1"/>
    <w:basedOn w:val="1"/>
    <w:link w:val="88"/>
    <w:qFormat/>
    <w:uiPriority w:val="0"/>
    <w:pPr>
      <w:spacing w:line="360" w:lineRule="auto"/>
      <w:ind w:firstLine="400"/>
      <w:jc w:val="left"/>
    </w:pPr>
    <w:rPr>
      <w:rFonts w:ascii="宋体" w:hAnsi="宋体" w:cs="宋体"/>
      <w:color w:val="2E2E2D"/>
      <w:sz w:val="18"/>
      <w:szCs w:val="18"/>
      <w:lang w:val="zh-TW" w:eastAsia="zh-TW" w:bidi="zh-TW"/>
    </w:rPr>
  </w:style>
  <w:style w:type="character" w:customStyle="1" w:styleId="90">
    <w:name w:val="正文文本 字符1"/>
    <w:basedOn w:val="30"/>
    <w:semiHidden/>
    <w:qFormat/>
    <w:uiPriority w:val="99"/>
    <w:rPr>
      <w:kern w:val="2"/>
      <w:sz w:val="21"/>
      <w:szCs w:val="22"/>
    </w:rPr>
  </w:style>
  <w:style w:type="paragraph" w:customStyle="1" w:styleId="91">
    <w:name w:val="彩色列表1"/>
    <w:basedOn w:val="1"/>
    <w:qFormat/>
    <w:uiPriority w:val="34"/>
    <w:pPr>
      <w:ind w:firstLine="420" w:firstLineChars="200"/>
    </w:pPr>
  </w:style>
  <w:style w:type="table" w:customStyle="1" w:styleId="92">
    <w:name w:val="网格型11"/>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3">
    <w:name w:val="目录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table" w:customStyle="1" w:styleId="94">
    <w:name w:val="网格型12"/>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
    <w:name w:val="网格型13"/>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6">
    <w:name w:val="网格型14"/>
    <w:basedOn w:val="28"/>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7">
    <w:name w:val="网格型2"/>
    <w:basedOn w:val="28"/>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8">
    <w:name w:val="网格型3"/>
    <w:basedOn w:val="28"/>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9">
    <w:name w:val="网格型4"/>
    <w:basedOn w:val="28"/>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5"/>
    <w:basedOn w:val="28"/>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6"/>
    <w:basedOn w:val="28"/>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CE5BD48E-A91D-49D2-9B11-38B8ADF20517}">
  <ds:schemaRefs/>
</ds:datastoreItem>
</file>

<file path=docProps/app.xml><?xml version="1.0" encoding="utf-8"?>
<Properties xmlns="http://schemas.openxmlformats.org/officeDocument/2006/extended-properties" xmlns:vt="http://schemas.openxmlformats.org/officeDocument/2006/docPropsVTypes">
  <Template>Normal</Template>
  <Pages>5</Pages>
  <Words>5006</Words>
  <Characters>5007</Characters>
  <Lines>227</Lines>
  <Paragraphs>196</Paragraphs>
  <TotalTime>696</TotalTime>
  <ScaleCrop>false</ScaleCrop>
  <LinksUpToDate>false</LinksUpToDate>
  <CharactersWithSpaces>9817</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2023-06-01T18:50:00Z</dcterms:created>
  <dc:creator>文琦</dc:creator>
  <cp:lastModifiedBy>Arthur (Xiao) Dong</cp:lastModifiedBy>
  <dcterms:modified xsi:type="dcterms:W3CDTF">2026-07-23T22:38:18Z</dcterms:modified>
  <cp:revision>375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D4EACBF1A1D49C5E271B626A9849B0FE_42</vt:lpwstr>
  </property>
</Properties>
</file>