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47A424">
      <w:pPr>
        <w:keepNext w:val="0"/>
        <w:keepLines w:val="0"/>
        <w:pageBreakBefore w:val="0"/>
        <w:widowControl w:val="0"/>
        <w:tabs>
          <w:tab w:val="left" w:pos="420"/>
        </w:tabs>
        <w:kinsoku/>
        <w:wordWrap/>
        <w:overflowPunct/>
        <w:topLinePunct w:val="0"/>
        <w:autoSpaceDE/>
        <w:autoSpaceDN/>
        <w:bidi w:val="0"/>
        <w:adjustRightInd/>
        <w:snapToGrid/>
        <w:spacing w:line="240" w:lineRule="auto"/>
        <w:jc w:val="center"/>
        <w:textAlignment w:val="auto"/>
        <w:rPr>
          <w:rFonts w:hint="eastAsia" w:cs="宋体"/>
          <w:b/>
          <w:bCs/>
          <w:color w:val="000000" w:themeColor="text1"/>
          <w:sz w:val="24"/>
          <w:szCs w:val="24"/>
          <w:lang w:val="en-US" w:eastAsia="zh-CN"/>
          <w14:textFill>
            <w14:solidFill>
              <w14:schemeClr w14:val="tx1"/>
            </w14:solidFill>
          </w14:textFill>
        </w:rPr>
      </w:pPr>
      <w:bookmarkStart w:id="0" w:name="_Toc230599992"/>
      <w:r>
        <w:rPr>
          <w:rFonts w:hint="eastAsia" w:ascii="宋体" w:hAnsi="宋体" w:eastAsia="宋体" w:cs="宋体"/>
          <w:b/>
          <w:bCs/>
          <w:color w:val="000000" w:themeColor="text1"/>
          <w:sz w:val="24"/>
          <w:szCs w:val="24"/>
          <w:lang w:val="en-US" w:eastAsia="zh-CN"/>
          <w14:textFill>
            <w14:solidFill>
              <w14:schemeClr w14:val="tx1"/>
            </w14:solidFill>
          </w14:textFill>
        </w:rPr>
        <w:t>司法制度和法律职业道德</w:t>
      </w:r>
      <w:bookmarkEnd w:id="0"/>
    </w:p>
    <w:p w14:paraId="23EB4A80">
      <w:pPr>
        <w:keepNext w:val="0"/>
        <w:keepLines w:val="0"/>
        <w:pageBreakBefore w:val="0"/>
        <w:widowControl w:val="0"/>
        <w:tabs>
          <w:tab w:val="left" w:pos="420"/>
        </w:tabs>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cs="宋体"/>
          <w:b/>
          <w:bCs/>
          <w:color w:val="000000" w:themeColor="text1"/>
          <w:sz w:val="24"/>
          <w:szCs w:val="24"/>
          <w:lang w:val="en-US" w:eastAsia="zh-CN"/>
          <w14:textFill>
            <w14:solidFill>
              <w14:schemeClr w14:val="tx1"/>
            </w14:solidFill>
          </w14:textFill>
        </w:rPr>
        <w:t>第三讲</w:t>
      </w:r>
    </w:p>
    <w:p w14:paraId="231E2066">
      <w:pPr>
        <w:keepNext w:val="0"/>
        <w:keepLines w:val="0"/>
        <w:pageBreakBefore w:val="0"/>
        <w:widowControl w:val="0"/>
        <w:tabs>
          <w:tab w:val="left" w:pos="420"/>
        </w:tabs>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rPr>
      </w:pPr>
      <w:bookmarkStart w:id="1" w:name="_Toc230600002"/>
      <w:bookmarkStart w:id="2" w:name="_Toc27320_WPSOffice_Level1"/>
      <w:bookmarkStart w:id="3" w:name="_Toc9801"/>
      <w:r>
        <w:rPr>
          <w:rFonts w:hint="eastAsia" w:ascii="宋体" w:hAnsi="宋体" w:eastAsia="宋体" w:cs="宋体"/>
          <w:b/>
          <w:bCs/>
          <w:color w:val="000000" w:themeColor="text1"/>
          <w:sz w:val="24"/>
          <w:szCs w:val="24"/>
          <w:lang w:val="en-US" w:eastAsia="zh-CN"/>
          <w14:textFill>
            <w14:solidFill>
              <w14:schemeClr w14:val="tx1"/>
            </w14:solidFill>
          </w14:textFill>
        </w:rPr>
        <w:t>考点1</w:t>
      </w:r>
      <w:r>
        <w:rPr>
          <w:rFonts w:hint="eastAsia" w:cs="宋体"/>
          <w:b/>
          <w:bCs/>
          <w:color w:val="000000" w:themeColor="text1"/>
          <w:sz w:val="24"/>
          <w:szCs w:val="24"/>
          <w:lang w:val="en-US" w:eastAsia="zh-CN"/>
          <w14:textFill>
            <w14:solidFill>
              <w14:schemeClr w14:val="tx1"/>
            </w14:solidFill>
          </w14:textFill>
        </w:rPr>
        <w:t>8</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w:t>
      </w:r>
      <w:bookmarkEnd w:id="1"/>
      <w:bookmarkEnd w:id="2"/>
      <w:bookmarkEnd w:id="3"/>
      <w:r>
        <w:rPr>
          <w:rFonts w:hint="eastAsia" w:ascii="宋体" w:hAnsi="宋体" w:eastAsia="宋体" w:cs="宋体"/>
          <w:b/>
          <w:bCs/>
          <w:color w:val="000000" w:themeColor="text1"/>
          <w:sz w:val="24"/>
          <w:szCs w:val="24"/>
          <w:lang w:val="en-US" w:eastAsia="zh-CN"/>
          <w14:textFill>
            <w14:solidFill>
              <w14:schemeClr w14:val="tx1"/>
            </w14:solidFill>
          </w14:textFill>
        </w:rPr>
        <w:t>检察官职业道德</w:t>
      </w:r>
      <w:r>
        <w:rPr>
          <w:rFonts w:hint="eastAsia" w:cs="宋体"/>
          <w:b/>
          <w:bCs/>
          <w:color w:val="000000" w:themeColor="text1"/>
          <w:sz w:val="24"/>
          <w:szCs w:val="24"/>
          <w:lang w:val="en-US" w:eastAsia="zh-CN"/>
          <w14:textFill>
            <w14:solidFill>
              <w14:schemeClr w14:val="tx1"/>
            </w14:solidFill>
          </w14:textFill>
        </w:rPr>
        <w:t>（19:52—20:23）</w:t>
      </w:r>
    </w:p>
    <w:p w14:paraId="01ECA9C9">
      <w:pPr>
        <w:spacing w:line="384" w:lineRule="exact"/>
        <w:jc w:val="left"/>
        <w:rPr>
          <w:rFonts w:hint="eastAsia" w:ascii="宋体" w:hAnsi="宋体" w:eastAsia="宋体" w:cs="宋体"/>
          <w:b/>
          <w:bCs w:val="0"/>
          <w:color w:val="FF0000"/>
          <w:sz w:val="21"/>
          <w:szCs w:val="21"/>
        </w:rPr>
      </w:pPr>
      <w:r>
        <w:rPr>
          <w:rFonts w:hint="eastAsia" w:ascii="宋体" w:hAnsi="宋体" w:eastAsia="宋体" w:cs="宋体"/>
          <w:b/>
          <w:bCs w:val="0"/>
          <w:color w:val="auto"/>
          <w:sz w:val="21"/>
          <w:szCs w:val="21"/>
        </w:rPr>
        <w:t>一、检察官职业道德的主要内容</w:t>
      </w:r>
    </w:p>
    <w:p w14:paraId="5E90A85F">
      <w:pPr>
        <w:spacing w:line="384" w:lineRule="exact"/>
        <w:ind w:firstLine="253" w:firstLineChars="120"/>
        <w:jc w:val="left"/>
        <w:rPr>
          <w:rFonts w:hint="eastAsia" w:ascii="汉仪大宋简" w:hAnsi="汉仪大宋简" w:eastAsia="汉仪大宋简" w:cs="汉仪大宋简"/>
          <w:bCs/>
          <w:color w:val="auto"/>
          <w:sz w:val="26"/>
          <w:szCs w:val="24"/>
        </w:rPr>
      </w:pPr>
      <w:r>
        <w:rPr>
          <w:rFonts w:hint="eastAsia" w:ascii="宋体" w:hAnsi="宋体" w:eastAsia="宋体" w:cs="宋体"/>
          <w:b/>
          <w:bCs w:val="0"/>
          <w:color w:val="auto"/>
          <w:sz w:val="21"/>
          <w:szCs w:val="21"/>
        </w:rPr>
        <w:t>（一）忠诚</w:t>
      </w:r>
      <w:r>
        <w:rPr>
          <w:rFonts w:hint="eastAsia" w:cs="宋体"/>
          <w:b/>
          <w:bCs w:val="0"/>
          <w:color w:val="auto"/>
          <w:sz w:val="21"/>
          <w:szCs w:val="21"/>
          <w:lang w:eastAsia="zh-CN"/>
        </w:rPr>
        <w:t>（</w:t>
      </w:r>
      <w:r>
        <w:rPr>
          <w:rFonts w:hint="eastAsia" w:cs="宋体"/>
          <w:b/>
          <w:bCs w:val="0"/>
          <w:color w:val="auto"/>
          <w:sz w:val="21"/>
          <w:szCs w:val="21"/>
          <w:lang w:val="en-US" w:eastAsia="zh-CN"/>
        </w:rPr>
        <w:t>政治素质</w:t>
      </w:r>
      <w:r>
        <w:rPr>
          <w:rFonts w:hint="eastAsia" w:cs="宋体"/>
          <w:b/>
          <w:bCs w:val="0"/>
          <w:color w:val="auto"/>
          <w:sz w:val="21"/>
          <w:szCs w:val="21"/>
          <w:lang w:eastAsia="zh-CN"/>
        </w:rPr>
        <w:t>）：</w:t>
      </w:r>
      <w:r>
        <w:rPr>
          <w:rFonts w:hint="eastAsia" w:cs="宋体"/>
          <w:b w:val="0"/>
          <w:bCs/>
          <w:color w:val="auto"/>
          <w:sz w:val="21"/>
          <w:szCs w:val="21"/>
          <w:lang w:val="en-US" w:eastAsia="zh-CN"/>
        </w:rPr>
        <w:t>1.</w:t>
      </w:r>
      <w:r>
        <w:rPr>
          <w:rFonts w:hint="eastAsia" w:ascii="宋体" w:hAnsi="宋体" w:eastAsia="宋体" w:cs="宋体"/>
          <w:spacing w:val="-3"/>
          <w:sz w:val="21"/>
          <w:szCs w:val="21"/>
        </w:rPr>
        <w:t>忠于党、忠于国家、忠于人民、忠于法律，</w:t>
      </w:r>
      <w:r>
        <w:rPr>
          <w:rFonts w:hint="eastAsia" w:cs="宋体"/>
          <w:spacing w:val="-3"/>
          <w:sz w:val="21"/>
          <w:szCs w:val="21"/>
          <w:lang w:val="en-US" w:eastAsia="zh-CN"/>
        </w:rPr>
        <w:t>忠于检察事业；2.</w:t>
      </w:r>
      <w:r>
        <w:rPr>
          <w:rFonts w:hint="eastAsia" w:ascii="宋体" w:hAnsi="宋体" w:eastAsia="宋体" w:cs="宋体"/>
          <w:sz w:val="21"/>
          <w:szCs w:val="21"/>
        </w:rPr>
        <w:t>检察官应当维护检察机关的形象和检察权的公信力，不因个人事务及其他非公事由而影响职责的正常履行。</w:t>
      </w:r>
    </w:p>
    <w:p w14:paraId="3BDCFAE0">
      <w:pPr>
        <w:spacing w:line="384" w:lineRule="exact"/>
        <w:ind w:firstLine="253" w:firstLineChars="120"/>
        <w:jc w:val="left"/>
        <w:rPr>
          <w:rFonts w:hint="eastAsia" w:cs="宋体"/>
          <w:b w:val="0"/>
          <w:bCs/>
          <w:color w:val="auto"/>
          <w:sz w:val="21"/>
          <w:szCs w:val="21"/>
          <w:lang w:eastAsia="zh-CN"/>
        </w:rPr>
      </w:pPr>
      <w:r>
        <w:rPr>
          <w:rFonts w:hint="eastAsia" w:ascii="宋体" w:hAnsi="宋体" w:eastAsia="宋体" w:cs="宋体"/>
          <w:b/>
          <w:bCs w:val="0"/>
          <w:color w:val="auto"/>
          <w:sz w:val="21"/>
          <w:szCs w:val="21"/>
        </w:rPr>
        <w:t>（二）为民</w:t>
      </w:r>
      <w:r>
        <w:rPr>
          <w:rFonts w:hint="eastAsia" w:cs="宋体"/>
          <w:b/>
          <w:bCs w:val="0"/>
          <w:color w:val="auto"/>
          <w:sz w:val="21"/>
          <w:szCs w:val="21"/>
          <w:lang w:eastAsia="zh-CN"/>
        </w:rPr>
        <w:t>：</w:t>
      </w:r>
      <w:r>
        <w:rPr>
          <w:rFonts w:hint="eastAsia" w:cs="宋体"/>
          <w:b w:val="0"/>
          <w:bCs/>
          <w:color w:val="auto"/>
          <w:sz w:val="21"/>
          <w:szCs w:val="21"/>
          <w:lang w:eastAsia="zh-CN"/>
        </w:rPr>
        <w:t>1．坚持以人民利益为重的理念；2．坚持严格、规范、公正、文明执法；3．坚持融入群众、倾听群众呼声、解决群众诉求、接受群众监督</w:t>
      </w:r>
    </w:p>
    <w:p w14:paraId="27110B24">
      <w:pPr>
        <w:spacing w:line="384" w:lineRule="exact"/>
        <w:ind w:firstLine="253" w:firstLineChars="120"/>
        <w:jc w:val="left"/>
        <w:rPr>
          <w:rFonts w:hint="eastAsia" w:eastAsia="汉仪中黑简" w:cs="仿宋"/>
          <w:bCs/>
          <w:color w:val="FF0000"/>
        </w:rPr>
      </w:pPr>
      <w:r>
        <w:rPr>
          <w:rFonts w:hint="eastAsia" w:ascii="宋体" w:hAnsi="宋体" w:eastAsia="宋体" w:cs="宋体"/>
          <w:b/>
          <w:bCs w:val="0"/>
          <w:color w:val="auto"/>
          <w:sz w:val="21"/>
          <w:szCs w:val="21"/>
          <w:lang w:eastAsia="zh-CN"/>
        </w:rPr>
        <w:t>（三）担当</w:t>
      </w:r>
      <w:r>
        <w:rPr>
          <w:rFonts w:hint="eastAsia" w:cs="宋体"/>
          <w:b/>
          <w:bCs w:val="0"/>
          <w:color w:val="auto"/>
          <w:sz w:val="21"/>
          <w:szCs w:val="21"/>
          <w:lang w:eastAsia="zh-CN"/>
        </w:rPr>
        <w:t>（</w:t>
      </w:r>
      <w:r>
        <w:rPr>
          <w:rFonts w:hint="eastAsia" w:cs="宋体"/>
          <w:b/>
          <w:bCs w:val="0"/>
          <w:color w:val="C00000"/>
          <w:sz w:val="21"/>
          <w:szCs w:val="21"/>
          <w:lang w:val="en-US" w:eastAsia="zh-CN"/>
        </w:rPr>
        <w:t>法官的职业道德上没有这条要求，因为法律监督意味着可能得罪人，所以赋予了检察官需要有担当的职业道德要求，但多了维护司法形象的要求</w:t>
      </w:r>
      <w:r>
        <w:rPr>
          <w:rFonts w:hint="eastAsia" w:cs="宋体"/>
          <w:b/>
          <w:bCs w:val="0"/>
          <w:color w:val="auto"/>
          <w:sz w:val="21"/>
          <w:szCs w:val="21"/>
          <w:lang w:eastAsia="zh-CN"/>
        </w:rPr>
        <w:t>）：</w:t>
      </w:r>
      <w:r>
        <w:rPr>
          <w:rFonts w:hint="eastAsia" w:cs="宋体"/>
          <w:b w:val="0"/>
          <w:bCs/>
          <w:color w:val="auto"/>
          <w:sz w:val="21"/>
          <w:szCs w:val="21"/>
          <w:lang w:eastAsia="zh-CN"/>
        </w:rPr>
        <w:t>1．要坚决打击发生在群众身边损害群众利益的各类犯罪，提高执法公信力和人民群众满意度；2．要坚守良知、公正司法、司法公开，自觉接受人民群众和社会的监督，以公开促公正；3．要直面矛盾，正视问题。</w:t>
      </w:r>
    </w:p>
    <w:p w14:paraId="294FF354">
      <w:pPr>
        <w:spacing w:line="384" w:lineRule="exact"/>
        <w:ind w:firstLine="253" w:firstLineChars="120"/>
        <w:jc w:val="left"/>
        <w:rPr>
          <w:rFonts w:hint="eastAsia" w:cs="宋体"/>
          <w:b w:val="0"/>
          <w:bCs/>
          <w:color w:val="auto"/>
          <w:sz w:val="21"/>
          <w:szCs w:val="21"/>
          <w:lang w:eastAsia="zh-CN"/>
        </w:rPr>
      </w:pPr>
      <w:r>
        <w:rPr>
          <w:rFonts w:hint="eastAsia" w:ascii="宋体" w:hAnsi="宋体" w:eastAsia="宋体" w:cs="宋体"/>
          <w:b/>
          <w:bCs w:val="0"/>
          <w:color w:val="auto"/>
          <w:sz w:val="21"/>
          <w:szCs w:val="21"/>
        </w:rPr>
        <w:t>（四）公正</w:t>
      </w:r>
      <w:r>
        <w:rPr>
          <w:rFonts w:hint="eastAsia" w:cs="宋体"/>
          <w:b/>
          <w:bCs w:val="0"/>
          <w:color w:val="auto"/>
          <w:sz w:val="21"/>
          <w:szCs w:val="21"/>
          <w:lang w:eastAsia="zh-CN"/>
        </w:rPr>
        <w:t>：</w:t>
      </w:r>
      <w:r>
        <w:rPr>
          <w:rFonts w:hint="eastAsia" w:cs="宋体"/>
          <w:b w:val="0"/>
          <w:bCs/>
          <w:color w:val="auto"/>
          <w:sz w:val="21"/>
          <w:szCs w:val="21"/>
          <w:lang w:eastAsia="zh-CN"/>
        </w:rPr>
        <w:t>1．独立履职（</w:t>
      </w:r>
      <w:r>
        <w:rPr>
          <w:rFonts w:hint="eastAsia" w:cs="宋体"/>
          <w:b/>
          <w:bCs w:val="0"/>
          <w:color w:val="auto"/>
          <w:sz w:val="21"/>
          <w:szCs w:val="21"/>
          <w:lang w:val="en-US" w:eastAsia="zh-CN"/>
        </w:rPr>
        <w:t>对应于司法独立</w:t>
      </w:r>
      <w:r>
        <w:rPr>
          <w:rFonts w:hint="eastAsia" w:cs="宋体"/>
          <w:b w:val="0"/>
          <w:bCs/>
          <w:color w:val="auto"/>
          <w:sz w:val="21"/>
          <w:szCs w:val="21"/>
          <w:lang w:eastAsia="zh-CN"/>
        </w:rPr>
        <w:t>）；2．理性履职；（</w:t>
      </w:r>
      <w:r>
        <w:rPr>
          <w:rFonts w:hint="eastAsia" w:cs="宋体"/>
          <w:b w:val="0"/>
          <w:bCs/>
          <w:color w:val="auto"/>
          <w:sz w:val="21"/>
          <w:szCs w:val="21"/>
          <w:lang w:val="en-US" w:eastAsia="zh-CN"/>
        </w:rPr>
        <w:t>不能意气用事，滥用检察职权</w:t>
      </w:r>
      <w:r>
        <w:rPr>
          <w:rFonts w:hint="eastAsia" w:cs="宋体"/>
          <w:b w:val="0"/>
          <w:bCs/>
          <w:color w:val="auto"/>
          <w:sz w:val="21"/>
          <w:szCs w:val="21"/>
          <w:lang w:eastAsia="zh-CN"/>
        </w:rPr>
        <w:t>）；3．履职回避；</w:t>
      </w:r>
      <w:r>
        <w:rPr>
          <w:rFonts w:hint="eastAsia" w:cs="宋体"/>
          <w:b/>
          <w:bCs w:val="0"/>
          <w:color w:val="C00000"/>
          <w:sz w:val="21"/>
          <w:szCs w:val="21"/>
          <w:lang w:val="en-US" w:eastAsia="zh-CN"/>
        </w:rPr>
        <w:t>4．重视证据</w:t>
      </w:r>
      <w:r>
        <w:rPr>
          <w:rFonts w:hint="eastAsia" w:cs="宋体"/>
          <w:b w:val="0"/>
          <w:bCs/>
          <w:color w:val="auto"/>
          <w:sz w:val="21"/>
          <w:szCs w:val="21"/>
          <w:lang w:eastAsia="zh-CN"/>
        </w:rPr>
        <w:t>；（</w:t>
      </w:r>
      <w:r>
        <w:rPr>
          <w:rFonts w:hint="eastAsia" w:cs="宋体"/>
          <w:b w:val="0"/>
          <w:bCs/>
          <w:color w:val="auto"/>
          <w:sz w:val="21"/>
          <w:szCs w:val="21"/>
          <w:lang w:val="en-US" w:eastAsia="zh-CN"/>
        </w:rPr>
        <w:t>全面、客观、完整、有疑点主动予以排除</w:t>
      </w:r>
      <w:r>
        <w:rPr>
          <w:rFonts w:hint="eastAsia" w:cs="宋体"/>
          <w:b w:val="0"/>
          <w:bCs/>
          <w:color w:val="auto"/>
          <w:sz w:val="21"/>
          <w:szCs w:val="21"/>
          <w:lang w:eastAsia="zh-CN"/>
        </w:rPr>
        <w:t>）；5．遵循程序；6．保障人权；</w:t>
      </w:r>
      <w:r>
        <w:rPr>
          <w:rFonts w:hint="eastAsia" w:cs="宋体"/>
          <w:b/>
          <w:bCs w:val="0"/>
          <w:color w:val="auto"/>
          <w:sz w:val="21"/>
          <w:szCs w:val="21"/>
          <w:lang w:eastAsia="zh-CN"/>
        </w:rPr>
        <w:t>7．尊重律师和法官（</w:t>
      </w:r>
      <w:r>
        <w:rPr>
          <w:rFonts w:hint="eastAsia" w:cs="宋体"/>
          <w:b/>
          <w:bCs w:val="0"/>
          <w:color w:val="auto"/>
          <w:sz w:val="21"/>
          <w:szCs w:val="21"/>
          <w:lang w:val="en-US" w:eastAsia="zh-CN"/>
        </w:rPr>
        <w:t>注意放在公正</w:t>
      </w:r>
      <w:r>
        <w:rPr>
          <w:rFonts w:hint="eastAsia" w:cs="宋体"/>
          <w:b/>
          <w:bCs w:val="0"/>
          <w:color w:val="auto"/>
          <w:sz w:val="21"/>
          <w:szCs w:val="21"/>
          <w:lang w:eastAsia="zh-CN"/>
        </w:rPr>
        <w:t>）；</w:t>
      </w:r>
      <w:r>
        <w:rPr>
          <w:rFonts w:hint="eastAsia" w:cs="宋体"/>
          <w:b w:val="0"/>
          <w:bCs/>
          <w:color w:val="auto"/>
          <w:sz w:val="21"/>
          <w:szCs w:val="21"/>
          <w:lang w:eastAsia="zh-CN"/>
        </w:rPr>
        <w:t>8．遵守纪律（检察官不违反规定过问、干预其他检察官、其他人民检察院或者其他司法机关正在办理的案件，不私自探询其他检察官、其他人民检察院或者其他司法机关正在办理的案件情况和有关信息，不泄露案件的办理情况及案件承办人的有关信息，不违反规定会见案件当事人、诉讼代理人、辩护人及其他与案件有利害关系的人员）。</w:t>
      </w:r>
    </w:p>
    <w:p w14:paraId="7C78777D">
      <w:pPr>
        <w:spacing w:line="384" w:lineRule="exact"/>
        <w:ind w:firstLine="252" w:firstLineChars="120"/>
        <w:jc w:val="left"/>
        <w:rPr>
          <w:rFonts w:hint="eastAsia" w:cs="宋体"/>
          <w:b w:val="0"/>
          <w:bCs/>
          <w:color w:val="auto"/>
          <w:sz w:val="21"/>
          <w:szCs w:val="21"/>
          <w:lang w:eastAsia="zh-CN"/>
        </w:rPr>
      </w:pPr>
      <w:r>
        <w:rPr>
          <w:rFonts w:hint="eastAsia" w:cs="宋体"/>
          <w:b w:val="0"/>
          <w:bCs/>
          <w:color w:val="auto"/>
          <w:sz w:val="21"/>
          <w:szCs w:val="21"/>
          <w:lang w:eastAsia="zh-CN"/>
        </w:rPr>
        <w:t>9．提高效率</w:t>
      </w:r>
    </w:p>
    <w:p w14:paraId="348CE109">
      <w:pPr>
        <w:spacing w:line="384" w:lineRule="exact"/>
        <w:ind w:firstLine="253" w:firstLineChars="120"/>
        <w:jc w:val="left"/>
        <w:rPr>
          <w:rFonts w:hint="eastAsia" w:ascii="宋体" w:hAnsi="宋体" w:eastAsia="宋体" w:cs="宋体"/>
          <w:b/>
          <w:bCs w:val="0"/>
          <w:color w:val="auto"/>
          <w:sz w:val="21"/>
          <w:szCs w:val="21"/>
          <w:lang w:eastAsia="zh-CN"/>
        </w:rPr>
      </w:pPr>
      <w:r>
        <w:rPr>
          <w:rFonts w:hint="eastAsia" w:ascii="宋体" w:hAnsi="宋体" w:eastAsia="宋体" w:cs="宋体"/>
          <w:b/>
          <w:bCs w:val="0"/>
          <w:color w:val="auto"/>
          <w:sz w:val="21"/>
          <w:szCs w:val="21"/>
          <w:lang w:eastAsia="zh-CN"/>
        </w:rPr>
        <w:t>（五）廉洁</w:t>
      </w:r>
      <w:r>
        <w:rPr>
          <w:rFonts w:hint="eastAsia" w:cs="宋体"/>
          <w:b/>
          <w:bCs w:val="0"/>
          <w:color w:val="auto"/>
          <w:sz w:val="21"/>
          <w:szCs w:val="21"/>
          <w:lang w:eastAsia="zh-CN"/>
        </w:rPr>
        <w:t>：</w:t>
      </w:r>
    </w:p>
    <w:p w14:paraId="268D1196">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1．坚持廉洁操守</w:t>
      </w:r>
      <w:r>
        <w:rPr>
          <w:rFonts w:hint="eastAsia" w:cs="宋体"/>
          <w:b/>
          <w:bCs w:val="0"/>
          <w:kern w:val="44"/>
          <w:sz w:val="21"/>
          <w:szCs w:val="21"/>
          <w:lang w:eastAsia="zh-CN"/>
        </w:rPr>
        <w:t>：</w:t>
      </w:r>
      <w:r>
        <w:rPr>
          <w:rFonts w:hint="eastAsia" w:ascii="宋体" w:hAnsi="宋体" w:eastAsia="宋体" w:cs="宋体"/>
          <w:sz w:val="21"/>
          <w:szCs w:val="21"/>
        </w:rPr>
        <w:t>（1）检察官不应利用职务便利或者检察官的身份、声誉及影响，为自己、家人或者他人谋取不正当利益；（2）不从事、参与经商办企业、违法违规营利活动，以及其他可能有损检察官廉洁形象的商业、经营活动；（3）不参加营利性或者可能借检察官影响力营利的社团组织；（4）检察官应当不收受案件当事人及其亲友、案件利害关系人或者单位及其所委托的人以任何名义馈赠的礼品礼金、有价证券、购物凭证以及干股等；（5）不参加其安排的宴请、娱乐休闲、旅游度假等可能影响公正办案的活动；（6）不接受其提供的各种费用报销，出借的钱款、交通通讯工具、贵重物品及其他利益。</w:t>
      </w:r>
    </w:p>
    <w:p w14:paraId="6ADB22EF">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2．避免不当影响</w:t>
      </w:r>
      <w:r>
        <w:rPr>
          <w:rFonts w:hint="eastAsia" w:cs="宋体"/>
          <w:b/>
          <w:bCs w:val="0"/>
          <w:kern w:val="44"/>
          <w:sz w:val="21"/>
          <w:szCs w:val="21"/>
          <w:lang w:eastAsia="zh-CN"/>
        </w:rPr>
        <w:t>：</w:t>
      </w:r>
      <w:r>
        <w:rPr>
          <w:rFonts w:hint="eastAsia" w:ascii="宋体" w:hAnsi="宋体" w:eastAsia="宋体" w:cs="宋体"/>
          <w:sz w:val="21"/>
          <w:szCs w:val="21"/>
        </w:rPr>
        <w:t>（1）检察官</w:t>
      </w:r>
      <w:r>
        <w:rPr>
          <w:rFonts w:hint="eastAsia" w:ascii="宋体" w:hAnsi="宋体" w:eastAsia="宋体" w:cs="宋体"/>
          <w:b/>
          <w:bCs/>
          <w:sz w:val="21"/>
          <w:szCs w:val="21"/>
        </w:rPr>
        <w:t>不得兼任律师、法律顾问等职务</w:t>
      </w:r>
      <w:r>
        <w:rPr>
          <w:rFonts w:hint="eastAsia" w:ascii="宋体" w:hAnsi="宋体" w:eastAsia="宋体" w:cs="宋体"/>
          <w:sz w:val="21"/>
          <w:szCs w:val="21"/>
        </w:rPr>
        <w:t>，</w:t>
      </w:r>
      <w:r>
        <w:rPr>
          <w:rFonts w:hint="eastAsia" w:ascii="宋体" w:hAnsi="宋体" w:eastAsia="宋体" w:cs="宋体"/>
          <w:b/>
          <w:bCs/>
          <w:sz w:val="21"/>
          <w:szCs w:val="21"/>
        </w:rPr>
        <w:t>不私自会见所办案件当事人及其代理人</w:t>
      </w:r>
      <w:r>
        <w:rPr>
          <w:rFonts w:hint="eastAsia" w:ascii="宋体" w:hAnsi="宋体" w:eastAsia="宋体" w:cs="宋体"/>
          <w:sz w:val="21"/>
          <w:szCs w:val="21"/>
        </w:rPr>
        <w:t>，</w:t>
      </w:r>
      <w:r>
        <w:rPr>
          <w:rFonts w:hint="eastAsia" w:ascii="宋体" w:hAnsi="宋体" w:eastAsia="宋体" w:cs="宋体"/>
          <w:b/>
          <w:bCs/>
          <w:sz w:val="21"/>
          <w:szCs w:val="21"/>
        </w:rPr>
        <w:t>不私下为所办案件的当事人介绍辩护人或者诉讼代理人等</w:t>
      </w:r>
      <w:r>
        <w:rPr>
          <w:rFonts w:hint="eastAsia" w:ascii="宋体" w:hAnsi="宋体" w:eastAsia="宋体" w:cs="宋体"/>
          <w:sz w:val="21"/>
          <w:szCs w:val="21"/>
        </w:rPr>
        <w:t>。（2）退休检察官应当继续保持良好操守，不再延用原检察官身份、职务，不利用原地位、身份形成的影响和便利条件，过问、干预执法办案活动，为承揽律师业务或者其他请托事宜打招呼、行便利，避免因不当言行给检察机关带来不良影响。</w:t>
      </w:r>
    </w:p>
    <w:p w14:paraId="7CA0B8F5">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3．妥善处理个人事务</w:t>
      </w:r>
      <w:r>
        <w:rPr>
          <w:rFonts w:hint="eastAsia" w:cs="宋体"/>
          <w:b/>
          <w:bCs w:val="0"/>
          <w:kern w:val="44"/>
          <w:sz w:val="21"/>
          <w:szCs w:val="21"/>
          <w:lang w:eastAsia="zh-CN"/>
        </w:rPr>
        <w:t>：</w:t>
      </w:r>
      <w:r>
        <w:rPr>
          <w:rFonts w:hint="eastAsia" w:ascii="宋体" w:hAnsi="宋体" w:eastAsia="宋体" w:cs="宋体"/>
          <w:sz w:val="21"/>
          <w:szCs w:val="21"/>
        </w:rPr>
        <w:t>（1）检察官应当慎微慎独，妥善处理个人事务，按照有关规定报告个人有关事项，如实申报</w:t>
      </w:r>
      <w:r>
        <w:rPr>
          <w:rFonts w:hint="eastAsia" w:cs="宋体"/>
          <w:sz w:val="21"/>
          <w:szCs w:val="21"/>
          <w:lang w:val="en-US" w:eastAsia="zh-CN"/>
        </w:rPr>
        <w:t>收入</w:t>
      </w:r>
      <w:r>
        <w:rPr>
          <w:rFonts w:hint="eastAsia" w:ascii="宋体" w:hAnsi="宋体" w:eastAsia="宋体" w:cs="宋体"/>
          <w:sz w:val="21"/>
          <w:szCs w:val="21"/>
        </w:rPr>
        <w:t>；（2）保持与合法收入、财产相当的生活水平和健康的生活情趣。</w:t>
      </w:r>
    </w:p>
    <w:p w14:paraId="248DD613">
      <w:pPr>
        <w:spacing w:line="384" w:lineRule="exact"/>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二、检察官职业责任</w:t>
      </w:r>
    </w:p>
    <w:p w14:paraId="44B85B83">
      <w:pPr>
        <w:spacing w:line="384" w:lineRule="exact"/>
        <w:ind w:firstLine="253" w:firstLineChars="120"/>
        <w:jc w:val="left"/>
        <w:rPr>
          <w:rFonts w:hint="eastAsia" w:eastAsia="汉仪书宋二简"/>
          <w:bCs/>
        </w:rPr>
      </w:pPr>
      <w:r>
        <w:rPr>
          <w:rFonts w:hint="eastAsia" w:ascii="宋体" w:hAnsi="宋体" w:eastAsia="宋体" w:cs="宋体"/>
          <w:b/>
          <w:bCs w:val="0"/>
          <w:color w:val="auto"/>
          <w:sz w:val="21"/>
          <w:szCs w:val="21"/>
          <w:lang w:eastAsia="zh-CN"/>
        </w:rPr>
        <w:t>（一）职业责任类型</w:t>
      </w:r>
      <w:r>
        <w:rPr>
          <w:rFonts w:hint="eastAsia" w:cs="宋体"/>
          <w:sz w:val="21"/>
          <w:szCs w:val="21"/>
          <w:lang w:val="en-US" w:eastAsia="zh-CN"/>
        </w:rPr>
        <w:t>：检察官职业责任包括司法责任和刑事责任两类。</w:t>
      </w:r>
    </w:p>
    <w:p w14:paraId="6F9B9AE9">
      <w:pPr>
        <w:spacing w:line="384" w:lineRule="exact"/>
        <w:ind w:firstLine="253" w:firstLineChars="120"/>
        <w:jc w:val="left"/>
        <w:rPr>
          <w:rFonts w:hint="eastAsia" w:ascii="宋体" w:hAnsi="宋体" w:eastAsia="宋体" w:cs="宋体"/>
          <w:b/>
          <w:bCs w:val="0"/>
          <w:color w:val="auto"/>
          <w:sz w:val="21"/>
          <w:szCs w:val="21"/>
          <w:lang w:eastAsia="zh-CN"/>
        </w:rPr>
      </w:pPr>
      <w:r>
        <w:rPr>
          <w:rFonts w:hint="eastAsia" w:ascii="宋体" w:hAnsi="宋体" w:eastAsia="宋体" w:cs="宋体"/>
          <w:b/>
          <w:bCs w:val="0"/>
          <w:color w:val="auto"/>
          <w:sz w:val="21"/>
          <w:szCs w:val="21"/>
          <w:lang w:eastAsia="zh-CN"/>
        </w:rPr>
        <w:t>（二）检察官司法责任</w:t>
      </w:r>
    </w:p>
    <w:p w14:paraId="7EBC7355">
      <w:pPr>
        <w:spacing w:line="384" w:lineRule="exact"/>
        <w:ind w:firstLine="422" w:firstLineChars="200"/>
        <w:rPr>
          <w:rFonts w:hint="eastAsia" w:eastAsia="汉仪书宋二简"/>
          <w:bCs/>
        </w:rPr>
      </w:pPr>
      <w:r>
        <w:rPr>
          <w:rFonts w:hint="eastAsia" w:ascii="宋体" w:hAnsi="宋体" w:eastAsia="宋体" w:cs="宋体"/>
          <w:b/>
          <w:bCs w:val="0"/>
          <w:kern w:val="44"/>
          <w:sz w:val="21"/>
          <w:szCs w:val="21"/>
        </w:rPr>
        <w:t>1．司法责任认定</w:t>
      </w:r>
      <w:r>
        <w:rPr>
          <w:rFonts w:hint="eastAsia" w:cs="宋体"/>
          <w:b/>
          <w:bCs w:val="0"/>
          <w:kern w:val="44"/>
          <w:sz w:val="21"/>
          <w:szCs w:val="21"/>
          <w:lang w:eastAsia="zh-CN"/>
        </w:rPr>
        <w:t>：</w:t>
      </w:r>
      <w:r>
        <w:rPr>
          <w:rFonts w:hint="eastAsia" w:ascii="宋体" w:hAnsi="宋体" w:eastAsia="宋体" w:cs="宋体"/>
          <w:sz w:val="21"/>
          <w:szCs w:val="21"/>
        </w:rPr>
        <w:t>原则上应结合</w:t>
      </w:r>
      <w:r>
        <w:rPr>
          <w:rFonts w:hint="eastAsia" w:ascii="宋体" w:hAnsi="宋体" w:eastAsia="宋体" w:cs="宋体"/>
          <w:b/>
          <w:bCs/>
          <w:sz w:val="21"/>
          <w:szCs w:val="21"/>
        </w:rPr>
        <w:t>职责范围、错误成因</w:t>
      </w:r>
      <w:r>
        <w:rPr>
          <w:rFonts w:hint="eastAsia" w:ascii="宋体" w:hAnsi="宋体" w:eastAsia="宋体" w:cs="宋体"/>
          <w:sz w:val="21"/>
          <w:szCs w:val="21"/>
        </w:rPr>
        <w:t>等因素判断</w:t>
      </w:r>
      <w:r>
        <w:rPr>
          <w:rFonts w:hint="eastAsia" w:ascii="宋体" w:hAnsi="宋体" w:eastAsia="宋体" w:cs="宋体"/>
          <w:b/>
          <w:bCs/>
          <w:sz w:val="21"/>
          <w:szCs w:val="21"/>
        </w:rPr>
        <w:t>司法责任</w:t>
      </w:r>
      <w:r>
        <w:rPr>
          <w:rFonts w:hint="eastAsia" w:ascii="宋体" w:hAnsi="宋体" w:eastAsia="宋体" w:cs="宋体"/>
          <w:sz w:val="21"/>
          <w:szCs w:val="21"/>
        </w:rPr>
        <w:t>承担主体。</w:t>
      </w:r>
    </w:p>
    <w:p w14:paraId="1EA18C1A">
      <w:pPr>
        <w:spacing w:line="384" w:lineRule="exact"/>
        <w:ind w:firstLine="422" w:firstLineChars="200"/>
        <w:rPr>
          <w:rFonts w:hint="eastAsia" w:ascii="宋体" w:hAnsi="宋体" w:eastAsia="宋体" w:cs="宋体"/>
          <w:b/>
          <w:bCs/>
          <w:color w:val="C00000"/>
          <w:sz w:val="21"/>
          <w:szCs w:val="21"/>
        </w:rPr>
      </w:pPr>
      <w:r>
        <w:rPr>
          <w:rFonts w:hint="eastAsia" w:ascii="宋体" w:hAnsi="宋体" w:eastAsia="宋体" w:cs="宋体"/>
          <w:b/>
          <w:bCs/>
          <w:color w:val="C00000"/>
          <w:sz w:val="21"/>
          <w:szCs w:val="21"/>
        </w:rPr>
        <w:t>例外：（副）检察长不同意检察官处理意见，要求检察官复核，检察官根据（副）检察长的要求进行复核并改变原处理意见的，（副）检察长与检察官共同承担司法责任。</w:t>
      </w:r>
    </w:p>
    <w:p w14:paraId="05774616">
      <w:pPr>
        <w:spacing w:line="384" w:lineRule="exact"/>
        <w:ind w:firstLine="422" w:firstLineChars="200"/>
        <w:rPr>
          <w:rFonts w:hint="eastAsia" w:ascii="宋体" w:hAnsi="宋体" w:eastAsia="宋体" w:cs="宋体"/>
          <w:color w:val="FF0000"/>
          <w:sz w:val="21"/>
          <w:szCs w:val="21"/>
        </w:rPr>
      </w:pPr>
      <w:r>
        <w:rPr>
          <w:rFonts w:hint="eastAsia" w:ascii="宋体" w:hAnsi="宋体" w:eastAsia="宋体" w:cs="宋体"/>
          <w:b/>
          <w:bCs w:val="0"/>
          <w:kern w:val="44"/>
          <w:sz w:val="21"/>
          <w:szCs w:val="21"/>
        </w:rPr>
        <w:t>2．追究程序</w:t>
      </w:r>
      <w:r>
        <w:rPr>
          <w:rFonts w:hint="eastAsia" w:cs="宋体"/>
          <w:b/>
          <w:bCs w:val="0"/>
          <w:kern w:val="44"/>
          <w:sz w:val="21"/>
          <w:szCs w:val="21"/>
          <w:lang w:eastAsia="zh-CN"/>
        </w:rPr>
        <w:t>：</w:t>
      </w:r>
      <w:r>
        <w:rPr>
          <w:rFonts w:hint="eastAsia" w:ascii="宋体" w:hAnsi="宋体" w:eastAsia="宋体" w:cs="宋体"/>
          <w:sz w:val="21"/>
          <w:szCs w:val="21"/>
          <w:lang w:val="en-US" w:eastAsia="zh-CN"/>
        </w:rPr>
        <w:t>略</w:t>
      </w:r>
      <w:r>
        <w:rPr>
          <w:rFonts w:hint="eastAsia" w:cs="宋体"/>
          <w:sz w:val="21"/>
          <w:szCs w:val="21"/>
          <w:lang w:val="en-US" w:eastAsia="zh-CN"/>
        </w:rPr>
        <w:t>，</w:t>
      </w:r>
      <w:r>
        <w:rPr>
          <w:rFonts w:hint="eastAsia" w:cs="宋体"/>
          <w:b/>
          <w:bCs/>
          <w:color w:val="C00000"/>
          <w:sz w:val="21"/>
          <w:szCs w:val="21"/>
          <w:lang w:val="en-US" w:eastAsia="zh-CN"/>
        </w:rPr>
        <w:t>均需报检察长批准</w:t>
      </w:r>
    </w:p>
    <w:p w14:paraId="282E7DB6">
      <w:pPr>
        <w:keepNext w:val="0"/>
        <w:keepLines w:val="0"/>
        <w:pageBreakBefore w:val="0"/>
        <w:widowControl w:val="0"/>
        <w:tabs>
          <w:tab w:val="left" w:pos="420"/>
        </w:tabs>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bookmarkStart w:id="4" w:name="_Toc230600003"/>
      <w:bookmarkStart w:id="5" w:name="_Toc12128_WPSOffice_Level1"/>
      <w:bookmarkStart w:id="6" w:name="_Toc22203"/>
      <w:r>
        <w:rPr>
          <w:rFonts w:hint="eastAsia" w:ascii="宋体" w:hAnsi="宋体" w:eastAsia="宋体" w:cs="宋体"/>
          <w:b/>
          <w:bCs/>
          <w:color w:val="000000" w:themeColor="text1"/>
          <w:sz w:val="24"/>
          <w:szCs w:val="24"/>
          <w:lang w:val="en-US" w:eastAsia="zh-CN"/>
          <w14:textFill>
            <w14:solidFill>
              <w14:schemeClr w14:val="tx1"/>
            </w14:solidFill>
          </w14:textFill>
        </w:rPr>
        <w:t>考点1</w:t>
      </w:r>
      <w:r>
        <w:rPr>
          <w:rFonts w:hint="eastAsia" w:cs="宋体"/>
          <w:b/>
          <w:bCs/>
          <w:color w:val="000000" w:themeColor="text1"/>
          <w:sz w:val="24"/>
          <w:szCs w:val="24"/>
          <w:lang w:val="en-US" w:eastAsia="zh-CN"/>
          <w14:textFill>
            <w14:solidFill>
              <w14:schemeClr w14:val="tx1"/>
            </w14:solidFill>
          </w14:textFill>
        </w:rPr>
        <w:t>9</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w:t>
      </w:r>
      <w:bookmarkEnd w:id="4"/>
      <w:bookmarkEnd w:id="5"/>
      <w:bookmarkEnd w:id="6"/>
      <w:r>
        <w:rPr>
          <w:rFonts w:hint="eastAsia" w:ascii="宋体" w:hAnsi="宋体" w:eastAsia="宋体" w:cs="宋体"/>
          <w:b/>
          <w:bCs/>
          <w:color w:val="000000" w:themeColor="text1"/>
          <w:sz w:val="24"/>
          <w:szCs w:val="24"/>
          <w:lang w:val="en-US" w:eastAsia="zh-CN"/>
          <w14:textFill>
            <w14:solidFill>
              <w14:schemeClr w14:val="tx1"/>
            </w14:solidFill>
          </w14:textFill>
        </w:rPr>
        <w:t>律师执业行为规范</w:t>
      </w:r>
      <w:r>
        <w:rPr>
          <w:rFonts w:hint="eastAsia" w:cs="宋体"/>
          <w:b/>
          <w:bCs/>
          <w:color w:val="000000" w:themeColor="text1"/>
          <w:sz w:val="24"/>
          <w:szCs w:val="24"/>
          <w:lang w:val="en-US" w:eastAsia="zh-CN"/>
          <w14:textFill>
            <w14:solidFill>
              <w14:schemeClr w14:val="tx1"/>
            </w14:solidFill>
          </w14:textFill>
        </w:rPr>
        <w:t>（20:33—21:54）</w:t>
      </w:r>
    </w:p>
    <w:p w14:paraId="347FE854">
      <w:pPr>
        <w:spacing w:line="384" w:lineRule="exact"/>
        <w:jc w:val="left"/>
        <w:rPr>
          <w:rFonts w:hint="eastAsia" w:ascii="宋体" w:hAnsi="宋体" w:eastAsia="宋体" w:cs="宋体"/>
          <w:b/>
          <w:bCs w:val="0"/>
          <w:color w:val="auto"/>
          <w:sz w:val="21"/>
          <w:szCs w:val="21"/>
        </w:rPr>
      </w:pPr>
      <w:bookmarkStart w:id="7" w:name="_Toc230600004"/>
      <w:bookmarkStart w:id="8" w:name="_Toc28293"/>
      <w:bookmarkStart w:id="9" w:name="_Toc2335_WPSOffice_Level1"/>
      <w:r>
        <w:rPr>
          <w:rFonts w:hint="eastAsia" w:ascii="宋体" w:hAnsi="宋体" w:eastAsia="宋体" w:cs="宋体"/>
          <w:b/>
          <w:bCs w:val="0"/>
          <w:color w:val="auto"/>
          <w:sz w:val="21"/>
          <w:szCs w:val="21"/>
        </w:rPr>
        <w:t>一、律师业务推广行为规范</w:t>
      </w:r>
    </w:p>
    <w:p w14:paraId="5468B349">
      <w:pPr>
        <w:tabs>
          <w:tab w:val="left" w:pos="420"/>
        </w:tabs>
        <w:spacing w:line="384" w:lineRule="exact"/>
        <w:ind w:firstLine="422" w:firstLineChars="200"/>
        <w:rPr>
          <w:rFonts w:hint="eastAsia" w:eastAsia="汉仪中黑简"/>
          <w:color w:val="FF0000"/>
        </w:rPr>
      </w:pPr>
      <w:r>
        <w:rPr>
          <w:rFonts w:hint="eastAsia" w:ascii="宋体" w:hAnsi="宋体" w:eastAsia="宋体" w:cs="宋体"/>
          <w:b/>
          <w:bCs w:val="0"/>
          <w:color w:val="auto"/>
          <w:sz w:val="21"/>
          <w:szCs w:val="21"/>
          <w:lang w:eastAsia="zh-CN"/>
        </w:rPr>
        <w:t>（一）律师业务推广的方式</w:t>
      </w:r>
      <w:r>
        <w:rPr>
          <w:rFonts w:hint="eastAsia" w:cs="宋体"/>
          <w:b/>
          <w:bCs w:val="0"/>
          <w:kern w:val="44"/>
          <w:sz w:val="21"/>
          <w:szCs w:val="21"/>
          <w:lang w:eastAsia="zh-CN"/>
        </w:rPr>
        <w:t>：</w:t>
      </w:r>
      <w:r>
        <w:rPr>
          <w:rFonts w:hint="eastAsia" w:cs="宋体"/>
          <w:sz w:val="21"/>
          <w:szCs w:val="21"/>
          <w:lang w:val="en-US" w:eastAsia="zh-CN"/>
        </w:rPr>
        <w:t>发布律师广告并非律师业务推广的唯一方式。</w:t>
      </w:r>
    </w:p>
    <w:p w14:paraId="152C0A7E">
      <w:pPr>
        <w:tabs>
          <w:tab w:val="left" w:pos="420"/>
        </w:tabs>
        <w:spacing w:line="384" w:lineRule="exact"/>
        <w:ind w:firstLine="422" w:firstLineChars="200"/>
        <w:rPr>
          <w:rFonts w:hint="default"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eastAsia="zh-CN"/>
        </w:rPr>
        <w:t>（二）禁止发布律师服务广告情形</w:t>
      </w:r>
      <w:r>
        <w:rPr>
          <w:rFonts w:hint="eastAsia" w:cs="宋体"/>
          <w:b/>
          <w:bCs w:val="0"/>
          <w:color w:val="auto"/>
          <w:sz w:val="21"/>
          <w:szCs w:val="21"/>
          <w:lang w:val="en-US" w:eastAsia="zh-CN"/>
        </w:rPr>
        <w:t>:</w:t>
      </w:r>
    </w:p>
    <w:p w14:paraId="1DEE53BA">
      <w:pPr>
        <w:tabs>
          <w:tab w:val="left" w:pos="420"/>
        </w:tabs>
        <w:spacing w:line="384" w:lineRule="exact"/>
        <w:ind w:firstLine="420" w:firstLineChars="200"/>
        <w:rPr>
          <w:rFonts w:hint="eastAsia" w:cs="宋体"/>
          <w:sz w:val="21"/>
          <w:szCs w:val="21"/>
          <w:lang w:val="en-US" w:eastAsia="zh-CN"/>
        </w:rPr>
      </w:pPr>
      <w:r>
        <w:rPr>
          <w:rFonts w:hint="eastAsia" w:cs="宋体"/>
          <w:sz w:val="21"/>
          <w:szCs w:val="21"/>
          <w:lang w:val="en-US" w:eastAsia="zh-CN"/>
        </w:rPr>
        <w:t>1．公司律师、公职律师和公职律师事务所；2．未参加年度考核或者未通过年度考核的；3．处于中止会员权利、停止执业或者停业整顿处罚期间，以及前述期间届满后未满1年的；4．受到通报批评、公开谴责未满1年的；5．其他不得发布广告的情形。</w:t>
      </w:r>
    </w:p>
    <w:p w14:paraId="50B75435">
      <w:pPr>
        <w:spacing w:line="384" w:lineRule="exact"/>
        <w:ind w:firstLine="422" w:firstLineChars="200"/>
        <w:rPr>
          <w:rFonts w:hint="eastAsia" w:ascii="汉仪书宋二简" w:hAnsi="楷体" w:eastAsia="汉仪书宋二简" w:cs="仿宋"/>
        </w:rPr>
      </w:pPr>
      <w:r>
        <w:rPr>
          <w:rFonts w:hint="eastAsia" w:ascii="宋体" w:hAnsi="宋体" w:eastAsia="宋体" w:cs="宋体"/>
          <w:b/>
          <w:bCs/>
          <w:color w:val="C00000"/>
          <w:sz w:val="21"/>
          <w:szCs w:val="21"/>
        </w:rPr>
        <w:t>兼职律师可以发布律师服务广告，但应当载明兼职律师身份。</w:t>
      </w:r>
    </w:p>
    <w:p w14:paraId="1025744A">
      <w:pPr>
        <w:tabs>
          <w:tab w:val="left" w:pos="420"/>
        </w:tabs>
        <w:spacing w:line="384" w:lineRule="exact"/>
        <w:ind w:firstLine="422" w:firstLineChars="200"/>
        <w:rPr>
          <w:rFonts w:hint="eastAsia" w:ascii="宋体" w:hAnsi="宋体" w:eastAsia="宋体" w:cs="宋体"/>
          <w:b/>
          <w:bCs w:val="0"/>
          <w:color w:val="auto"/>
          <w:sz w:val="21"/>
          <w:szCs w:val="21"/>
          <w:lang w:eastAsia="zh-CN"/>
        </w:rPr>
      </w:pPr>
      <w:r>
        <w:rPr>
          <w:rFonts w:hint="eastAsia" w:ascii="宋体" w:hAnsi="宋体" w:eastAsia="宋体" w:cs="宋体"/>
          <w:b/>
          <w:bCs w:val="0"/>
          <w:color w:val="auto"/>
          <w:sz w:val="21"/>
          <w:szCs w:val="21"/>
          <w:lang w:eastAsia="zh-CN"/>
        </w:rPr>
        <w:t>（三）业务推广禁止行为</w:t>
      </w:r>
      <w:r>
        <w:rPr>
          <w:rFonts w:hint="eastAsia" w:cs="宋体"/>
          <w:b/>
          <w:bCs w:val="0"/>
          <w:color w:val="auto"/>
          <w:sz w:val="21"/>
          <w:szCs w:val="21"/>
          <w:lang w:eastAsia="zh-CN"/>
        </w:rPr>
        <w:t>（</w:t>
      </w:r>
      <w:r>
        <w:rPr>
          <w:rFonts w:hint="eastAsia" w:cs="宋体"/>
          <w:b/>
          <w:bCs w:val="0"/>
          <w:color w:val="auto"/>
          <w:sz w:val="21"/>
          <w:szCs w:val="21"/>
          <w:lang w:val="en-US" w:eastAsia="zh-CN"/>
        </w:rPr>
        <w:t>实际还有一些，但可考性不强</w:t>
      </w:r>
      <w:r>
        <w:rPr>
          <w:rFonts w:hint="eastAsia" w:cs="宋体"/>
          <w:b/>
          <w:bCs w:val="0"/>
          <w:color w:val="auto"/>
          <w:sz w:val="21"/>
          <w:szCs w:val="21"/>
          <w:lang w:eastAsia="zh-CN"/>
        </w:rPr>
        <w:t>）</w:t>
      </w:r>
    </w:p>
    <w:p w14:paraId="63D730E1">
      <w:pPr>
        <w:tabs>
          <w:tab w:val="left" w:pos="420"/>
        </w:tabs>
        <w:spacing w:line="384" w:lineRule="exact"/>
        <w:ind w:firstLine="420" w:firstLineChars="200"/>
        <w:rPr>
          <w:rFonts w:hint="eastAsia" w:cs="宋体"/>
          <w:sz w:val="21"/>
          <w:szCs w:val="21"/>
          <w:lang w:val="en-US" w:eastAsia="zh-CN"/>
        </w:rPr>
      </w:pPr>
      <w:r>
        <w:rPr>
          <w:rFonts w:hint="eastAsia" w:cs="宋体"/>
          <w:sz w:val="21"/>
          <w:szCs w:val="21"/>
          <w:lang w:val="en-US" w:eastAsia="zh-CN"/>
        </w:rPr>
        <w:t>1．律师、律师事务所可以宣传其专业法律服务领域，但不得自我宣称或者暗示其为公认的某一专业领域的专家或者专家单位;2．虚假、误导性或者夸大性宣传；3．</w:t>
      </w:r>
      <w:r>
        <w:rPr>
          <w:rFonts w:hint="eastAsia" w:cs="宋体"/>
          <w:b/>
          <w:bCs/>
          <w:sz w:val="21"/>
          <w:szCs w:val="21"/>
          <w:lang w:val="en-US" w:eastAsia="zh-CN"/>
        </w:rPr>
        <w:t>与登记注册信息不一致</w:t>
      </w:r>
      <w:r>
        <w:rPr>
          <w:rFonts w:hint="eastAsia" w:cs="宋体"/>
          <w:sz w:val="21"/>
          <w:szCs w:val="21"/>
          <w:lang w:val="en-US" w:eastAsia="zh-CN"/>
        </w:rPr>
        <w:t>；4．</w:t>
      </w:r>
      <w:r>
        <w:rPr>
          <w:rFonts w:hint="eastAsia" w:cs="宋体"/>
          <w:b/>
          <w:bCs/>
          <w:sz w:val="21"/>
          <w:szCs w:val="21"/>
          <w:lang w:val="en-US" w:eastAsia="zh-CN"/>
        </w:rPr>
        <w:t>明示或者</w:t>
      </w:r>
      <w:r>
        <w:rPr>
          <w:rFonts w:hint="eastAsia" w:cs="宋体"/>
          <w:b/>
          <w:bCs/>
          <w:color w:val="C00000"/>
          <w:sz w:val="21"/>
          <w:szCs w:val="21"/>
          <w:lang w:val="en-US" w:eastAsia="zh-CN"/>
        </w:rPr>
        <w:t>暗示</w:t>
      </w:r>
      <w:r>
        <w:rPr>
          <w:rFonts w:hint="eastAsia" w:cs="宋体"/>
          <w:sz w:val="21"/>
          <w:szCs w:val="21"/>
          <w:lang w:val="en-US" w:eastAsia="zh-CN"/>
        </w:rPr>
        <w:t>与司法机关、政府机关、社会团体、中介机构及其工作人员有特殊关系；5．贬低其他律师事务所或者律师的；或与其他律师事务所、其他律师之间进行</w:t>
      </w:r>
      <w:r>
        <w:rPr>
          <w:rFonts w:hint="eastAsia" w:cs="宋体"/>
          <w:b/>
          <w:bCs/>
          <w:color w:val="C00000"/>
          <w:sz w:val="21"/>
          <w:szCs w:val="21"/>
          <w:lang w:val="en-US" w:eastAsia="zh-CN"/>
        </w:rPr>
        <w:t>比较宣传</w:t>
      </w:r>
      <w:r>
        <w:rPr>
          <w:rFonts w:hint="eastAsia" w:cs="宋体"/>
          <w:sz w:val="21"/>
          <w:szCs w:val="21"/>
          <w:lang w:val="en-US" w:eastAsia="zh-CN"/>
        </w:rPr>
        <w:t>；6．</w:t>
      </w:r>
      <w:r>
        <w:rPr>
          <w:rFonts w:hint="eastAsia" w:cs="宋体"/>
          <w:b/>
          <w:bCs/>
          <w:sz w:val="21"/>
          <w:szCs w:val="21"/>
          <w:lang w:val="en-US" w:eastAsia="zh-CN"/>
        </w:rPr>
        <w:t>承诺办案结果</w:t>
      </w:r>
      <w:r>
        <w:rPr>
          <w:rFonts w:hint="eastAsia" w:cs="宋体"/>
          <w:sz w:val="21"/>
          <w:szCs w:val="21"/>
          <w:lang w:val="en-US" w:eastAsia="zh-CN"/>
        </w:rPr>
        <w:t>；7．宣示胜诉率、赔偿额、标的额等可能使公众对律师、律师事务所产生不合理期望</w:t>
      </w:r>
      <w:r>
        <w:rPr>
          <w:rFonts w:hint="eastAsia" w:cs="宋体"/>
          <w:b/>
          <w:bCs/>
          <w:sz w:val="21"/>
          <w:szCs w:val="21"/>
          <w:lang w:val="en-US" w:eastAsia="zh-CN"/>
        </w:rPr>
        <w:t>(如实亦不允许)</w:t>
      </w:r>
      <w:r>
        <w:rPr>
          <w:rFonts w:hint="eastAsia" w:cs="宋体"/>
          <w:sz w:val="21"/>
          <w:szCs w:val="21"/>
          <w:lang w:val="en-US" w:eastAsia="zh-CN"/>
        </w:rPr>
        <w:t>；8．明示或者暗示提供回扣或者其他利益；9．不收费或者减低收费（法律援助案件除外）；10．未经客户许可发布的客户信息；</w:t>
      </w:r>
    </w:p>
    <w:p w14:paraId="1B647BA6">
      <w:pPr>
        <w:tabs>
          <w:tab w:val="left" w:pos="420"/>
        </w:tabs>
        <w:spacing w:line="384" w:lineRule="exact"/>
        <w:ind w:firstLine="422" w:firstLineChars="200"/>
        <w:rPr>
          <w:rFonts w:hint="eastAsia" w:ascii="宋体" w:hAnsi="宋体" w:eastAsia="宋体" w:cs="宋体"/>
          <w:b/>
          <w:bCs w:val="0"/>
          <w:color w:val="auto"/>
          <w:sz w:val="21"/>
          <w:szCs w:val="21"/>
          <w:lang w:eastAsia="zh-CN"/>
        </w:rPr>
      </w:pPr>
      <w:r>
        <w:rPr>
          <w:rFonts w:hint="eastAsia" w:ascii="宋体" w:hAnsi="宋体" w:eastAsia="宋体" w:cs="宋体"/>
          <w:b/>
          <w:bCs w:val="0"/>
          <w:color w:val="auto"/>
          <w:sz w:val="21"/>
          <w:szCs w:val="21"/>
          <w:lang w:eastAsia="zh-CN"/>
        </w:rPr>
        <w:t>（四）发布业务推广信息的禁止方式</w:t>
      </w:r>
    </w:p>
    <w:p w14:paraId="645C4EBE">
      <w:pPr>
        <w:tabs>
          <w:tab w:val="left" w:pos="420"/>
        </w:tabs>
        <w:spacing w:line="384" w:lineRule="exact"/>
        <w:ind w:firstLine="420" w:firstLineChars="200"/>
        <w:rPr>
          <w:rFonts w:hint="default" w:cs="宋体"/>
          <w:sz w:val="21"/>
          <w:szCs w:val="21"/>
          <w:lang w:val="en-US" w:eastAsia="zh-CN"/>
        </w:rPr>
      </w:pPr>
      <w:r>
        <w:rPr>
          <w:rFonts w:hint="eastAsia" w:cs="宋体"/>
          <w:sz w:val="21"/>
          <w:szCs w:val="21"/>
          <w:lang w:val="en-US" w:eastAsia="zh-CN"/>
        </w:rPr>
        <w:t>1．采用艺术夸张手段制作、发布；2．在公共场所粘贴、散发；3．以电话、信函、短信、电子邮件等方式针对不特定主体进行；4．在法院、检察院、看守所、公安机关、监狱、仲裁委员会等场所附近以广告牌、移动广告、电子信息显示牌等形式发布；5．其他有损律师职业形象和律师行业整体利益的业务推广方式</w:t>
      </w:r>
    </w:p>
    <w:p w14:paraId="34235DF2">
      <w:pPr>
        <w:spacing w:line="384" w:lineRule="exact"/>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二、律师与委托人或者当事人的关系规范</w:t>
      </w:r>
    </w:p>
    <w:p w14:paraId="4BD7DC6A">
      <w:pPr>
        <w:tabs>
          <w:tab w:val="left" w:pos="420"/>
        </w:tabs>
        <w:spacing w:line="384" w:lineRule="exact"/>
        <w:ind w:firstLine="422" w:firstLineChars="200"/>
        <w:rPr>
          <w:rFonts w:hint="eastAsia" w:ascii="宋体" w:hAnsi="宋体" w:eastAsia="宋体" w:cs="宋体"/>
          <w:b/>
          <w:bCs w:val="0"/>
          <w:color w:val="auto"/>
          <w:sz w:val="21"/>
          <w:szCs w:val="21"/>
          <w:lang w:eastAsia="zh-CN"/>
        </w:rPr>
      </w:pPr>
      <w:r>
        <w:rPr>
          <w:rFonts w:hint="eastAsia" w:ascii="宋体" w:hAnsi="宋体" w:eastAsia="宋体" w:cs="宋体"/>
          <w:b/>
          <w:bCs w:val="0"/>
          <w:color w:val="auto"/>
          <w:sz w:val="21"/>
          <w:szCs w:val="21"/>
          <w:lang w:eastAsia="zh-CN"/>
        </w:rPr>
        <w:t>（一）委托代理关系</w:t>
      </w:r>
    </w:p>
    <w:p w14:paraId="092A7C63">
      <w:pPr>
        <w:tabs>
          <w:tab w:val="left" w:pos="420"/>
        </w:tabs>
        <w:spacing w:line="384" w:lineRule="exact"/>
        <w:ind w:firstLine="420" w:firstLineChars="200"/>
        <w:rPr>
          <w:rFonts w:hint="eastAsia" w:cs="宋体"/>
          <w:sz w:val="21"/>
          <w:szCs w:val="21"/>
          <w:lang w:val="en-US" w:eastAsia="zh-CN"/>
        </w:rPr>
      </w:pPr>
      <w:r>
        <w:rPr>
          <w:rFonts w:hint="eastAsia" w:cs="宋体"/>
          <w:sz w:val="21"/>
          <w:szCs w:val="21"/>
          <w:lang w:val="en-US" w:eastAsia="zh-CN"/>
        </w:rPr>
        <w:t>1．律师应当与委托人就委托事项范围、内容、权限、费用、期限等进行协商，经协商达成一致后，由律师事务所与委托人</w:t>
      </w:r>
      <w:r>
        <w:rPr>
          <w:rFonts w:hint="eastAsia" w:cs="宋体"/>
          <w:b/>
          <w:bCs/>
          <w:sz w:val="21"/>
          <w:szCs w:val="21"/>
          <w:lang w:val="en-US" w:eastAsia="zh-CN"/>
        </w:rPr>
        <w:t>签署委托协议</w:t>
      </w:r>
      <w:r>
        <w:rPr>
          <w:rFonts w:hint="eastAsia" w:cs="宋体"/>
          <w:sz w:val="21"/>
          <w:szCs w:val="21"/>
          <w:lang w:val="en-US" w:eastAsia="zh-CN"/>
        </w:rPr>
        <w:t>；2．律师应当充分运用专业知识，依照法律和委托协议完成委托事项，维护委托人或者当事人的合法权益；3．律师接受委托后，应当在委托人委托的权限内开展执业活动，不得超越委托权限；4．律师</w:t>
      </w:r>
      <w:r>
        <w:rPr>
          <w:rFonts w:hint="eastAsia" w:cs="宋体"/>
          <w:b/>
          <w:bCs/>
          <w:color w:val="C00000"/>
          <w:sz w:val="21"/>
          <w:szCs w:val="21"/>
          <w:lang w:val="en-US" w:eastAsia="zh-CN"/>
        </w:rPr>
        <w:t>接受委托后</w:t>
      </w:r>
      <w:r>
        <w:rPr>
          <w:rFonts w:hint="eastAsia" w:cs="宋体"/>
          <w:sz w:val="21"/>
          <w:szCs w:val="21"/>
          <w:lang w:val="en-US" w:eastAsia="zh-CN"/>
        </w:rPr>
        <w:t>，</w:t>
      </w:r>
      <w:r>
        <w:rPr>
          <w:rFonts w:hint="eastAsia" w:cs="宋体"/>
          <w:b/>
          <w:bCs/>
          <w:sz w:val="21"/>
          <w:szCs w:val="21"/>
          <w:lang w:val="en-US" w:eastAsia="zh-CN"/>
        </w:rPr>
        <w:t>无正当理由不得拒绝辩护或者代理、或以其他方式终止委托。</w:t>
      </w:r>
      <w:r>
        <w:rPr>
          <w:rFonts w:hint="eastAsia" w:cs="宋体"/>
          <w:sz w:val="21"/>
          <w:szCs w:val="21"/>
          <w:lang w:val="en-US" w:eastAsia="zh-CN"/>
        </w:rPr>
        <w:t>委托事项违法、委托人利用律师提供的服务从事违法活动或者委托人故意隐瞒与案件有关的重要事实的，律师有权告知委托人并要求其整改，有权拒绝辩护或者代理、或以其他方式终止委托，</w:t>
      </w:r>
      <w:r>
        <w:rPr>
          <w:rFonts w:hint="eastAsia" w:cs="宋体"/>
          <w:b/>
          <w:bCs/>
          <w:sz w:val="21"/>
          <w:szCs w:val="21"/>
          <w:lang w:val="en-US" w:eastAsia="zh-CN"/>
        </w:rPr>
        <w:t>并有权就已经履行事务取得律师费</w:t>
      </w:r>
      <w:r>
        <w:rPr>
          <w:rFonts w:hint="eastAsia" w:cs="宋体"/>
          <w:sz w:val="21"/>
          <w:szCs w:val="21"/>
          <w:lang w:val="en-US" w:eastAsia="zh-CN"/>
        </w:rPr>
        <w:t>；5．律师在承办受托业务时，对已经出现的和可能出现的不可克服的困难、风险，应当及时通知委托人，并向律师事务所报告。</w:t>
      </w:r>
    </w:p>
    <w:p w14:paraId="1DC6AE66">
      <w:pPr>
        <w:tabs>
          <w:tab w:val="left" w:pos="420"/>
        </w:tabs>
        <w:spacing w:line="384" w:lineRule="exact"/>
        <w:ind w:firstLine="422" w:firstLineChars="200"/>
        <w:rPr>
          <w:rFonts w:hint="default"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eastAsia="zh-CN"/>
        </w:rPr>
        <w:t>（二）禁止虚假承诺</w:t>
      </w:r>
      <w:r>
        <w:rPr>
          <w:rFonts w:hint="eastAsia" w:cs="宋体"/>
          <w:b/>
          <w:bCs w:val="0"/>
          <w:color w:val="auto"/>
          <w:sz w:val="21"/>
          <w:szCs w:val="21"/>
          <w:lang w:eastAsia="zh-CN"/>
        </w:rPr>
        <w:t>：</w:t>
      </w:r>
      <w:r>
        <w:rPr>
          <w:rFonts w:hint="eastAsia" w:cs="宋体"/>
          <w:b/>
          <w:bCs w:val="0"/>
          <w:color w:val="auto"/>
          <w:sz w:val="21"/>
          <w:szCs w:val="21"/>
          <w:lang w:val="en-US" w:eastAsia="zh-CN"/>
        </w:rPr>
        <w:t>看过程不看结果（怎么给别人做的分析）</w:t>
      </w:r>
    </w:p>
    <w:p w14:paraId="6A1D542C">
      <w:pPr>
        <w:tabs>
          <w:tab w:val="left" w:pos="420"/>
        </w:tabs>
        <w:spacing w:line="384" w:lineRule="exact"/>
        <w:ind w:firstLine="420" w:firstLineChars="200"/>
        <w:rPr>
          <w:rFonts w:hint="eastAsia" w:cs="宋体"/>
          <w:sz w:val="21"/>
          <w:szCs w:val="21"/>
          <w:lang w:val="en-US" w:eastAsia="zh-CN"/>
        </w:rPr>
      </w:pPr>
      <w:r>
        <w:rPr>
          <w:rFonts w:hint="eastAsia" w:cs="宋体"/>
          <w:sz w:val="21"/>
          <w:szCs w:val="21"/>
          <w:lang w:val="en-US" w:eastAsia="zh-CN"/>
        </w:rPr>
        <w:t>律师根据委托人提供的事实和证据，依据法律规定进行分析，向委托人提出分析性意见。</w:t>
      </w:r>
    </w:p>
    <w:p w14:paraId="3F02572A">
      <w:pPr>
        <w:tabs>
          <w:tab w:val="left" w:pos="420"/>
        </w:tabs>
        <w:spacing w:line="384" w:lineRule="exact"/>
        <w:ind w:firstLine="422" w:firstLineChars="200"/>
        <w:rPr>
          <w:rFonts w:hint="eastAsia" w:cs="宋体"/>
          <w:b/>
          <w:bCs/>
          <w:color w:val="C00000"/>
          <w:sz w:val="21"/>
          <w:szCs w:val="21"/>
          <w:lang w:val="en-US" w:eastAsia="zh-CN"/>
        </w:rPr>
      </w:pPr>
      <w:r>
        <w:rPr>
          <w:rFonts w:hint="eastAsia" w:cs="宋体"/>
          <w:b/>
          <w:bCs/>
          <w:color w:val="C00000"/>
          <w:sz w:val="21"/>
          <w:szCs w:val="21"/>
          <w:lang w:val="en-US" w:eastAsia="zh-CN"/>
        </w:rPr>
        <w:t>是否构成虚假承诺，不看结果看过程。只要客观向委托人提出分析意见，即使意见没有被采纳，也不属于虚假承诺。</w:t>
      </w:r>
    </w:p>
    <w:p w14:paraId="76991B68">
      <w:pPr>
        <w:tabs>
          <w:tab w:val="left" w:pos="420"/>
        </w:tabs>
        <w:spacing w:line="384" w:lineRule="exact"/>
        <w:ind w:firstLine="422" w:firstLineChars="200"/>
        <w:rPr>
          <w:rFonts w:hint="eastAsia" w:ascii="宋体" w:hAnsi="宋体" w:eastAsia="宋体" w:cs="宋体"/>
          <w:b/>
          <w:bCs w:val="0"/>
          <w:color w:val="auto"/>
          <w:sz w:val="21"/>
          <w:szCs w:val="21"/>
          <w:lang w:eastAsia="zh-CN"/>
        </w:rPr>
      </w:pPr>
      <w:r>
        <w:rPr>
          <w:rFonts w:hint="eastAsia" w:ascii="宋体" w:hAnsi="宋体" w:eastAsia="宋体" w:cs="宋体"/>
          <w:b/>
          <w:bCs w:val="0"/>
          <w:color w:val="auto"/>
          <w:sz w:val="21"/>
          <w:szCs w:val="21"/>
          <w:lang w:eastAsia="zh-CN"/>
        </w:rPr>
        <w:t>（三）禁止非法牟取委托人利益</w:t>
      </w:r>
    </w:p>
    <w:p w14:paraId="00397977">
      <w:pPr>
        <w:tabs>
          <w:tab w:val="left" w:pos="420"/>
        </w:tabs>
        <w:spacing w:line="384" w:lineRule="exact"/>
        <w:ind w:firstLine="420" w:firstLineChars="200"/>
        <w:rPr>
          <w:rFonts w:hint="eastAsia" w:cs="宋体"/>
          <w:b/>
          <w:bCs/>
          <w:sz w:val="21"/>
          <w:szCs w:val="21"/>
          <w:lang w:val="en-US" w:eastAsia="zh-CN"/>
        </w:rPr>
      </w:pPr>
      <w:r>
        <w:rPr>
          <w:rFonts w:hint="eastAsia" w:cs="宋体"/>
          <w:sz w:val="21"/>
          <w:szCs w:val="21"/>
          <w:lang w:val="en-US" w:eastAsia="zh-CN"/>
        </w:rPr>
        <w:t>律师和律师事务所</w:t>
      </w:r>
      <w:r>
        <w:rPr>
          <w:rFonts w:hint="eastAsia" w:cs="宋体"/>
          <w:b/>
          <w:bCs/>
          <w:sz w:val="21"/>
          <w:szCs w:val="21"/>
          <w:lang w:val="en-US" w:eastAsia="zh-CN"/>
        </w:rPr>
        <w:t>不得利用提供法律服务的便利，牟取当事人争议的权益</w:t>
      </w:r>
      <w:r>
        <w:rPr>
          <w:rFonts w:hint="eastAsia" w:cs="宋体"/>
          <w:sz w:val="21"/>
          <w:szCs w:val="21"/>
          <w:lang w:val="en-US" w:eastAsia="zh-CN"/>
        </w:rPr>
        <w:t>。</w:t>
      </w:r>
      <w:r>
        <w:rPr>
          <w:rFonts w:hint="eastAsia" w:cs="宋体"/>
          <w:b/>
          <w:bCs/>
          <w:sz w:val="21"/>
          <w:szCs w:val="21"/>
          <w:lang w:val="en-US" w:eastAsia="zh-CN"/>
        </w:rPr>
        <w:t>律师和律师事务所不得违法与委托人就争议的权益产生经济上的联系，</w:t>
      </w:r>
      <w:r>
        <w:rPr>
          <w:rFonts w:hint="eastAsia" w:cs="宋体"/>
          <w:sz w:val="21"/>
          <w:szCs w:val="21"/>
          <w:lang w:val="en-US" w:eastAsia="zh-CN"/>
        </w:rPr>
        <w:t>不得与委托人约定</w:t>
      </w:r>
      <w:r>
        <w:rPr>
          <w:rFonts w:hint="eastAsia" w:cs="宋体"/>
          <w:b/>
          <w:bCs/>
          <w:sz w:val="21"/>
          <w:szCs w:val="21"/>
          <w:lang w:val="en-US" w:eastAsia="zh-CN"/>
        </w:rPr>
        <w:t>将争议标的物出售给自己</w:t>
      </w:r>
      <w:r>
        <w:rPr>
          <w:rFonts w:hint="eastAsia" w:cs="宋体"/>
          <w:sz w:val="21"/>
          <w:szCs w:val="21"/>
          <w:lang w:val="en-US" w:eastAsia="zh-CN"/>
        </w:rPr>
        <w:t>；不得委托他人为自己或为自己的</w:t>
      </w:r>
      <w:r>
        <w:rPr>
          <w:rFonts w:hint="eastAsia" w:cs="宋体"/>
          <w:b/>
          <w:bCs/>
          <w:sz w:val="21"/>
          <w:szCs w:val="21"/>
          <w:lang w:val="en-US" w:eastAsia="zh-CN"/>
        </w:rPr>
        <w:t>近亲属收购、租赁委托人与他人发生争议的标的物。</w:t>
      </w:r>
    </w:p>
    <w:p w14:paraId="37F58307">
      <w:pPr>
        <w:tabs>
          <w:tab w:val="left" w:pos="420"/>
        </w:tabs>
        <w:spacing w:line="384" w:lineRule="exact"/>
        <w:ind w:firstLine="422" w:firstLineChars="200"/>
        <w:rPr>
          <w:rFonts w:hint="eastAsia" w:ascii="宋体" w:hAnsi="宋体" w:eastAsia="宋体" w:cs="宋体"/>
          <w:b/>
          <w:bCs w:val="0"/>
          <w:color w:val="auto"/>
          <w:sz w:val="21"/>
          <w:szCs w:val="21"/>
          <w:lang w:eastAsia="zh-CN"/>
        </w:rPr>
      </w:pPr>
      <w:r>
        <w:rPr>
          <w:rFonts w:hint="eastAsia" w:ascii="宋体" w:hAnsi="宋体" w:eastAsia="宋体" w:cs="宋体"/>
          <w:b/>
          <w:bCs w:val="0"/>
          <w:color w:val="auto"/>
          <w:sz w:val="21"/>
          <w:szCs w:val="21"/>
          <w:lang w:eastAsia="zh-CN"/>
        </w:rPr>
        <w:t>（四）利益冲突审查</w:t>
      </w:r>
    </w:p>
    <w:p w14:paraId="60B0713E">
      <w:pPr>
        <w:spacing w:line="384" w:lineRule="exact"/>
        <w:ind w:firstLine="422" w:firstLineChars="200"/>
        <w:rPr>
          <w:rFonts w:hint="eastAsia" w:ascii="宋体" w:hAnsi="宋体" w:eastAsia="宋体" w:cs="宋体"/>
          <w:b/>
          <w:bCs w:val="0"/>
          <w:kern w:val="44"/>
          <w:sz w:val="21"/>
          <w:szCs w:val="21"/>
          <w:lang w:eastAsia="zh-CN"/>
        </w:rPr>
      </w:pPr>
      <w:r>
        <w:rPr>
          <w:rFonts w:hint="eastAsia" w:ascii="宋体" w:hAnsi="宋体" w:eastAsia="宋体" w:cs="宋体"/>
          <w:b/>
          <w:bCs w:val="0"/>
          <w:kern w:val="44"/>
          <w:sz w:val="21"/>
          <w:szCs w:val="21"/>
        </w:rPr>
        <w:t>1．绝对利益冲突</w:t>
      </w:r>
      <w:r>
        <w:rPr>
          <w:rFonts w:hint="eastAsia" w:cs="宋体"/>
          <w:b/>
          <w:bCs w:val="0"/>
          <w:kern w:val="44"/>
          <w:sz w:val="21"/>
          <w:szCs w:val="21"/>
          <w:lang w:eastAsia="zh-CN"/>
        </w:rPr>
        <w:t>（</w:t>
      </w:r>
      <w:r>
        <w:rPr>
          <w:rFonts w:hint="eastAsia" w:cs="宋体"/>
          <w:b/>
          <w:bCs w:val="0"/>
          <w:color w:val="C00000"/>
          <w:kern w:val="44"/>
          <w:sz w:val="21"/>
          <w:szCs w:val="21"/>
          <w:lang w:eastAsia="zh-CN"/>
        </w:rPr>
        <w:t>没有商量的余地，必须退出案件的办理</w:t>
      </w:r>
      <w:r>
        <w:rPr>
          <w:rFonts w:hint="eastAsia" w:cs="宋体"/>
          <w:b/>
          <w:bCs w:val="0"/>
          <w:kern w:val="44"/>
          <w:sz w:val="21"/>
          <w:szCs w:val="21"/>
          <w:lang w:eastAsia="zh-CN"/>
        </w:rPr>
        <w:t>）</w:t>
      </w:r>
    </w:p>
    <w:p w14:paraId="78613BEC">
      <w:pPr>
        <w:tabs>
          <w:tab w:val="left" w:pos="420"/>
        </w:tabs>
        <w:spacing w:line="384" w:lineRule="exact"/>
        <w:ind w:firstLine="420" w:firstLineChars="200"/>
        <w:rPr>
          <w:rFonts w:hint="eastAsia" w:cs="宋体"/>
          <w:sz w:val="21"/>
          <w:szCs w:val="21"/>
          <w:lang w:val="en-US" w:eastAsia="zh-CN"/>
        </w:rPr>
      </w:pPr>
      <w:r>
        <w:rPr>
          <w:rFonts w:hint="eastAsia" w:cs="宋体"/>
          <w:sz w:val="21"/>
          <w:szCs w:val="21"/>
          <w:lang w:val="en-US" w:eastAsia="zh-CN"/>
        </w:rPr>
        <w:t>（1）律师在同一案件中为双方当事人担任代理人，或代理与本人或者其近亲属有利益冲突的法律事务的；（2）律师办理诉讼或者非诉讼业务，其近亲属是对方当事人的法定代表人或者代理人的；（3）公职人员和仲裁员曾经亲自处理或者审理过某一事项或者案件，成为律师后又办理该事项或者案件的；（4）同一律所不同律师同时担任</w:t>
      </w:r>
      <w:r>
        <w:rPr>
          <w:rFonts w:hint="eastAsia" w:cs="宋体"/>
          <w:b/>
          <w:bCs/>
          <w:sz w:val="21"/>
          <w:szCs w:val="21"/>
          <w:lang w:val="en-US" w:eastAsia="zh-CN"/>
        </w:rPr>
        <w:t>同一刑事案件</w:t>
      </w:r>
      <w:r>
        <w:rPr>
          <w:rFonts w:hint="eastAsia" w:cs="宋体"/>
          <w:sz w:val="21"/>
          <w:szCs w:val="21"/>
          <w:lang w:val="en-US" w:eastAsia="zh-CN"/>
        </w:rPr>
        <w:t>的被害人的代理人和犯罪嫌疑人、被告人的辩护人，但在该县区域内只有一家律师事务所且事先征得当事人同意的除外</w:t>
      </w:r>
      <w:r>
        <w:rPr>
          <w:rFonts w:hint="eastAsia" w:cs="宋体"/>
          <w:b/>
          <w:bCs/>
          <w:sz w:val="21"/>
          <w:szCs w:val="21"/>
          <w:lang w:val="en-US" w:eastAsia="zh-CN"/>
        </w:rPr>
        <w:t>（总所和分所也算同一个律所）</w:t>
      </w:r>
      <w:r>
        <w:rPr>
          <w:rFonts w:hint="eastAsia" w:cs="宋体"/>
          <w:sz w:val="21"/>
          <w:szCs w:val="21"/>
          <w:lang w:val="en-US" w:eastAsia="zh-CN"/>
        </w:rPr>
        <w:t>；（5）在</w:t>
      </w:r>
      <w:r>
        <w:rPr>
          <w:rFonts w:hint="eastAsia" w:cs="宋体"/>
          <w:b/>
          <w:bCs/>
          <w:sz w:val="21"/>
          <w:szCs w:val="21"/>
          <w:lang w:val="en-US" w:eastAsia="zh-CN"/>
        </w:rPr>
        <w:t>民事诉讼、行政诉讼、仲裁案件</w:t>
      </w:r>
      <w:r>
        <w:rPr>
          <w:rFonts w:hint="eastAsia" w:cs="宋体"/>
          <w:sz w:val="21"/>
          <w:szCs w:val="21"/>
          <w:lang w:val="en-US" w:eastAsia="zh-CN"/>
        </w:rPr>
        <w:t>中，同一律师事务所的不同律师同时担任争议双方当事人的代理人，或者本所或其工作人员为一方当事人，本所其他律师担任对方当事人的代理人的；（6）在</w:t>
      </w:r>
      <w:r>
        <w:rPr>
          <w:rFonts w:hint="eastAsia" w:cs="宋体"/>
          <w:b/>
          <w:bCs/>
          <w:sz w:val="21"/>
          <w:szCs w:val="21"/>
          <w:lang w:val="en-US" w:eastAsia="zh-CN"/>
        </w:rPr>
        <w:t>非诉讼业务</w:t>
      </w:r>
      <w:r>
        <w:rPr>
          <w:rFonts w:hint="eastAsia" w:cs="宋体"/>
          <w:sz w:val="21"/>
          <w:szCs w:val="21"/>
          <w:lang w:val="en-US" w:eastAsia="zh-CN"/>
        </w:rPr>
        <w:t>中，除各方当事人共同委托外，同一律师事务所的律师同时担任彼此有利害关系的各方当事人的代理人的；（7）在委托关系终止后，同一律师事务所或同一律师在同一案件</w:t>
      </w:r>
      <w:r>
        <w:rPr>
          <w:rFonts w:hint="eastAsia" w:cs="宋体"/>
          <w:b/>
          <w:bCs/>
          <w:sz w:val="21"/>
          <w:szCs w:val="21"/>
          <w:lang w:val="en-US" w:eastAsia="zh-CN"/>
        </w:rPr>
        <w:t>后续审理或者处理中</w:t>
      </w:r>
      <w:r>
        <w:rPr>
          <w:rFonts w:hint="eastAsia" w:cs="宋体"/>
          <w:sz w:val="21"/>
          <w:szCs w:val="21"/>
          <w:lang w:val="en-US" w:eastAsia="zh-CN"/>
        </w:rPr>
        <w:t>又</w:t>
      </w:r>
      <w:r>
        <w:rPr>
          <w:rFonts w:hint="eastAsia" w:cs="宋体"/>
          <w:b/>
          <w:bCs/>
          <w:sz w:val="21"/>
          <w:szCs w:val="21"/>
          <w:lang w:val="en-US" w:eastAsia="zh-CN"/>
        </w:rPr>
        <w:t>接受对方当事人委托的</w:t>
      </w:r>
      <w:r>
        <w:rPr>
          <w:rFonts w:hint="eastAsia" w:cs="宋体"/>
          <w:b/>
          <w:bCs/>
          <w:color w:val="C00000"/>
          <w:sz w:val="21"/>
          <w:szCs w:val="21"/>
          <w:lang w:val="en-US" w:eastAsia="zh-CN"/>
        </w:rPr>
        <w:t>（包括二审、再审和执行）</w:t>
      </w:r>
      <w:r>
        <w:rPr>
          <w:rFonts w:hint="eastAsia" w:cs="宋体"/>
          <w:color w:val="C00000"/>
          <w:sz w:val="21"/>
          <w:szCs w:val="21"/>
          <w:lang w:val="en-US" w:eastAsia="zh-CN"/>
        </w:rPr>
        <w:t>；</w:t>
      </w:r>
    </w:p>
    <w:p w14:paraId="4544D7F3">
      <w:pPr>
        <w:tabs>
          <w:tab w:val="left" w:pos="420"/>
        </w:tabs>
        <w:spacing w:line="384" w:lineRule="exact"/>
        <w:ind w:firstLine="422" w:firstLineChars="200"/>
        <w:rPr>
          <w:rFonts w:hint="eastAsia" w:cs="宋体"/>
          <w:b/>
          <w:bCs/>
          <w:sz w:val="21"/>
          <w:szCs w:val="21"/>
          <w:lang w:val="en-US" w:eastAsia="zh-CN"/>
        </w:rPr>
      </w:pPr>
      <w:r>
        <w:rPr>
          <w:rFonts w:hint="eastAsia" w:cs="宋体"/>
          <w:b/>
          <w:bCs/>
          <w:sz w:val="21"/>
          <w:szCs w:val="21"/>
          <w:lang w:val="en-US" w:eastAsia="zh-CN"/>
        </w:rPr>
        <w:t>其他与本条第1至第7项情形相似，且依据律师执业经验和行业常识能够判断为应当主动回避且不得办理的利益冲突情形。</w:t>
      </w:r>
    </w:p>
    <w:bookmarkEnd w:id="7"/>
    <w:bookmarkEnd w:id="8"/>
    <w:bookmarkEnd w:id="9"/>
    <w:p w14:paraId="5334DE8F">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2．相对利益冲突</w:t>
      </w:r>
      <w:r>
        <w:rPr>
          <w:rFonts w:hint="eastAsia" w:cs="宋体"/>
          <w:b/>
          <w:bCs w:val="0"/>
          <w:kern w:val="44"/>
          <w:sz w:val="21"/>
          <w:szCs w:val="21"/>
          <w:lang w:eastAsia="zh-CN"/>
        </w:rPr>
        <w:t>（</w:t>
      </w:r>
      <w:r>
        <w:rPr>
          <w:rFonts w:hint="eastAsia" w:cs="宋体"/>
          <w:b/>
          <w:bCs w:val="0"/>
          <w:color w:val="C00000"/>
          <w:kern w:val="44"/>
          <w:sz w:val="21"/>
          <w:szCs w:val="21"/>
          <w:lang w:val="en-US" w:eastAsia="zh-CN"/>
        </w:rPr>
        <w:t>看委托人是否同意，若同意则无需退出</w:t>
      </w:r>
      <w:r>
        <w:rPr>
          <w:rFonts w:hint="eastAsia" w:cs="宋体"/>
          <w:b/>
          <w:bCs w:val="0"/>
          <w:kern w:val="44"/>
          <w:sz w:val="21"/>
          <w:szCs w:val="21"/>
          <w:lang w:eastAsia="zh-CN"/>
        </w:rPr>
        <w:t>）：</w:t>
      </w:r>
      <w:r>
        <w:rPr>
          <w:rFonts w:hint="eastAsia" w:ascii="宋体" w:hAnsi="宋体" w:eastAsia="宋体" w:cs="宋体"/>
          <w:sz w:val="21"/>
          <w:szCs w:val="21"/>
        </w:rPr>
        <w:t>下列情形律师应当告知委托人并主动提出回避，但委托人同意其代理或者继续承办（签署知情同意书）的除外：（1）接受民事诉讼、仲裁案件一方当事人的委托，而同所的其他律师是该案件中对方当事人的近亲属的；（2）担任刑事案件犯罪嫌疑人、被告人的辩护人，而同所的其他律师是该案件被害人的近亲属的；（3）同一律师事务所接受正在代理的诉讼案件或者非诉讼业务当事人的对方当事人所委托的其他法律业务的；（4）律师事务所与委托人存在法律服务关系，在某一诉讼或仲裁案件中该委托人未要求该律师事务所律师担任其代理人，而该律师事务所律师担任该委托人对方当事人的代理人的；（5）在委托关系终止后一年内，律师又就同一法律事务接受与原委托人有利害关系的对方当事人的委托的；（6）其他与本条第1至第5项情况相似，且依据律师执业经验和行业常识能够判断的其他情形。</w:t>
      </w:r>
    </w:p>
    <w:p w14:paraId="040AEC88">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（五）保管委托人财产</w:t>
      </w:r>
      <w:r>
        <w:rPr>
          <w:rFonts w:hint="eastAsia" w:cs="宋体"/>
          <w:b/>
          <w:bCs w:val="0"/>
          <w:color w:val="auto"/>
          <w:sz w:val="21"/>
          <w:szCs w:val="21"/>
          <w:lang w:eastAsia="zh-CN"/>
        </w:rPr>
        <w:t>：</w:t>
      </w:r>
      <w:r>
        <w:rPr>
          <w:rFonts w:hint="eastAsia" w:ascii="宋体" w:hAnsi="宋体" w:eastAsia="宋体" w:cs="宋体"/>
          <w:sz w:val="21"/>
          <w:szCs w:val="21"/>
        </w:rPr>
        <w:t>律师事务所可以与委托人签订书面保管协议，妥善保管委托人财产，严格履行保管协议。律师事务所受委托保管委托人财产时，应当将委托人财产与律师事务所的财产、律师个人财产严格分离。</w:t>
      </w:r>
    </w:p>
    <w:p w14:paraId="2FC6821A">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（六）转委托</w:t>
      </w:r>
      <w:r>
        <w:rPr>
          <w:rFonts w:hint="eastAsia" w:cs="宋体"/>
          <w:b/>
          <w:bCs w:val="0"/>
          <w:color w:val="auto"/>
          <w:sz w:val="21"/>
          <w:szCs w:val="21"/>
          <w:lang w:eastAsia="zh-CN"/>
        </w:rPr>
        <w:t>：</w:t>
      </w:r>
      <w:r>
        <w:rPr>
          <w:rFonts w:hint="eastAsia" w:ascii="宋体" w:hAnsi="宋体" w:eastAsia="宋体" w:cs="宋体"/>
          <w:sz w:val="21"/>
          <w:szCs w:val="21"/>
        </w:rPr>
        <w:t>未经委托人同意，律师事务所不得将委托人委托的法律事务转委托其他律师事务所办理。但在紧急情况下，为维护委托人的利益可以转委托，但应当及时告知委托人。</w:t>
      </w:r>
    </w:p>
    <w:p w14:paraId="7AEA3C5C">
      <w:pPr>
        <w:tabs>
          <w:tab w:val="left" w:pos="420"/>
        </w:tabs>
        <w:spacing w:line="384"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受委托律师遇有突患疾病、工作调动等紧急情况不能履行委托协议时，应当及时报告律师事务所，</w:t>
      </w:r>
      <w:r>
        <w:rPr>
          <w:rFonts w:hint="eastAsia" w:ascii="宋体" w:hAnsi="宋体" w:eastAsia="宋体" w:cs="宋体"/>
          <w:b/>
          <w:bCs/>
          <w:color w:val="C00000"/>
          <w:sz w:val="21"/>
          <w:szCs w:val="21"/>
        </w:rPr>
        <w:t>由律师事务所另行指定</w:t>
      </w:r>
      <w:r>
        <w:rPr>
          <w:rFonts w:hint="eastAsia" w:ascii="宋体" w:hAnsi="宋体" w:eastAsia="宋体" w:cs="宋体"/>
          <w:sz w:val="21"/>
          <w:szCs w:val="21"/>
        </w:rPr>
        <w:t>其他律师继续承办，并及时告知委托人。非经委托人的同意，不能因转委托而增加委托人的费用支出。</w:t>
      </w:r>
    </w:p>
    <w:p w14:paraId="2B597FA7">
      <w:pPr>
        <w:spacing w:line="384" w:lineRule="exact"/>
        <w:jc w:val="left"/>
        <w:rPr>
          <w:rFonts w:hint="eastAsia" w:ascii="宋体" w:hAnsi="宋体" w:eastAsia="宋体" w:cs="宋体"/>
          <w:sz w:val="21"/>
          <w:szCs w:val="21"/>
        </w:rPr>
      </w:pPr>
      <w:r>
        <w:rPr>
          <w:rFonts w:hint="eastAsia" w:ascii="宋体" w:hAnsi="宋体" w:eastAsia="宋体" w:cs="宋体"/>
          <w:b/>
          <w:bCs w:val="0"/>
          <w:color w:val="auto"/>
          <w:sz w:val="21"/>
          <w:szCs w:val="21"/>
        </w:rPr>
        <w:t>三、律师参与诉讼或仲裁规范</w:t>
      </w:r>
    </w:p>
    <w:p w14:paraId="59978C72">
      <w:pPr>
        <w:spacing w:line="384" w:lineRule="exact"/>
        <w:ind w:firstLine="252" w:firstLineChars="120"/>
        <w:jc w:val="left"/>
        <w:rPr>
          <w:rFonts w:hint="eastAsia" w:ascii="宋体" w:hAnsi="宋体" w:eastAsia="宋体" w:cs="宋体"/>
          <w:sz w:val="21"/>
          <w:szCs w:val="21"/>
        </w:rPr>
      </w:pPr>
      <w:r>
        <w:rPr>
          <w:rFonts w:hint="eastAsia" w:ascii="宋体" w:hAnsi="宋体" w:eastAsia="宋体" w:cs="宋体"/>
          <w:bCs/>
          <w:color w:val="auto"/>
          <w:sz w:val="21"/>
          <w:szCs w:val="21"/>
        </w:rPr>
        <w:t>（一）回避</w:t>
      </w:r>
      <w:r>
        <w:rPr>
          <w:rFonts w:hint="eastAsia" w:cs="宋体"/>
          <w:bCs/>
          <w:color w:val="auto"/>
          <w:sz w:val="21"/>
          <w:szCs w:val="21"/>
          <w:lang w:eastAsia="zh-CN"/>
        </w:rPr>
        <w:t>：</w:t>
      </w:r>
      <w:r>
        <w:rPr>
          <w:rFonts w:hint="eastAsia" w:ascii="宋体" w:hAnsi="宋体" w:eastAsia="宋体" w:cs="宋体"/>
          <w:sz w:val="21"/>
          <w:szCs w:val="21"/>
        </w:rPr>
        <w:t>律师因法定事由或者根据相关规定不得担任诉讼代理人或者辩护人的，应当谢绝当事人的委托，或者解除委托代理合同。</w:t>
      </w:r>
    </w:p>
    <w:p w14:paraId="0DC08217">
      <w:pPr>
        <w:spacing w:line="384" w:lineRule="exact"/>
        <w:ind w:firstLine="252" w:firstLineChars="120"/>
        <w:jc w:val="left"/>
        <w:rPr>
          <w:rFonts w:hint="eastAsia" w:ascii="宋体" w:hAnsi="宋体" w:eastAsia="宋体" w:cs="宋体"/>
          <w:sz w:val="21"/>
          <w:szCs w:val="21"/>
        </w:rPr>
      </w:pPr>
      <w:r>
        <w:rPr>
          <w:rFonts w:hint="eastAsia" w:ascii="宋体" w:hAnsi="宋体" w:eastAsia="宋体" w:cs="宋体"/>
          <w:bCs/>
          <w:color w:val="auto"/>
          <w:sz w:val="21"/>
          <w:szCs w:val="21"/>
        </w:rPr>
        <w:t>（二）调查取证</w:t>
      </w:r>
      <w:r>
        <w:rPr>
          <w:rFonts w:hint="eastAsia" w:cs="宋体"/>
          <w:bCs/>
          <w:color w:val="auto"/>
          <w:sz w:val="21"/>
          <w:szCs w:val="21"/>
          <w:lang w:eastAsia="zh-CN"/>
        </w:rPr>
        <w:t>：</w:t>
      </w:r>
      <w:r>
        <w:rPr>
          <w:rFonts w:hint="eastAsia" w:ascii="宋体" w:hAnsi="宋体" w:eastAsia="宋体" w:cs="宋体"/>
          <w:sz w:val="21"/>
          <w:szCs w:val="21"/>
        </w:rPr>
        <w:t>律师不得向司法机关或者仲裁机构提交明知是虚假的证据。律师作为证人出庭作证的，不得再接受委托担任该案的辩护人或者代理人出庭。</w:t>
      </w:r>
    </w:p>
    <w:p w14:paraId="3687C276">
      <w:pPr>
        <w:spacing w:line="384" w:lineRule="exact"/>
        <w:ind w:firstLine="252" w:firstLineChars="120"/>
        <w:jc w:val="left"/>
        <w:rPr>
          <w:rFonts w:hint="eastAsia" w:ascii="宋体" w:hAnsi="宋体" w:eastAsia="宋体" w:cs="宋体"/>
          <w:sz w:val="21"/>
          <w:szCs w:val="21"/>
        </w:rPr>
      </w:pPr>
      <w:r>
        <w:rPr>
          <w:rFonts w:hint="eastAsia" w:ascii="宋体" w:hAnsi="宋体" w:eastAsia="宋体" w:cs="宋体"/>
          <w:bCs/>
          <w:color w:val="auto"/>
          <w:sz w:val="21"/>
          <w:szCs w:val="21"/>
        </w:rPr>
        <w:t>（三）尊重法庭与规范接触司法人员</w:t>
      </w:r>
      <w:r>
        <w:rPr>
          <w:rFonts w:hint="eastAsia" w:cs="宋体"/>
          <w:bCs/>
          <w:color w:val="auto"/>
          <w:sz w:val="21"/>
          <w:szCs w:val="21"/>
          <w:lang w:eastAsia="zh-CN"/>
        </w:rPr>
        <w:t>：（</w:t>
      </w:r>
      <w:r>
        <w:rPr>
          <w:rFonts w:hint="eastAsia" w:cs="宋体"/>
          <w:bCs/>
          <w:color w:val="auto"/>
          <w:sz w:val="21"/>
          <w:szCs w:val="21"/>
          <w:lang w:val="en-US" w:eastAsia="zh-CN"/>
        </w:rPr>
        <w:t>1</w:t>
      </w:r>
      <w:r>
        <w:rPr>
          <w:rFonts w:hint="eastAsia" w:cs="宋体"/>
          <w:bCs/>
          <w:color w:val="auto"/>
          <w:sz w:val="21"/>
          <w:szCs w:val="21"/>
          <w:lang w:eastAsia="zh-CN"/>
        </w:rPr>
        <w:t>）</w:t>
      </w:r>
      <w:r>
        <w:rPr>
          <w:rFonts w:hint="eastAsia" w:ascii="宋体" w:hAnsi="宋体" w:eastAsia="宋体" w:cs="宋体"/>
          <w:sz w:val="21"/>
          <w:szCs w:val="21"/>
        </w:rPr>
        <w:t>在案件办理过程中，非因办案需要且未经批准在非工作场所、非工作时间与辩护、代理律师接触</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接受律师或者律师事务所请托，过问、干预或者插手其他法官、检察官正在办理的案件，为律师或者律师事务所请托说情、打探案情、通风报信；为案件承办法官、检察官私下会见案件辩护、代理律师牵线搭桥；非因工作需要，为律师或者律师事务所转递涉案材料；向律师泄露案情、办案工作秘密或者其他依法依规不得泄露的情况；违规为律师或律师事务所出具与案件有关的各类专家意见</w:t>
      </w:r>
      <w:r>
        <w:rPr>
          <w:rFonts w:hint="eastAsia" w:cs="宋体"/>
          <w:sz w:val="21"/>
          <w:szCs w:val="21"/>
          <w:lang w:eastAsia="zh-CN"/>
        </w:rPr>
        <w:t>；（</w:t>
      </w:r>
      <w:r>
        <w:rPr>
          <w:rFonts w:hint="eastAsia" w:cs="宋体"/>
          <w:sz w:val="21"/>
          <w:szCs w:val="21"/>
          <w:lang w:val="en-US" w:eastAsia="zh-CN"/>
        </w:rPr>
        <w:t>3</w:t>
      </w:r>
      <w:r>
        <w:rPr>
          <w:rFonts w:hint="eastAsia" w:cs="宋体"/>
          <w:sz w:val="21"/>
          <w:szCs w:val="21"/>
          <w:lang w:eastAsia="zh-CN"/>
        </w:rPr>
        <w:t>）</w:t>
      </w:r>
      <w:r>
        <w:rPr>
          <w:rFonts w:hint="eastAsia" w:ascii="宋体" w:hAnsi="宋体" w:eastAsia="宋体" w:cs="宋体"/>
          <w:sz w:val="21"/>
          <w:szCs w:val="21"/>
        </w:rPr>
        <w:t>为律师介绍案件；为当事人推荐、介绍律师作为诉讼代理人、辩护人；要求、建议或者暗示当事人更换符合代理条件的律师；索取或者收受案件代理费用或者其他利益</w:t>
      </w:r>
      <w:r>
        <w:rPr>
          <w:rFonts w:hint="eastAsia" w:cs="宋体"/>
          <w:sz w:val="21"/>
          <w:szCs w:val="21"/>
          <w:lang w:eastAsia="zh-CN"/>
        </w:rPr>
        <w:t>；（</w:t>
      </w:r>
      <w:r>
        <w:rPr>
          <w:rFonts w:hint="eastAsia" w:cs="宋体"/>
          <w:sz w:val="21"/>
          <w:szCs w:val="21"/>
          <w:lang w:val="en-US" w:eastAsia="zh-CN"/>
        </w:rPr>
        <w:t>4</w:t>
      </w:r>
      <w:r>
        <w:rPr>
          <w:rFonts w:hint="eastAsia" w:cs="宋体"/>
          <w:sz w:val="21"/>
          <w:szCs w:val="21"/>
          <w:lang w:eastAsia="zh-CN"/>
        </w:rPr>
        <w:t>）</w:t>
      </w:r>
      <w:r>
        <w:rPr>
          <w:rFonts w:hint="eastAsia" w:ascii="宋体" w:hAnsi="宋体" w:eastAsia="宋体" w:cs="宋体"/>
          <w:sz w:val="21"/>
          <w:szCs w:val="21"/>
        </w:rPr>
        <w:t>向律师或者其当事人索贿，接受律师或者其当事人行贿；索取或者收受律师借礼尚往来、婚丧嫁娶等赠送的礼金、礼品、消费卡和有价证券、股权、其他金融产品等财物；向律师借款、租借房屋、借用交通工具、通讯工具或者其他物品；接受律师吃请、娱乐等可能影响公正履行职务的安排</w:t>
      </w:r>
      <w:r>
        <w:rPr>
          <w:rFonts w:hint="eastAsia" w:cs="宋体"/>
          <w:sz w:val="21"/>
          <w:szCs w:val="21"/>
          <w:lang w:eastAsia="zh-CN"/>
        </w:rPr>
        <w:t>；（</w:t>
      </w:r>
      <w:r>
        <w:rPr>
          <w:rFonts w:hint="eastAsia" w:cs="宋体"/>
          <w:sz w:val="21"/>
          <w:szCs w:val="21"/>
          <w:lang w:val="en-US" w:eastAsia="zh-CN"/>
        </w:rPr>
        <w:t>5</w:t>
      </w:r>
      <w:r>
        <w:rPr>
          <w:rFonts w:hint="eastAsia" w:cs="宋体"/>
          <w:sz w:val="21"/>
          <w:szCs w:val="21"/>
          <w:lang w:eastAsia="zh-CN"/>
        </w:rPr>
        <w:t>）</w:t>
      </w:r>
      <w:r>
        <w:rPr>
          <w:rFonts w:hint="eastAsia" w:ascii="宋体" w:hAnsi="宋体" w:eastAsia="宋体" w:cs="宋体"/>
          <w:sz w:val="21"/>
          <w:szCs w:val="21"/>
        </w:rPr>
        <w:t>非因工作需要且未经批准，擅自参加律师事务所或者律师举办的讲座、座谈、研讨、培训、论坛、学术交流、开业庆典等活动；以提供法律咨询、法律服务等名义接受律师事务所或者律师输送的相关利益</w:t>
      </w:r>
      <w:r>
        <w:rPr>
          <w:rFonts w:hint="eastAsia" w:cs="宋体"/>
          <w:sz w:val="21"/>
          <w:szCs w:val="21"/>
          <w:lang w:eastAsia="zh-CN"/>
        </w:rPr>
        <w:t>：（</w:t>
      </w:r>
      <w:r>
        <w:rPr>
          <w:rFonts w:hint="eastAsia" w:cs="宋体"/>
          <w:sz w:val="21"/>
          <w:szCs w:val="21"/>
          <w:lang w:val="en-US" w:eastAsia="zh-CN"/>
        </w:rPr>
        <w:t>6</w:t>
      </w:r>
      <w:r>
        <w:rPr>
          <w:rFonts w:hint="eastAsia" w:cs="宋体"/>
          <w:sz w:val="21"/>
          <w:szCs w:val="21"/>
          <w:lang w:eastAsia="zh-CN"/>
        </w:rPr>
        <w:t>）</w:t>
      </w:r>
      <w:r>
        <w:rPr>
          <w:rFonts w:hint="eastAsia" w:ascii="宋体" w:hAnsi="宋体" w:eastAsia="宋体" w:cs="宋体"/>
          <w:sz w:val="21"/>
          <w:szCs w:val="21"/>
        </w:rPr>
        <w:t>与律师以合作、合资、代持等方式，经商办企业或者从事其他营利性活动；本人配偶、子女及其配偶在律师事务所担任“隐名合伙人”；本人配偶、子女及其配偶显名或者隐名与律师“合作”开办企业或者“合作”投资；默许、纵容、包庇配偶、子女及其配偶或者其他特定关系人在律师事务所违规取酬；向律师或律师事务所放贷收取高额利息。</w:t>
      </w:r>
    </w:p>
    <w:p w14:paraId="14C25AD0">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（四）庭审仪表和语态</w:t>
      </w:r>
      <w:r>
        <w:rPr>
          <w:rFonts w:hint="eastAsia" w:cs="宋体"/>
          <w:b/>
          <w:bCs w:val="0"/>
          <w:color w:val="auto"/>
          <w:sz w:val="21"/>
          <w:szCs w:val="21"/>
          <w:lang w:eastAsia="zh-CN"/>
        </w:rPr>
        <w:t>：</w:t>
      </w:r>
      <w:r>
        <w:rPr>
          <w:rFonts w:hint="eastAsia" w:ascii="宋体" w:hAnsi="宋体" w:eastAsia="宋体" w:cs="宋体"/>
          <w:sz w:val="21"/>
          <w:szCs w:val="21"/>
        </w:rPr>
        <w:t>律师担任辩护人、代理人参加法庭、仲裁庭审理，应当按照规定穿着律师出庭服装，佩戴律师出庭徽章，注重律师职业形象。</w:t>
      </w:r>
    </w:p>
    <w:p w14:paraId="70560DEF">
      <w:pPr>
        <w:spacing w:line="384" w:lineRule="exact"/>
        <w:jc w:val="left"/>
        <w:rPr>
          <w:rFonts w:hint="eastAsia" w:ascii="宋体" w:hAnsi="宋体" w:eastAsia="宋体" w:cs="宋体"/>
          <w:sz w:val="21"/>
          <w:szCs w:val="21"/>
        </w:rPr>
      </w:pPr>
      <w:r>
        <w:rPr>
          <w:rFonts w:hint="eastAsia" w:ascii="宋体" w:hAnsi="宋体" w:eastAsia="宋体" w:cs="宋体"/>
          <w:b/>
          <w:bCs w:val="0"/>
          <w:color w:val="auto"/>
          <w:sz w:val="21"/>
          <w:szCs w:val="21"/>
        </w:rPr>
        <w:t>四、律师与其他律师的关系规范</w:t>
      </w:r>
    </w:p>
    <w:p w14:paraId="4557BC29">
      <w:pPr>
        <w:spacing w:line="384" w:lineRule="exact"/>
        <w:ind w:firstLine="253" w:firstLineChars="120"/>
        <w:jc w:val="left"/>
        <w:rPr>
          <w:rFonts w:hint="eastAsia" w:ascii="宋体" w:hAnsi="宋体" w:eastAsia="宋体" w:cs="宋体"/>
          <w:color w:val="FF0000"/>
          <w:sz w:val="21"/>
          <w:szCs w:val="21"/>
        </w:rPr>
      </w:pPr>
      <w:r>
        <w:rPr>
          <w:rFonts w:hint="eastAsia" w:ascii="宋体" w:hAnsi="宋体" w:eastAsia="宋体" w:cs="宋体"/>
          <w:b/>
          <w:bCs w:val="0"/>
          <w:color w:val="auto"/>
          <w:sz w:val="21"/>
          <w:szCs w:val="21"/>
        </w:rPr>
        <w:t>（一）尊重与合作</w:t>
      </w:r>
      <w:r>
        <w:rPr>
          <w:rFonts w:hint="eastAsia" w:cs="宋体"/>
          <w:b/>
          <w:bCs w:val="0"/>
          <w:color w:val="auto"/>
          <w:sz w:val="21"/>
          <w:szCs w:val="21"/>
          <w:lang w:eastAsia="zh-CN"/>
        </w:rPr>
        <w:t>：</w:t>
      </w:r>
      <w:r>
        <w:rPr>
          <w:rFonts w:hint="eastAsia" w:cs="宋体"/>
          <w:b w:val="0"/>
          <w:bCs/>
          <w:color w:val="auto"/>
          <w:sz w:val="21"/>
          <w:szCs w:val="21"/>
          <w:lang w:eastAsia="zh-CN"/>
        </w:rPr>
        <w:t>（</w:t>
      </w:r>
      <w:r>
        <w:rPr>
          <w:rFonts w:hint="eastAsia" w:cs="宋体"/>
          <w:b w:val="0"/>
          <w:bCs/>
          <w:color w:val="auto"/>
          <w:sz w:val="21"/>
          <w:szCs w:val="21"/>
          <w:lang w:val="en-US" w:eastAsia="zh-CN"/>
        </w:rPr>
        <w:t>1</w:t>
      </w:r>
      <w:r>
        <w:rPr>
          <w:rFonts w:hint="eastAsia" w:cs="宋体"/>
          <w:b w:val="0"/>
          <w:bCs/>
          <w:color w:val="auto"/>
          <w:sz w:val="21"/>
          <w:szCs w:val="21"/>
          <w:lang w:eastAsia="zh-CN"/>
        </w:rPr>
        <w:t>）</w:t>
      </w:r>
      <w:r>
        <w:rPr>
          <w:rFonts w:hint="eastAsia" w:ascii="宋体" w:hAnsi="宋体" w:eastAsia="宋体" w:cs="宋体"/>
          <w:sz w:val="21"/>
          <w:szCs w:val="21"/>
        </w:rPr>
        <w:t>在庭审或者谈判过程中各方律师应当互相尊重，不得使用挖苦、讽刺或者侮辱性的语言。律师或律师事务所不得在公众场合及媒体上发表恶意贬低、诋毁、损害同行声誉的言论</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律师变更执业机构时应当维护委托人及原律师事务所的利益；律师事务所在接受转入律师时，不得损害原律师事务所的利益。</w:t>
      </w:r>
    </w:p>
    <w:p w14:paraId="633C9084">
      <w:pPr>
        <w:spacing w:line="384" w:lineRule="exact"/>
        <w:ind w:firstLine="253" w:firstLineChars="120"/>
        <w:jc w:val="left"/>
        <w:rPr>
          <w:rFonts w:hint="eastAsia" w:ascii="宋体" w:hAnsi="宋体" w:eastAsia="宋体" w:cs="宋体"/>
          <w:kern w:val="0"/>
          <w:sz w:val="21"/>
          <w:szCs w:val="21"/>
        </w:rPr>
      </w:pPr>
      <w:r>
        <w:rPr>
          <w:rFonts w:hint="eastAsia" w:ascii="宋体" w:hAnsi="宋体" w:eastAsia="宋体" w:cs="宋体"/>
          <w:b/>
          <w:bCs w:val="0"/>
          <w:color w:val="auto"/>
          <w:sz w:val="21"/>
          <w:szCs w:val="21"/>
        </w:rPr>
        <w:t>（二）禁止不正当竞争</w:t>
      </w:r>
      <w:r>
        <w:rPr>
          <w:rFonts w:hint="eastAsia" w:cs="宋体"/>
          <w:b/>
          <w:bCs w:val="0"/>
          <w:color w:val="auto"/>
          <w:sz w:val="21"/>
          <w:szCs w:val="21"/>
          <w:lang w:eastAsia="zh-CN"/>
        </w:rPr>
        <w:t>：</w:t>
      </w:r>
      <w:r>
        <w:rPr>
          <w:rFonts w:hint="eastAsia" w:ascii="宋体" w:hAnsi="宋体" w:eastAsia="宋体" w:cs="宋体"/>
          <w:sz w:val="21"/>
          <w:szCs w:val="21"/>
        </w:rPr>
        <w:t>律师执业不正当竞争行为包括：（1）诋毁、诽谤其他律师或者律师事务所信誉、声誉；（2）无正当理由，以低于同地区同行业收费标准为条件争揽业务，或者采用承诺给予客户、中介人、推荐人回扣、馈赠金钱、财物或者其他利益等方式争揽业务；（3）故意在委托人与其代理律师之间制造纠纷；（4）向委托人明示或者暗示自己或者其属的律师事务所与司法机关、政府机关、社会团体及其工作人员具有特殊关系；（5）就法律服务结果或者诉讼结果作出虚假承诺；（6）明示或者暗示可以帮助委托人达到不正当目的，或者以不正当的方式、手段达到委托人的目的。</w:t>
      </w:r>
    </w:p>
    <w:p w14:paraId="306BF898">
      <w:pPr>
        <w:keepNext w:val="0"/>
        <w:keepLines w:val="0"/>
        <w:pageBreakBefore w:val="0"/>
        <w:widowControl w:val="0"/>
        <w:tabs>
          <w:tab w:val="left" w:pos="420"/>
        </w:tabs>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21"/>
          <w:szCs w:val="21"/>
        </w:rPr>
      </w:pPr>
      <w:bookmarkStart w:id="10" w:name="_Toc5911"/>
      <w:bookmarkStart w:id="11" w:name="_Toc230600012"/>
      <w:bookmarkStart w:id="12" w:name="_Toc20879_WPSOffice_Level1"/>
      <w:r>
        <w:rPr>
          <w:rFonts w:hint="eastAsia" w:ascii="宋体" w:hAnsi="宋体" w:eastAsia="宋体" w:cs="宋体"/>
          <w:b/>
          <w:bCs/>
          <w:color w:val="000000" w:themeColor="text1"/>
          <w:sz w:val="24"/>
          <w:szCs w:val="24"/>
          <w:lang w:val="en-US" w:eastAsia="zh-CN"/>
          <w14:textFill>
            <w14:solidFill>
              <w14:schemeClr w14:val="tx1"/>
            </w14:solidFill>
          </w14:textFill>
        </w:rPr>
        <w:t>考点20  律师职业责任</w:t>
      </w:r>
      <w:bookmarkEnd w:id="10"/>
      <w:bookmarkEnd w:id="11"/>
      <w:bookmarkEnd w:id="12"/>
      <w:r>
        <w:rPr>
          <w:rFonts w:hint="eastAsia" w:cs="宋体"/>
          <w:b/>
          <w:bCs/>
          <w:color w:val="000000" w:themeColor="text1"/>
          <w:sz w:val="24"/>
          <w:szCs w:val="24"/>
          <w:lang w:val="en-US" w:eastAsia="zh-CN"/>
          <w14:textFill>
            <w14:solidFill>
              <w14:schemeClr w14:val="tx1"/>
            </w14:solidFill>
          </w14:textFill>
        </w:rPr>
        <w:t>（21:55—21：58）</w:t>
      </w:r>
    </w:p>
    <w:p w14:paraId="392CB5E9">
      <w:pPr>
        <w:spacing w:line="384" w:lineRule="exact"/>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一、律师执业中违纪行为的处分</w:t>
      </w:r>
    </w:p>
    <w:p w14:paraId="3B01BA7A">
      <w:pPr>
        <w:tabs>
          <w:tab w:val="left" w:pos="420"/>
        </w:tabs>
        <w:spacing w:line="384" w:lineRule="exact"/>
        <w:ind w:firstLine="420" w:firstLineChars="200"/>
        <w:rPr>
          <w:rFonts w:hint="eastAsia" w:ascii="宋体" w:hAnsi="宋体" w:eastAsia="宋体" w:cs="宋体"/>
          <w:bCs/>
          <w:sz w:val="21"/>
          <w:szCs w:val="21"/>
        </w:rPr>
      </w:pPr>
      <w:r>
        <w:rPr>
          <w:rFonts w:hint="eastAsia" w:cs="宋体"/>
          <w:bCs/>
          <w:sz w:val="21"/>
          <w:szCs w:val="21"/>
          <w:lang w:eastAsia="zh-CN"/>
        </w:rPr>
        <w:t>（</w:t>
      </w:r>
      <w:r>
        <w:rPr>
          <w:rFonts w:hint="eastAsia" w:cs="宋体"/>
          <w:bCs/>
          <w:sz w:val="21"/>
          <w:szCs w:val="21"/>
          <w:lang w:val="en-US" w:eastAsia="zh-CN"/>
        </w:rPr>
        <w:t>一</w:t>
      </w:r>
      <w:r>
        <w:rPr>
          <w:rFonts w:hint="eastAsia" w:cs="宋体"/>
          <w:bCs/>
          <w:sz w:val="21"/>
          <w:szCs w:val="21"/>
          <w:lang w:eastAsia="zh-CN"/>
        </w:rPr>
        <w:t>）</w:t>
      </w:r>
      <w:r>
        <w:rPr>
          <w:rFonts w:hint="eastAsia" w:ascii="宋体" w:hAnsi="宋体" w:eastAsia="宋体" w:cs="宋体"/>
          <w:bCs/>
          <w:sz w:val="21"/>
          <w:szCs w:val="21"/>
        </w:rPr>
        <w:t>类型包括：训诫、警告、通报批评、公开谴责、中止会员权利1个月以上1年以下、取消会员资格。</w:t>
      </w:r>
    </w:p>
    <w:p w14:paraId="0F0A2880">
      <w:pPr>
        <w:tabs>
          <w:tab w:val="left" w:pos="420"/>
        </w:tabs>
        <w:spacing w:line="384" w:lineRule="exact"/>
        <w:ind w:firstLine="420" w:firstLineChars="200"/>
        <w:rPr>
          <w:rFonts w:hint="eastAsia" w:ascii="宋体" w:hAnsi="宋体" w:eastAsia="宋体" w:cs="宋体"/>
          <w:sz w:val="21"/>
          <w:szCs w:val="21"/>
        </w:rPr>
      </w:pPr>
      <w:r>
        <w:rPr>
          <w:rFonts w:hint="eastAsia" w:cs="宋体"/>
          <w:bCs/>
          <w:sz w:val="21"/>
          <w:szCs w:val="21"/>
          <w:lang w:eastAsia="zh-CN"/>
        </w:rPr>
        <w:t>（</w:t>
      </w:r>
      <w:r>
        <w:rPr>
          <w:rFonts w:hint="eastAsia" w:cs="宋体"/>
          <w:bCs/>
          <w:sz w:val="21"/>
          <w:szCs w:val="21"/>
          <w:lang w:val="en-US" w:eastAsia="zh-CN"/>
        </w:rPr>
        <w:t>二</w:t>
      </w:r>
      <w:r>
        <w:rPr>
          <w:rFonts w:hint="eastAsia" w:cs="宋体"/>
          <w:bCs/>
          <w:sz w:val="21"/>
          <w:szCs w:val="21"/>
          <w:lang w:eastAsia="zh-CN"/>
        </w:rPr>
        <w:t>）</w:t>
      </w:r>
      <w:r>
        <w:rPr>
          <w:rFonts w:hint="eastAsia" w:ascii="宋体" w:hAnsi="宋体" w:eastAsia="宋体" w:cs="宋体"/>
          <w:bCs/>
          <w:sz w:val="21"/>
          <w:szCs w:val="21"/>
        </w:rPr>
        <w:t>省级律师协会及设区的市律师协会设立惩戒委员会，负责对违规会员进行处分。</w:t>
      </w:r>
      <w:r>
        <w:rPr>
          <w:rFonts w:hint="eastAsia" w:ascii="宋体" w:hAnsi="宋体" w:eastAsia="宋体" w:cs="宋体"/>
          <w:sz w:val="21"/>
          <w:szCs w:val="21"/>
        </w:rPr>
        <w:t>取消会员资格应由省级律师协会作出。</w:t>
      </w:r>
    </w:p>
    <w:p w14:paraId="5D876E24">
      <w:pPr>
        <w:spacing w:line="384" w:lineRule="exact"/>
        <w:jc w:val="left"/>
        <w:rPr>
          <w:rFonts w:hint="eastAsia" w:ascii="宋体" w:hAnsi="宋体" w:eastAsia="宋体" w:cs="宋体"/>
          <w:bCs/>
          <w:sz w:val="21"/>
          <w:szCs w:val="21"/>
        </w:rPr>
      </w:pPr>
      <w:r>
        <w:rPr>
          <w:rFonts w:hint="eastAsia" w:ascii="宋体" w:hAnsi="宋体" w:eastAsia="宋体" w:cs="宋体"/>
          <w:b/>
          <w:bCs w:val="0"/>
          <w:color w:val="auto"/>
          <w:sz w:val="21"/>
          <w:szCs w:val="21"/>
        </w:rPr>
        <w:t>二、律师和律所执业中违法犯罪行为的法律责任</w:t>
      </w:r>
    </w:p>
    <w:p w14:paraId="729D9BC9">
      <w:pPr>
        <w:spacing w:line="384" w:lineRule="exact"/>
        <w:ind w:firstLine="253" w:firstLineChars="120"/>
        <w:jc w:val="left"/>
        <w:rPr>
          <w:rFonts w:hint="eastAsia" w:ascii="宋体" w:hAnsi="宋体" w:eastAsia="宋体" w:cs="宋体"/>
          <w:bCs/>
          <w:sz w:val="21"/>
          <w:szCs w:val="21"/>
        </w:rPr>
      </w:pPr>
      <w:r>
        <w:rPr>
          <w:rFonts w:hint="eastAsia" w:ascii="宋体" w:hAnsi="宋体" w:eastAsia="宋体" w:cs="宋体"/>
          <w:b/>
          <w:bCs w:val="0"/>
          <w:color w:val="auto"/>
          <w:sz w:val="21"/>
          <w:szCs w:val="21"/>
        </w:rPr>
        <w:t>（一）行政法律责任</w:t>
      </w:r>
      <w:r>
        <w:rPr>
          <w:rFonts w:hint="eastAsia" w:cs="宋体"/>
          <w:bCs/>
          <w:color w:val="auto"/>
          <w:sz w:val="21"/>
          <w:szCs w:val="21"/>
          <w:lang w:eastAsia="zh-CN"/>
        </w:rPr>
        <w:t>：</w:t>
      </w:r>
      <w:r>
        <w:rPr>
          <w:rFonts w:hint="eastAsia" w:ascii="宋体" w:hAnsi="宋体" w:eastAsia="宋体" w:cs="宋体"/>
          <w:bCs/>
          <w:sz w:val="21"/>
          <w:szCs w:val="21"/>
        </w:rPr>
        <w:t>处罚主体是设区的市级或者直辖市的区人民政府司法行政部门，但</w:t>
      </w:r>
      <w:r>
        <w:rPr>
          <w:rFonts w:hint="eastAsia" w:ascii="宋体" w:hAnsi="宋体" w:eastAsia="宋体" w:cs="宋体"/>
          <w:b/>
          <w:bCs w:val="0"/>
          <w:sz w:val="21"/>
          <w:szCs w:val="21"/>
        </w:rPr>
        <w:t>吊销律师执业证书需要省级司法行政机关作出</w:t>
      </w:r>
      <w:r>
        <w:rPr>
          <w:rFonts w:hint="eastAsia" w:ascii="宋体" w:hAnsi="宋体" w:eastAsia="宋体" w:cs="宋体"/>
          <w:bCs/>
          <w:sz w:val="21"/>
          <w:szCs w:val="21"/>
        </w:rPr>
        <w:t>。</w:t>
      </w:r>
    </w:p>
    <w:p w14:paraId="7E331C28">
      <w:pPr>
        <w:spacing w:line="384" w:lineRule="exact"/>
        <w:ind w:firstLine="253" w:firstLineChars="120"/>
        <w:jc w:val="left"/>
        <w:rPr>
          <w:rFonts w:hint="eastAsia" w:ascii="宋体" w:hAnsi="宋体" w:eastAsia="宋体" w:cs="宋体"/>
          <w:kern w:val="0"/>
          <w:sz w:val="21"/>
          <w:szCs w:val="21"/>
        </w:rPr>
      </w:pPr>
      <w:r>
        <w:rPr>
          <w:rFonts w:hint="eastAsia" w:ascii="宋体" w:hAnsi="宋体" w:eastAsia="宋体" w:cs="宋体"/>
          <w:b/>
          <w:bCs w:val="0"/>
          <w:color w:val="auto"/>
          <w:sz w:val="21"/>
          <w:szCs w:val="21"/>
        </w:rPr>
        <w:t>（二）民事法律责任</w:t>
      </w:r>
      <w:r>
        <w:rPr>
          <w:rFonts w:hint="eastAsia" w:cs="宋体"/>
          <w:b/>
          <w:bCs w:val="0"/>
          <w:color w:val="auto"/>
          <w:sz w:val="21"/>
          <w:szCs w:val="21"/>
          <w:lang w:eastAsia="zh-CN"/>
        </w:rPr>
        <w:t>：</w:t>
      </w:r>
      <w:r>
        <w:rPr>
          <w:rFonts w:hint="eastAsia" w:cs="宋体"/>
          <w:b w:val="0"/>
          <w:bCs/>
          <w:color w:val="auto"/>
          <w:sz w:val="21"/>
          <w:szCs w:val="21"/>
          <w:lang w:eastAsia="zh-CN"/>
        </w:rPr>
        <w:t>（</w:t>
      </w:r>
      <w:r>
        <w:rPr>
          <w:rFonts w:hint="eastAsia" w:cs="宋体"/>
          <w:b w:val="0"/>
          <w:bCs/>
          <w:color w:val="auto"/>
          <w:sz w:val="21"/>
          <w:szCs w:val="21"/>
          <w:lang w:val="en-US" w:eastAsia="zh-CN"/>
        </w:rPr>
        <w:t>1</w:t>
      </w:r>
      <w:r>
        <w:rPr>
          <w:rFonts w:hint="eastAsia" w:cs="宋体"/>
          <w:b w:val="0"/>
          <w:bCs/>
          <w:color w:val="auto"/>
          <w:sz w:val="21"/>
          <w:szCs w:val="21"/>
          <w:lang w:eastAsia="zh-CN"/>
        </w:rPr>
        <w:t>）</w:t>
      </w:r>
      <w:r>
        <w:rPr>
          <w:rFonts w:hint="eastAsia" w:cs="宋体"/>
          <w:b w:val="0"/>
          <w:bCs/>
          <w:color w:val="auto"/>
          <w:sz w:val="21"/>
          <w:szCs w:val="21"/>
          <w:lang w:val="en-US" w:eastAsia="zh-CN"/>
        </w:rPr>
        <w:t>国资所：</w:t>
      </w:r>
      <w:r>
        <w:rPr>
          <w:rFonts w:hint="eastAsia" w:ascii="宋体" w:hAnsi="宋体" w:eastAsia="宋体" w:cs="宋体"/>
          <w:sz w:val="21"/>
          <w:szCs w:val="21"/>
        </w:rPr>
        <w:t>以其全部资产承担有限责任</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个人律师事务所</w:t>
      </w:r>
      <w:r>
        <w:rPr>
          <w:rFonts w:hint="eastAsia" w:cs="宋体"/>
          <w:sz w:val="21"/>
          <w:szCs w:val="21"/>
          <w:lang w:eastAsia="zh-CN"/>
        </w:rPr>
        <w:t>：</w:t>
      </w:r>
      <w:r>
        <w:rPr>
          <w:rFonts w:hint="eastAsia" w:ascii="宋体" w:hAnsi="宋体" w:eastAsia="宋体" w:cs="宋体"/>
          <w:sz w:val="21"/>
          <w:szCs w:val="21"/>
        </w:rPr>
        <w:t>设立人承担无限责任</w:t>
      </w:r>
      <w:r>
        <w:rPr>
          <w:rFonts w:hint="eastAsia" w:cs="宋体"/>
          <w:sz w:val="21"/>
          <w:szCs w:val="21"/>
          <w:lang w:eastAsia="zh-CN"/>
        </w:rPr>
        <w:t>；（</w:t>
      </w:r>
      <w:r>
        <w:rPr>
          <w:rFonts w:hint="eastAsia" w:cs="宋体"/>
          <w:sz w:val="21"/>
          <w:szCs w:val="21"/>
          <w:lang w:val="en-US" w:eastAsia="zh-CN"/>
        </w:rPr>
        <w:t>3</w:t>
      </w:r>
      <w:r>
        <w:rPr>
          <w:rFonts w:hint="eastAsia" w:cs="宋体"/>
          <w:sz w:val="21"/>
          <w:szCs w:val="21"/>
          <w:lang w:eastAsia="zh-CN"/>
        </w:rPr>
        <w:t>）</w:t>
      </w:r>
      <w:r>
        <w:rPr>
          <w:rFonts w:hint="eastAsia" w:ascii="宋体" w:hAnsi="宋体" w:eastAsia="宋体" w:cs="宋体"/>
          <w:sz w:val="21"/>
          <w:szCs w:val="21"/>
        </w:rPr>
        <w:t>普通合伙律师事务所</w:t>
      </w:r>
      <w:r>
        <w:rPr>
          <w:rFonts w:hint="eastAsia" w:cs="宋体"/>
          <w:sz w:val="21"/>
          <w:szCs w:val="21"/>
          <w:lang w:eastAsia="zh-CN"/>
        </w:rPr>
        <w:t>：</w:t>
      </w:r>
      <w:r>
        <w:rPr>
          <w:rFonts w:hint="eastAsia" w:ascii="宋体" w:hAnsi="宋体" w:eastAsia="宋体" w:cs="宋体"/>
          <w:sz w:val="21"/>
          <w:szCs w:val="21"/>
        </w:rPr>
        <w:t>合伙人承担无限连带责任</w:t>
      </w:r>
      <w:r>
        <w:rPr>
          <w:rFonts w:hint="eastAsia" w:cs="宋体"/>
          <w:sz w:val="21"/>
          <w:szCs w:val="21"/>
          <w:lang w:eastAsia="zh-CN"/>
        </w:rPr>
        <w:t>；（</w:t>
      </w:r>
      <w:r>
        <w:rPr>
          <w:rFonts w:hint="eastAsia" w:cs="宋体"/>
          <w:sz w:val="21"/>
          <w:szCs w:val="21"/>
          <w:lang w:val="en-US" w:eastAsia="zh-CN"/>
        </w:rPr>
        <w:t>4</w:t>
      </w:r>
      <w:r>
        <w:rPr>
          <w:rFonts w:hint="eastAsia" w:cs="宋体"/>
          <w:sz w:val="21"/>
          <w:szCs w:val="21"/>
          <w:lang w:eastAsia="zh-CN"/>
        </w:rPr>
        <w:t>）</w:t>
      </w:r>
      <w:r>
        <w:rPr>
          <w:rFonts w:hint="eastAsia" w:ascii="宋体" w:hAnsi="宋体" w:eastAsia="宋体" w:cs="宋体"/>
          <w:sz w:val="21"/>
          <w:szCs w:val="21"/>
        </w:rPr>
        <w:t>特殊的普通合伙律师事务所</w:t>
      </w:r>
      <w:r>
        <w:rPr>
          <w:rFonts w:hint="eastAsia" w:cs="宋体"/>
          <w:sz w:val="21"/>
          <w:szCs w:val="21"/>
          <w:lang w:eastAsia="zh-CN"/>
        </w:rPr>
        <w:t>：</w:t>
      </w:r>
      <w:r>
        <w:rPr>
          <w:rFonts w:hint="eastAsia" w:cs="宋体"/>
          <w:sz w:val="21"/>
          <w:szCs w:val="21"/>
          <w:lang w:val="en-US" w:eastAsia="zh-CN"/>
        </w:rPr>
        <w:t>①</w:t>
      </w:r>
      <w:r>
        <w:rPr>
          <w:rFonts w:hint="eastAsia" w:ascii="宋体" w:hAnsi="宋体" w:eastAsia="宋体" w:cs="宋体"/>
          <w:sz w:val="21"/>
          <w:szCs w:val="21"/>
        </w:rPr>
        <w:t>合伙人因故意或者重大过失</w:t>
      </w:r>
      <w:r>
        <w:rPr>
          <w:rFonts w:hint="eastAsia" w:cs="宋体"/>
          <w:sz w:val="21"/>
          <w:szCs w:val="21"/>
          <w:lang w:eastAsia="zh-CN"/>
        </w:rPr>
        <w:t>：无限责任或者无限连带责任；其他合伙人承担有限责任；</w:t>
      </w:r>
      <w:r>
        <w:rPr>
          <w:rFonts w:hint="eastAsia" w:cs="宋体"/>
          <w:sz w:val="21"/>
          <w:szCs w:val="21"/>
          <w:lang w:val="en-US" w:eastAsia="zh-CN"/>
        </w:rPr>
        <w:t>②</w:t>
      </w:r>
      <w:r>
        <w:rPr>
          <w:rFonts w:hint="eastAsia" w:ascii="宋体" w:hAnsi="宋体" w:eastAsia="宋体" w:cs="宋体"/>
          <w:sz w:val="21"/>
          <w:szCs w:val="21"/>
        </w:rPr>
        <w:t>合伙人非因故意或者重大过失</w:t>
      </w:r>
      <w:r>
        <w:rPr>
          <w:rFonts w:hint="eastAsia" w:cs="宋体"/>
          <w:sz w:val="21"/>
          <w:szCs w:val="21"/>
          <w:lang w:eastAsia="zh-CN"/>
        </w:rPr>
        <w:t>：</w:t>
      </w:r>
      <w:r>
        <w:rPr>
          <w:rFonts w:hint="eastAsia" w:ascii="宋体" w:hAnsi="宋体" w:eastAsia="宋体" w:cs="宋体"/>
          <w:sz w:val="21"/>
          <w:szCs w:val="21"/>
        </w:rPr>
        <w:t>全体合伙人承担无限连带责任</w:t>
      </w:r>
      <w:r>
        <w:rPr>
          <w:rFonts w:hint="eastAsia" w:cs="宋体"/>
          <w:sz w:val="21"/>
          <w:szCs w:val="21"/>
          <w:lang w:eastAsia="zh-CN"/>
        </w:rPr>
        <w:t>。</w:t>
      </w:r>
    </w:p>
    <w:p w14:paraId="7DEB66E3">
      <w:pPr>
        <w:keepNext w:val="0"/>
        <w:keepLines w:val="0"/>
        <w:pageBreakBefore w:val="0"/>
        <w:widowControl w:val="0"/>
        <w:tabs>
          <w:tab w:val="left" w:pos="420"/>
        </w:tabs>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21"/>
          <w:szCs w:val="21"/>
        </w:rPr>
      </w:pPr>
      <w:bookmarkStart w:id="13" w:name="_Toc17259_WPSOffice_Level1"/>
      <w:bookmarkStart w:id="14" w:name="_Toc19377"/>
      <w:bookmarkStart w:id="15" w:name="_Toc230600013"/>
      <w:r>
        <w:rPr>
          <w:rFonts w:hint="eastAsia" w:ascii="宋体" w:hAnsi="宋体" w:eastAsia="宋体" w:cs="宋体"/>
          <w:b/>
          <w:bCs/>
          <w:color w:val="000000" w:themeColor="text1"/>
          <w:sz w:val="24"/>
          <w:szCs w:val="24"/>
          <w:lang w:val="en-US" w:eastAsia="zh-CN"/>
          <w14:textFill>
            <w14:solidFill>
              <w14:schemeClr w14:val="tx1"/>
            </w14:solidFill>
          </w14:textFill>
        </w:rPr>
        <w:t>考点21  公证员职业道德</w:t>
      </w:r>
      <w:bookmarkEnd w:id="13"/>
      <w:bookmarkEnd w:id="14"/>
      <w:bookmarkEnd w:id="15"/>
      <w:r>
        <w:rPr>
          <w:rFonts w:hint="eastAsia" w:cs="宋体"/>
          <w:b/>
          <w:bCs/>
          <w:color w:val="000000" w:themeColor="text1"/>
          <w:sz w:val="24"/>
          <w:szCs w:val="24"/>
          <w:lang w:val="en-US" w:eastAsia="zh-CN"/>
          <w14:textFill>
            <w14:solidFill>
              <w14:schemeClr w14:val="tx1"/>
            </w14:solidFill>
          </w14:textFill>
        </w:rPr>
        <w:t>（21:59—22:06）</w:t>
      </w:r>
    </w:p>
    <w:p w14:paraId="39D6E624">
      <w:pPr>
        <w:spacing w:line="384" w:lineRule="exact"/>
        <w:jc w:val="left"/>
        <w:rPr>
          <w:rFonts w:hint="eastAsia" w:ascii="宋体" w:hAnsi="宋体" w:eastAsia="宋体" w:cs="宋体"/>
          <w:b/>
          <w:bCs w:val="0"/>
          <w:sz w:val="21"/>
          <w:szCs w:val="21"/>
        </w:rPr>
      </w:pPr>
      <w:r>
        <w:rPr>
          <w:rFonts w:hint="eastAsia" w:ascii="宋体" w:hAnsi="宋体" w:eastAsia="宋体" w:cs="宋体"/>
          <w:b/>
          <w:bCs w:val="0"/>
          <w:color w:val="auto"/>
          <w:sz w:val="21"/>
          <w:szCs w:val="21"/>
        </w:rPr>
        <w:t>一、公证员职业道德的主要内容</w:t>
      </w:r>
    </w:p>
    <w:p w14:paraId="6D6C0FD6">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（一）忠于法律、尽职履责</w:t>
      </w:r>
      <w:r>
        <w:rPr>
          <w:rFonts w:hint="eastAsia" w:cs="宋体"/>
          <w:bCs/>
          <w:color w:val="auto"/>
          <w:sz w:val="21"/>
          <w:szCs w:val="21"/>
          <w:lang w:eastAsia="zh-CN"/>
        </w:rPr>
        <w:t>：（</w:t>
      </w:r>
      <w:r>
        <w:rPr>
          <w:rFonts w:hint="eastAsia" w:cs="宋体"/>
          <w:bCs/>
          <w:color w:val="auto"/>
          <w:sz w:val="21"/>
          <w:szCs w:val="21"/>
          <w:lang w:val="en-US" w:eastAsia="zh-CN"/>
        </w:rPr>
        <w:t>1</w:t>
      </w:r>
      <w:r>
        <w:rPr>
          <w:rFonts w:hint="eastAsia" w:cs="宋体"/>
          <w:bCs/>
          <w:color w:val="auto"/>
          <w:sz w:val="21"/>
          <w:szCs w:val="21"/>
          <w:lang w:eastAsia="zh-CN"/>
        </w:rPr>
        <w:t>）</w:t>
      </w:r>
      <w:r>
        <w:rPr>
          <w:rFonts w:hint="eastAsia" w:ascii="宋体" w:hAnsi="宋体" w:eastAsia="宋体" w:cs="宋体"/>
          <w:bCs/>
          <w:kern w:val="44"/>
          <w:sz w:val="21"/>
          <w:szCs w:val="21"/>
        </w:rPr>
        <w:t>忠于宪法和法律，恪守客观、公正原则</w:t>
      </w:r>
      <w:r>
        <w:rPr>
          <w:rFonts w:hint="eastAsia" w:cs="宋体"/>
          <w:bCs/>
          <w:kern w:val="44"/>
          <w:sz w:val="21"/>
          <w:szCs w:val="21"/>
          <w:lang w:eastAsia="zh-CN"/>
        </w:rPr>
        <w:t>；（</w:t>
      </w:r>
      <w:r>
        <w:rPr>
          <w:rFonts w:hint="eastAsia" w:cs="宋体"/>
          <w:bCs/>
          <w:kern w:val="44"/>
          <w:sz w:val="21"/>
          <w:szCs w:val="21"/>
          <w:lang w:val="en-US" w:eastAsia="zh-CN"/>
        </w:rPr>
        <w:t>2</w:t>
      </w:r>
      <w:r>
        <w:rPr>
          <w:rFonts w:hint="eastAsia" w:cs="宋体"/>
          <w:bCs/>
          <w:kern w:val="44"/>
          <w:sz w:val="21"/>
          <w:szCs w:val="21"/>
          <w:lang w:eastAsia="zh-CN"/>
        </w:rPr>
        <w:t>）</w:t>
      </w:r>
      <w:r>
        <w:rPr>
          <w:rFonts w:hint="eastAsia" w:ascii="宋体" w:hAnsi="宋体" w:eastAsia="宋体" w:cs="宋体"/>
          <w:bCs/>
          <w:kern w:val="44"/>
          <w:sz w:val="21"/>
          <w:szCs w:val="21"/>
        </w:rPr>
        <w:t>遵守法定回避制度</w:t>
      </w:r>
      <w:r>
        <w:rPr>
          <w:rFonts w:hint="eastAsia" w:cs="宋体"/>
          <w:bCs/>
          <w:kern w:val="44"/>
          <w:sz w:val="21"/>
          <w:szCs w:val="21"/>
          <w:lang w:eastAsia="zh-CN"/>
        </w:rPr>
        <w:t>：</w:t>
      </w:r>
      <w:r>
        <w:rPr>
          <w:rFonts w:hint="eastAsia" w:ascii="宋体" w:hAnsi="宋体" w:eastAsia="宋体" w:cs="宋体"/>
          <w:sz w:val="21"/>
          <w:szCs w:val="21"/>
        </w:rPr>
        <w:t>公证员不得为本人及近亲属办理公证或者办理与本人及近亲属有利害关系的公证</w:t>
      </w:r>
      <w:r>
        <w:rPr>
          <w:rFonts w:hint="eastAsia" w:cs="宋体"/>
          <w:sz w:val="21"/>
          <w:szCs w:val="21"/>
          <w:lang w:eastAsia="zh-CN"/>
        </w:rPr>
        <w:t>；（</w:t>
      </w:r>
      <w:r>
        <w:rPr>
          <w:rFonts w:hint="eastAsia" w:cs="宋体"/>
          <w:sz w:val="21"/>
          <w:szCs w:val="21"/>
          <w:lang w:val="en-US" w:eastAsia="zh-CN"/>
        </w:rPr>
        <w:t>3</w:t>
      </w:r>
      <w:r>
        <w:rPr>
          <w:rFonts w:hint="eastAsia" w:cs="宋体"/>
          <w:sz w:val="21"/>
          <w:szCs w:val="21"/>
          <w:lang w:eastAsia="zh-CN"/>
        </w:rPr>
        <w:t>）</w:t>
      </w:r>
      <w:r>
        <w:rPr>
          <w:rFonts w:hint="eastAsia" w:ascii="宋体" w:hAnsi="宋体" w:eastAsia="宋体" w:cs="宋体"/>
          <w:bCs/>
          <w:kern w:val="44"/>
          <w:sz w:val="21"/>
          <w:szCs w:val="21"/>
        </w:rPr>
        <w:t>履行执业保密义务</w:t>
      </w:r>
      <w:r>
        <w:rPr>
          <w:rFonts w:hint="eastAsia" w:cs="宋体"/>
          <w:bCs/>
          <w:kern w:val="44"/>
          <w:sz w:val="21"/>
          <w:szCs w:val="21"/>
          <w:lang w:eastAsia="zh-CN"/>
        </w:rPr>
        <w:t>：</w:t>
      </w:r>
      <w:r>
        <w:rPr>
          <w:rFonts w:hint="eastAsia" w:ascii="宋体" w:hAnsi="宋体" w:eastAsia="宋体" w:cs="宋体"/>
          <w:sz w:val="21"/>
          <w:szCs w:val="21"/>
        </w:rPr>
        <w:t>公证员不得泄露在执业中知悉的国家秘密、商业秘密或个人隐私，更不得利用知悉的秘密为自己或他人谋取利益</w:t>
      </w:r>
      <w:r>
        <w:rPr>
          <w:rFonts w:hint="eastAsia" w:cs="宋体"/>
          <w:sz w:val="21"/>
          <w:szCs w:val="21"/>
          <w:lang w:eastAsia="zh-CN"/>
        </w:rPr>
        <w:t>；（</w:t>
      </w:r>
      <w:r>
        <w:rPr>
          <w:rFonts w:hint="eastAsia" w:cs="宋体"/>
          <w:sz w:val="21"/>
          <w:szCs w:val="21"/>
          <w:lang w:val="en-US" w:eastAsia="zh-CN"/>
        </w:rPr>
        <w:t>4</w:t>
      </w:r>
      <w:r>
        <w:rPr>
          <w:rFonts w:hint="eastAsia" w:cs="宋体"/>
          <w:sz w:val="21"/>
          <w:szCs w:val="21"/>
          <w:lang w:eastAsia="zh-CN"/>
        </w:rPr>
        <w:t>）</w:t>
      </w:r>
      <w:r>
        <w:rPr>
          <w:rFonts w:hint="eastAsia" w:ascii="宋体" w:hAnsi="宋体" w:eastAsia="宋体" w:cs="宋体"/>
          <w:bCs/>
          <w:kern w:val="44"/>
          <w:sz w:val="21"/>
          <w:szCs w:val="21"/>
        </w:rPr>
        <w:t>积极采取措施纠正、制止违法违规行为</w:t>
      </w:r>
      <w:r>
        <w:rPr>
          <w:rFonts w:hint="eastAsia" w:cs="宋体"/>
          <w:bCs/>
          <w:kern w:val="44"/>
          <w:sz w:val="21"/>
          <w:szCs w:val="21"/>
          <w:lang w:eastAsia="zh-CN"/>
        </w:rPr>
        <w:t>。</w:t>
      </w:r>
    </w:p>
    <w:p w14:paraId="6EFAB2A8">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（二）爱岗敬业、规范服务</w:t>
      </w:r>
      <w:r>
        <w:rPr>
          <w:rFonts w:hint="eastAsia" w:cs="宋体"/>
          <w:bCs/>
          <w:color w:val="auto"/>
          <w:sz w:val="21"/>
          <w:szCs w:val="21"/>
          <w:lang w:eastAsia="zh-CN"/>
        </w:rPr>
        <w:t>：（</w:t>
      </w:r>
      <w:r>
        <w:rPr>
          <w:rFonts w:hint="eastAsia" w:cs="宋体"/>
          <w:bCs/>
          <w:color w:val="auto"/>
          <w:sz w:val="21"/>
          <w:szCs w:val="21"/>
          <w:lang w:val="en-US" w:eastAsia="zh-CN"/>
        </w:rPr>
        <w:t>1</w:t>
      </w:r>
      <w:r>
        <w:rPr>
          <w:rFonts w:hint="eastAsia" w:cs="宋体"/>
          <w:bCs/>
          <w:color w:val="auto"/>
          <w:sz w:val="21"/>
          <w:szCs w:val="21"/>
          <w:lang w:eastAsia="zh-CN"/>
        </w:rPr>
        <w:t>）</w:t>
      </w:r>
      <w:r>
        <w:rPr>
          <w:rFonts w:hint="eastAsia" w:ascii="宋体" w:hAnsi="宋体" w:eastAsia="宋体" w:cs="宋体"/>
          <w:bCs/>
          <w:kern w:val="44"/>
          <w:sz w:val="21"/>
          <w:szCs w:val="21"/>
        </w:rPr>
        <w:t>珍惜职业荣誉</w:t>
      </w:r>
      <w:r>
        <w:rPr>
          <w:rFonts w:hint="eastAsia" w:cs="宋体"/>
          <w:bCs/>
          <w:kern w:val="44"/>
          <w:sz w:val="21"/>
          <w:szCs w:val="21"/>
          <w:lang w:eastAsia="zh-CN"/>
        </w:rPr>
        <w:t>；（</w:t>
      </w:r>
      <w:r>
        <w:rPr>
          <w:rFonts w:hint="eastAsia" w:cs="宋体"/>
          <w:bCs/>
          <w:kern w:val="44"/>
          <w:sz w:val="21"/>
          <w:szCs w:val="21"/>
          <w:lang w:val="en-US" w:eastAsia="zh-CN"/>
        </w:rPr>
        <w:t>2</w:t>
      </w:r>
      <w:r>
        <w:rPr>
          <w:rFonts w:hint="eastAsia" w:cs="宋体"/>
          <w:bCs/>
          <w:kern w:val="44"/>
          <w:sz w:val="21"/>
          <w:szCs w:val="21"/>
          <w:lang w:eastAsia="zh-CN"/>
        </w:rPr>
        <w:t>）</w:t>
      </w:r>
      <w:r>
        <w:rPr>
          <w:rFonts w:hint="eastAsia" w:ascii="宋体" w:hAnsi="宋体" w:eastAsia="宋体" w:cs="宋体"/>
          <w:bCs/>
          <w:kern w:val="44"/>
          <w:sz w:val="21"/>
          <w:szCs w:val="21"/>
        </w:rPr>
        <w:t>履行告知义务</w:t>
      </w:r>
      <w:r>
        <w:rPr>
          <w:rFonts w:hint="eastAsia" w:cs="宋体"/>
          <w:bCs/>
          <w:kern w:val="44"/>
          <w:sz w:val="21"/>
          <w:szCs w:val="21"/>
          <w:lang w:eastAsia="zh-CN"/>
        </w:rPr>
        <w:t>：</w:t>
      </w:r>
      <w:r>
        <w:rPr>
          <w:rFonts w:hint="eastAsia" w:ascii="宋体" w:hAnsi="宋体" w:eastAsia="宋体" w:cs="宋体"/>
          <w:sz w:val="21"/>
          <w:szCs w:val="21"/>
        </w:rPr>
        <w:t>公证员在履行职责时，应当告知当事人、代理人和参加人的权利和义务，并就权利和义务的真实意思和可能产生的法律后果作出明确解释，避免形式上的简单告知</w:t>
      </w:r>
      <w:r>
        <w:rPr>
          <w:rFonts w:hint="eastAsia" w:cs="宋体"/>
          <w:sz w:val="21"/>
          <w:szCs w:val="21"/>
          <w:lang w:eastAsia="zh-CN"/>
        </w:rPr>
        <w:t>；（</w:t>
      </w:r>
      <w:r>
        <w:rPr>
          <w:rFonts w:hint="eastAsia" w:cs="宋体"/>
          <w:sz w:val="21"/>
          <w:szCs w:val="21"/>
          <w:lang w:val="en-US" w:eastAsia="zh-CN"/>
        </w:rPr>
        <w:t>3</w:t>
      </w:r>
      <w:r>
        <w:rPr>
          <w:rFonts w:hint="eastAsia" w:cs="宋体"/>
          <w:sz w:val="21"/>
          <w:szCs w:val="21"/>
          <w:lang w:eastAsia="zh-CN"/>
        </w:rPr>
        <w:t>）</w:t>
      </w:r>
      <w:r>
        <w:rPr>
          <w:rFonts w:hint="eastAsia" w:ascii="宋体" w:hAnsi="宋体" w:eastAsia="宋体" w:cs="宋体"/>
          <w:bCs/>
          <w:kern w:val="44"/>
          <w:sz w:val="21"/>
          <w:szCs w:val="21"/>
        </w:rPr>
        <w:t>平等、热情地对待公证当事人、代理人和参与人</w:t>
      </w:r>
      <w:r>
        <w:rPr>
          <w:rFonts w:hint="eastAsia" w:cs="宋体"/>
          <w:bCs/>
          <w:kern w:val="44"/>
          <w:sz w:val="21"/>
          <w:szCs w:val="21"/>
          <w:lang w:eastAsia="zh-CN"/>
        </w:rPr>
        <w:t>；（</w:t>
      </w:r>
      <w:r>
        <w:rPr>
          <w:rFonts w:hint="eastAsia" w:cs="宋体"/>
          <w:bCs/>
          <w:kern w:val="44"/>
          <w:sz w:val="21"/>
          <w:szCs w:val="21"/>
          <w:lang w:val="en-US" w:eastAsia="zh-CN"/>
        </w:rPr>
        <w:t>4</w:t>
      </w:r>
      <w:r>
        <w:rPr>
          <w:rFonts w:hint="eastAsia" w:cs="宋体"/>
          <w:bCs/>
          <w:kern w:val="44"/>
          <w:sz w:val="21"/>
          <w:szCs w:val="21"/>
          <w:lang w:eastAsia="zh-CN"/>
        </w:rPr>
        <w:t>）</w:t>
      </w:r>
      <w:r>
        <w:rPr>
          <w:rFonts w:hint="eastAsia" w:ascii="宋体" w:hAnsi="宋体" w:eastAsia="宋体" w:cs="宋体"/>
          <w:bCs/>
          <w:kern w:val="44"/>
          <w:sz w:val="21"/>
          <w:szCs w:val="21"/>
        </w:rPr>
        <w:t>依法提高办证质量和效率</w:t>
      </w:r>
      <w:r>
        <w:rPr>
          <w:rFonts w:hint="eastAsia" w:cs="宋体"/>
          <w:bCs/>
          <w:kern w:val="44"/>
          <w:sz w:val="21"/>
          <w:szCs w:val="21"/>
          <w:lang w:eastAsia="zh-CN"/>
        </w:rPr>
        <w:t>；（</w:t>
      </w:r>
      <w:r>
        <w:rPr>
          <w:rFonts w:hint="eastAsia" w:cs="宋体"/>
          <w:bCs/>
          <w:kern w:val="44"/>
          <w:sz w:val="21"/>
          <w:szCs w:val="21"/>
          <w:lang w:val="en-US" w:eastAsia="zh-CN"/>
        </w:rPr>
        <w:t>5</w:t>
      </w:r>
      <w:r>
        <w:rPr>
          <w:rFonts w:hint="eastAsia" w:cs="宋体"/>
          <w:bCs/>
          <w:kern w:val="44"/>
          <w:sz w:val="21"/>
          <w:szCs w:val="21"/>
          <w:lang w:eastAsia="zh-CN"/>
        </w:rPr>
        <w:t>）</w:t>
      </w:r>
      <w:r>
        <w:rPr>
          <w:rFonts w:hint="eastAsia" w:ascii="宋体" w:hAnsi="宋体" w:eastAsia="宋体" w:cs="宋体"/>
          <w:bCs/>
          <w:kern w:val="44"/>
          <w:sz w:val="21"/>
          <w:szCs w:val="21"/>
        </w:rPr>
        <w:t>注重文明礼仪，维护职业形象</w:t>
      </w:r>
      <w:r>
        <w:rPr>
          <w:rFonts w:hint="eastAsia" w:cs="宋体"/>
          <w:bCs/>
          <w:kern w:val="44"/>
          <w:sz w:val="21"/>
          <w:szCs w:val="21"/>
          <w:lang w:eastAsia="zh-CN"/>
        </w:rPr>
        <w:t>；（</w:t>
      </w:r>
      <w:r>
        <w:rPr>
          <w:rFonts w:hint="eastAsia" w:cs="宋体"/>
          <w:bCs/>
          <w:kern w:val="44"/>
          <w:sz w:val="21"/>
          <w:szCs w:val="21"/>
          <w:lang w:val="en-US" w:eastAsia="zh-CN"/>
        </w:rPr>
        <w:t>6</w:t>
      </w:r>
      <w:r>
        <w:rPr>
          <w:rFonts w:hint="eastAsia" w:cs="宋体"/>
          <w:bCs/>
          <w:kern w:val="44"/>
          <w:sz w:val="21"/>
          <w:szCs w:val="21"/>
          <w:lang w:eastAsia="zh-CN"/>
        </w:rPr>
        <w:t>）</w:t>
      </w:r>
      <w:r>
        <w:rPr>
          <w:rFonts w:hint="eastAsia" w:ascii="宋体" w:hAnsi="宋体" w:eastAsia="宋体" w:cs="宋体"/>
          <w:bCs/>
          <w:kern w:val="44"/>
          <w:sz w:val="21"/>
          <w:szCs w:val="21"/>
        </w:rPr>
        <w:t>积极履行监督义务</w:t>
      </w:r>
      <w:r>
        <w:rPr>
          <w:rFonts w:hint="eastAsia" w:cs="宋体"/>
          <w:bCs/>
          <w:kern w:val="44"/>
          <w:sz w:val="21"/>
          <w:szCs w:val="21"/>
          <w:lang w:eastAsia="zh-CN"/>
        </w:rPr>
        <w:t>；（</w:t>
      </w:r>
      <w:r>
        <w:rPr>
          <w:rFonts w:hint="eastAsia" w:cs="宋体"/>
          <w:bCs/>
          <w:kern w:val="44"/>
          <w:sz w:val="21"/>
          <w:szCs w:val="21"/>
          <w:lang w:val="en-US" w:eastAsia="zh-CN"/>
        </w:rPr>
        <w:t>7</w:t>
      </w:r>
      <w:r>
        <w:rPr>
          <w:rFonts w:hint="eastAsia" w:cs="宋体"/>
          <w:bCs/>
          <w:kern w:val="44"/>
          <w:sz w:val="21"/>
          <w:szCs w:val="21"/>
          <w:lang w:eastAsia="zh-CN"/>
        </w:rPr>
        <w:t>）</w:t>
      </w:r>
      <w:r>
        <w:rPr>
          <w:rFonts w:hint="eastAsia" w:ascii="宋体" w:hAnsi="宋体" w:eastAsia="宋体" w:cs="宋体"/>
          <w:bCs/>
          <w:kern w:val="44"/>
          <w:sz w:val="21"/>
          <w:szCs w:val="21"/>
        </w:rPr>
        <w:t>不发表不当评论</w:t>
      </w:r>
      <w:r>
        <w:rPr>
          <w:rFonts w:hint="eastAsia" w:cs="宋体"/>
          <w:bCs/>
          <w:kern w:val="44"/>
          <w:sz w:val="21"/>
          <w:szCs w:val="21"/>
          <w:lang w:eastAsia="zh-CN"/>
        </w:rPr>
        <w:t>：</w:t>
      </w:r>
      <w:r>
        <w:rPr>
          <w:rFonts w:hint="eastAsia" w:ascii="宋体" w:hAnsi="宋体" w:eastAsia="宋体" w:cs="宋体"/>
          <w:sz w:val="21"/>
          <w:szCs w:val="21"/>
        </w:rPr>
        <w:t>公证员不得利用媒体或采用其他方式，对正在办理或已办结的公证事项发表不当评论，更不得发表有损公证严肃性和权威性的言论。</w:t>
      </w:r>
    </w:p>
    <w:p w14:paraId="6F2E0DF5">
      <w:pPr>
        <w:spacing w:line="384" w:lineRule="exact"/>
        <w:ind w:firstLine="211" w:firstLineChars="100"/>
        <w:jc w:val="left"/>
        <w:rPr>
          <w:rFonts w:hint="eastAsia" w:ascii="宋体" w:hAnsi="宋体" w:eastAsia="宋体" w:cs="宋体"/>
          <w:sz w:val="21"/>
          <w:szCs w:val="21"/>
        </w:rPr>
      </w:pPr>
      <w:r>
        <w:rPr>
          <w:rFonts w:hint="eastAsia" w:ascii="宋体" w:hAnsi="宋体" w:eastAsia="宋体" w:cs="宋体"/>
          <w:b/>
          <w:bCs w:val="0"/>
          <w:color w:val="auto"/>
          <w:sz w:val="21"/>
          <w:szCs w:val="21"/>
        </w:rPr>
        <w:t>（三）加强修养、提高素质</w:t>
      </w:r>
      <w:r>
        <w:rPr>
          <w:rFonts w:hint="eastAsia" w:cs="宋体"/>
          <w:b/>
          <w:bCs w:val="0"/>
          <w:color w:val="auto"/>
          <w:sz w:val="21"/>
          <w:szCs w:val="21"/>
          <w:lang w:eastAsia="zh-CN"/>
        </w:rPr>
        <w:t>：</w:t>
      </w:r>
      <w:r>
        <w:rPr>
          <w:rFonts w:hint="eastAsia" w:cs="宋体"/>
          <w:sz w:val="21"/>
          <w:szCs w:val="21"/>
          <w:lang w:eastAsia="zh-CN"/>
        </w:rPr>
        <w:t>（</w:t>
      </w:r>
      <w:r>
        <w:rPr>
          <w:rFonts w:hint="eastAsia" w:cs="宋体"/>
          <w:sz w:val="21"/>
          <w:szCs w:val="21"/>
          <w:lang w:val="en-US" w:eastAsia="zh-CN"/>
        </w:rPr>
        <w:t>1</w:t>
      </w:r>
      <w:r>
        <w:rPr>
          <w:rFonts w:hint="eastAsia" w:cs="宋体"/>
          <w:sz w:val="21"/>
          <w:szCs w:val="21"/>
          <w:lang w:eastAsia="zh-CN"/>
        </w:rPr>
        <w:t>）</w:t>
      </w:r>
      <w:r>
        <w:rPr>
          <w:rFonts w:hint="eastAsia" w:ascii="宋体" w:hAnsi="宋体" w:eastAsia="宋体" w:cs="宋体"/>
          <w:sz w:val="21"/>
          <w:szCs w:val="21"/>
        </w:rPr>
        <w:t>遵守社会公德</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具有良好的个人修养和品行</w:t>
      </w:r>
      <w:r>
        <w:rPr>
          <w:rFonts w:hint="eastAsia" w:cs="宋体"/>
          <w:sz w:val="21"/>
          <w:szCs w:val="21"/>
          <w:lang w:eastAsia="zh-CN"/>
        </w:rPr>
        <w:t>；（</w:t>
      </w:r>
      <w:r>
        <w:rPr>
          <w:rFonts w:hint="eastAsia" w:cs="宋体"/>
          <w:sz w:val="21"/>
          <w:szCs w:val="21"/>
          <w:lang w:val="en-US" w:eastAsia="zh-CN"/>
        </w:rPr>
        <w:t>3</w:t>
      </w:r>
      <w:r>
        <w:rPr>
          <w:rFonts w:hint="eastAsia" w:cs="宋体"/>
          <w:sz w:val="21"/>
          <w:szCs w:val="21"/>
          <w:lang w:eastAsia="zh-CN"/>
        </w:rPr>
        <w:t>）</w:t>
      </w:r>
      <w:r>
        <w:rPr>
          <w:rFonts w:hint="eastAsia" w:ascii="宋体" w:hAnsi="宋体" w:eastAsia="宋体" w:cs="宋体"/>
          <w:sz w:val="21"/>
          <w:szCs w:val="21"/>
        </w:rPr>
        <w:t>忠于职守</w:t>
      </w:r>
      <w:r>
        <w:rPr>
          <w:rFonts w:hint="eastAsia" w:cs="宋体"/>
          <w:sz w:val="21"/>
          <w:szCs w:val="21"/>
          <w:lang w:eastAsia="zh-CN"/>
        </w:rPr>
        <w:t>；（</w:t>
      </w:r>
      <w:r>
        <w:rPr>
          <w:rFonts w:hint="eastAsia" w:cs="宋体"/>
          <w:sz w:val="21"/>
          <w:szCs w:val="21"/>
          <w:lang w:val="en-US" w:eastAsia="zh-CN"/>
        </w:rPr>
        <w:t>4</w:t>
      </w:r>
      <w:r>
        <w:rPr>
          <w:rFonts w:hint="eastAsia" w:cs="宋体"/>
          <w:sz w:val="21"/>
          <w:szCs w:val="21"/>
          <w:lang w:eastAsia="zh-CN"/>
        </w:rPr>
        <w:t>）</w:t>
      </w:r>
      <w:r>
        <w:rPr>
          <w:rFonts w:hint="eastAsia" w:ascii="宋体" w:hAnsi="宋体" w:eastAsia="宋体" w:cs="宋体"/>
          <w:sz w:val="21"/>
          <w:szCs w:val="21"/>
        </w:rPr>
        <w:t>热爱集体，团结协作</w:t>
      </w:r>
      <w:r>
        <w:rPr>
          <w:rFonts w:hint="eastAsia" w:cs="宋体"/>
          <w:sz w:val="21"/>
          <w:szCs w:val="21"/>
          <w:lang w:eastAsia="zh-CN"/>
        </w:rPr>
        <w:t>；（</w:t>
      </w:r>
      <w:r>
        <w:rPr>
          <w:rFonts w:hint="eastAsia" w:cs="宋体"/>
          <w:sz w:val="21"/>
          <w:szCs w:val="21"/>
          <w:lang w:val="en-US" w:eastAsia="zh-CN"/>
        </w:rPr>
        <w:t>5</w:t>
      </w:r>
      <w:r>
        <w:rPr>
          <w:rFonts w:hint="eastAsia" w:cs="宋体"/>
          <w:sz w:val="21"/>
          <w:szCs w:val="21"/>
          <w:lang w:eastAsia="zh-CN"/>
        </w:rPr>
        <w:t>）</w:t>
      </w:r>
      <w:r>
        <w:rPr>
          <w:rFonts w:hint="eastAsia" w:ascii="宋体" w:hAnsi="宋体" w:eastAsia="宋体" w:cs="宋体"/>
          <w:sz w:val="21"/>
          <w:szCs w:val="21"/>
        </w:rPr>
        <w:t>不断提高自身地业务能力和职业素养</w:t>
      </w:r>
      <w:r>
        <w:rPr>
          <w:rFonts w:hint="eastAsia" w:cs="宋体"/>
          <w:sz w:val="21"/>
          <w:szCs w:val="21"/>
          <w:lang w:eastAsia="zh-CN"/>
        </w:rPr>
        <w:t>；（</w:t>
      </w:r>
      <w:r>
        <w:rPr>
          <w:rFonts w:hint="eastAsia" w:cs="宋体"/>
          <w:sz w:val="21"/>
          <w:szCs w:val="21"/>
          <w:lang w:val="en-US" w:eastAsia="zh-CN"/>
        </w:rPr>
        <w:t>6</w:t>
      </w:r>
      <w:r>
        <w:rPr>
          <w:rFonts w:hint="eastAsia" w:cs="宋体"/>
          <w:sz w:val="21"/>
          <w:szCs w:val="21"/>
          <w:lang w:eastAsia="zh-CN"/>
        </w:rPr>
        <w:t>）</w:t>
      </w:r>
      <w:r>
        <w:rPr>
          <w:rFonts w:hint="eastAsia" w:ascii="宋体" w:hAnsi="宋体" w:eastAsia="宋体" w:cs="宋体"/>
          <w:sz w:val="21"/>
          <w:szCs w:val="21"/>
        </w:rPr>
        <w:t>终身学习，勤勉进取</w:t>
      </w:r>
      <w:r>
        <w:rPr>
          <w:rFonts w:hint="eastAsia" w:cs="宋体"/>
          <w:sz w:val="21"/>
          <w:szCs w:val="21"/>
          <w:lang w:val="en-US" w:eastAsia="zh-CN"/>
        </w:rPr>
        <w:t>.</w:t>
      </w:r>
    </w:p>
    <w:p w14:paraId="7031227D">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（四）廉洁自律、尊重同行</w:t>
      </w:r>
      <w:r>
        <w:rPr>
          <w:rFonts w:hint="eastAsia" w:cs="宋体"/>
          <w:b/>
          <w:bCs w:val="0"/>
          <w:color w:val="auto"/>
          <w:sz w:val="21"/>
          <w:szCs w:val="21"/>
          <w:lang w:eastAsia="zh-CN"/>
        </w:rPr>
        <w:t>：</w:t>
      </w:r>
      <w:r>
        <w:rPr>
          <w:rFonts w:hint="eastAsia" w:cs="宋体"/>
          <w:bCs/>
          <w:kern w:val="44"/>
          <w:sz w:val="21"/>
          <w:szCs w:val="21"/>
          <w:lang w:eastAsia="zh-CN"/>
        </w:rPr>
        <w:t>（</w:t>
      </w:r>
      <w:r>
        <w:rPr>
          <w:rFonts w:hint="eastAsia" w:cs="宋体"/>
          <w:bCs/>
          <w:kern w:val="44"/>
          <w:sz w:val="21"/>
          <w:szCs w:val="21"/>
          <w:lang w:val="en-US" w:eastAsia="zh-CN"/>
        </w:rPr>
        <w:t>1</w:t>
      </w:r>
      <w:r>
        <w:rPr>
          <w:rFonts w:hint="eastAsia" w:cs="宋体"/>
          <w:bCs/>
          <w:kern w:val="44"/>
          <w:sz w:val="21"/>
          <w:szCs w:val="21"/>
          <w:lang w:eastAsia="zh-CN"/>
        </w:rPr>
        <w:t>）</w:t>
      </w:r>
      <w:r>
        <w:rPr>
          <w:rFonts w:hint="eastAsia" w:ascii="宋体" w:hAnsi="宋体" w:eastAsia="宋体" w:cs="宋体"/>
          <w:bCs/>
          <w:kern w:val="44"/>
          <w:sz w:val="21"/>
          <w:szCs w:val="21"/>
        </w:rPr>
        <w:t>廉洁自律</w:t>
      </w:r>
      <w:r>
        <w:rPr>
          <w:rFonts w:hint="eastAsia" w:cs="宋体"/>
          <w:bCs/>
          <w:kern w:val="44"/>
          <w:sz w:val="21"/>
          <w:szCs w:val="21"/>
          <w:lang w:eastAsia="zh-CN"/>
        </w:rPr>
        <w:t>：</w:t>
      </w:r>
      <w:r>
        <w:rPr>
          <w:rFonts w:hint="eastAsia" w:ascii="宋体" w:hAnsi="宋体" w:eastAsia="宋体" w:cs="宋体"/>
          <w:sz w:val="21"/>
          <w:szCs w:val="21"/>
        </w:rPr>
        <w:t>公证员不得从事有报酬的其他职业和与公证员职务、身份不相符的活动</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bCs/>
          <w:kern w:val="44"/>
          <w:sz w:val="21"/>
          <w:szCs w:val="21"/>
        </w:rPr>
        <w:t>妥善处理个人事务</w:t>
      </w:r>
      <w:r>
        <w:rPr>
          <w:rFonts w:hint="eastAsia" w:cs="宋体"/>
          <w:bCs/>
          <w:kern w:val="44"/>
          <w:sz w:val="21"/>
          <w:szCs w:val="21"/>
          <w:lang w:eastAsia="zh-CN"/>
        </w:rPr>
        <w:t>：</w:t>
      </w:r>
      <w:r>
        <w:rPr>
          <w:rFonts w:hint="eastAsia" w:ascii="宋体" w:hAnsi="宋体" w:eastAsia="宋体" w:cs="宋体"/>
          <w:spacing w:val="3"/>
          <w:sz w:val="21"/>
          <w:szCs w:val="21"/>
        </w:rPr>
        <w:t>公证员应当妥善处理个人事务，不得利用公证员的身份和职务为自己、亲属或他人谋取利益</w:t>
      </w:r>
      <w:r>
        <w:rPr>
          <w:rFonts w:hint="eastAsia" w:cs="宋体"/>
          <w:spacing w:val="3"/>
          <w:sz w:val="21"/>
          <w:szCs w:val="21"/>
          <w:lang w:eastAsia="zh-CN"/>
        </w:rPr>
        <w:t>；（</w:t>
      </w:r>
      <w:r>
        <w:rPr>
          <w:rFonts w:hint="eastAsia" w:cs="宋体"/>
          <w:spacing w:val="3"/>
          <w:sz w:val="21"/>
          <w:szCs w:val="21"/>
          <w:lang w:val="en-US" w:eastAsia="zh-CN"/>
        </w:rPr>
        <w:t>3</w:t>
      </w:r>
      <w:r>
        <w:rPr>
          <w:rFonts w:hint="eastAsia" w:cs="宋体"/>
          <w:spacing w:val="3"/>
          <w:sz w:val="21"/>
          <w:szCs w:val="21"/>
          <w:lang w:eastAsia="zh-CN"/>
        </w:rPr>
        <w:t>）</w:t>
      </w:r>
      <w:r>
        <w:rPr>
          <w:rFonts w:hint="eastAsia" w:ascii="宋体" w:hAnsi="宋体" w:eastAsia="宋体" w:cs="宋体"/>
          <w:bCs/>
          <w:kern w:val="44"/>
          <w:sz w:val="21"/>
          <w:szCs w:val="21"/>
        </w:rPr>
        <w:t>不得接受不当利益</w:t>
      </w:r>
      <w:r>
        <w:rPr>
          <w:rFonts w:hint="eastAsia" w:cs="宋体"/>
          <w:bCs/>
          <w:kern w:val="44"/>
          <w:sz w:val="21"/>
          <w:szCs w:val="21"/>
          <w:lang w:eastAsia="zh-CN"/>
        </w:rPr>
        <w:t>：</w:t>
      </w:r>
      <w:r>
        <w:rPr>
          <w:rFonts w:hint="eastAsia" w:ascii="宋体" w:hAnsi="宋体" w:eastAsia="宋体" w:cs="宋体"/>
          <w:spacing w:val="-3"/>
          <w:sz w:val="21"/>
          <w:szCs w:val="21"/>
        </w:rPr>
        <w:t>公证员不得索取或接受当事人及其代理人、利害关系人的答谢款待、馈赠财物或其他利益</w:t>
      </w:r>
      <w:r>
        <w:rPr>
          <w:rFonts w:hint="eastAsia" w:cs="宋体"/>
          <w:spacing w:val="-3"/>
          <w:sz w:val="21"/>
          <w:szCs w:val="21"/>
          <w:lang w:eastAsia="zh-CN"/>
        </w:rPr>
        <w:t>；（</w:t>
      </w:r>
      <w:r>
        <w:rPr>
          <w:rFonts w:hint="eastAsia" w:cs="宋体"/>
          <w:spacing w:val="-3"/>
          <w:sz w:val="21"/>
          <w:szCs w:val="21"/>
          <w:lang w:val="en-US" w:eastAsia="zh-CN"/>
        </w:rPr>
        <w:t>4</w:t>
      </w:r>
      <w:r>
        <w:rPr>
          <w:rFonts w:hint="eastAsia" w:cs="宋体"/>
          <w:spacing w:val="-3"/>
          <w:sz w:val="21"/>
          <w:szCs w:val="21"/>
          <w:lang w:eastAsia="zh-CN"/>
        </w:rPr>
        <w:t>）</w:t>
      </w:r>
      <w:r>
        <w:rPr>
          <w:rFonts w:hint="eastAsia" w:ascii="宋体" w:hAnsi="宋体" w:eastAsia="宋体" w:cs="宋体"/>
          <w:bCs/>
          <w:kern w:val="44"/>
          <w:sz w:val="21"/>
          <w:szCs w:val="21"/>
        </w:rPr>
        <w:t>相互尊重</w:t>
      </w:r>
      <w:r>
        <w:rPr>
          <w:rFonts w:hint="eastAsia" w:cs="宋体"/>
          <w:bCs/>
          <w:kern w:val="44"/>
          <w:sz w:val="21"/>
          <w:szCs w:val="21"/>
          <w:lang w:eastAsia="zh-CN"/>
        </w:rPr>
        <w:t>：</w:t>
      </w:r>
      <w:r>
        <w:rPr>
          <w:rFonts w:hint="eastAsia" w:ascii="宋体" w:hAnsi="宋体" w:eastAsia="宋体" w:cs="宋体"/>
          <w:sz w:val="21"/>
          <w:szCs w:val="21"/>
        </w:rPr>
        <w:t>公证员应当互相尊重，与同行保持良好的合作关系，公平竞争，同业互助，共谋发展</w:t>
      </w:r>
      <w:r>
        <w:rPr>
          <w:rFonts w:hint="eastAsia" w:cs="宋体"/>
          <w:sz w:val="21"/>
          <w:szCs w:val="21"/>
          <w:lang w:eastAsia="zh-CN"/>
        </w:rPr>
        <w:t>；（</w:t>
      </w:r>
      <w:r>
        <w:rPr>
          <w:rFonts w:hint="eastAsia" w:cs="宋体"/>
          <w:sz w:val="21"/>
          <w:szCs w:val="21"/>
          <w:lang w:val="en-US" w:eastAsia="zh-CN"/>
        </w:rPr>
        <w:t>5</w:t>
      </w:r>
      <w:r>
        <w:rPr>
          <w:rFonts w:hint="eastAsia" w:cs="宋体"/>
          <w:sz w:val="21"/>
          <w:szCs w:val="21"/>
          <w:lang w:eastAsia="zh-CN"/>
        </w:rPr>
        <w:t>）</w:t>
      </w:r>
      <w:r>
        <w:rPr>
          <w:rFonts w:hint="eastAsia" w:ascii="宋体" w:hAnsi="宋体" w:eastAsia="宋体" w:cs="宋体"/>
          <w:bCs/>
          <w:kern w:val="44"/>
          <w:sz w:val="21"/>
          <w:szCs w:val="21"/>
        </w:rPr>
        <w:t>避免不当干预</w:t>
      </w:r>
      <w:r>
        <w:rPr>
          <w:rFonts w:hint="eastAsia" w:cs="宋体"/>
          <w:bCs/>
          <w:kern w:val="44"/>
          <w:sz w:val="21"/>
          <w:szCs w:val="21"/>
          <w:lang w:eastAsia="zh-CN"/>
        </w:rPr>
        <w:t>：</w:t>
      </w:r>
      <w:r>
        <w:rPr>
          <w:rFonts w:hint="eastAsia" w:ascii="宋体" w:hAnsi="宋体" w:eastAsia="宋体" w:cs="宋体"/>
          <w:sz w:val="21"/>
          <w:szCs w:val="21"/>
        </w:rPr>
        <w:t>公证员不得已不正当方式或途径对其他公证员正在办理的公证事项进行干预或施加影响</w:t>
      </w:r>
      <w:r>
        <w:rPr>
          <w:rFonts w:hint="eastAsia" w:cs="宋体"/>
          <w:sz w:val="21"/>
          <w:szCs w:val="21"/>
          <w:lang w:eastAsia="zh-CN"/>
        </w:rPr>
        <w:t>；（</w:t>
      </w:r>
      <w:r>
        <w:rPr>
          <w:rFonts w:hint="eastAsia" w:cs="宋体"/>
          <w:sz w:val="21"/>
          <w:szCs w:val="21"/>
          <w:lang w:val="en-US" w:eastAsia="zh-CN"/>
        </w:rPr>
        <w:t>6</w:t>
      </w:r>
      <w:r>
        <w:rPr>
          <w:rFonts w:hint="eastAsia" w:cs="宋体"/>
          <w:sz w:val="21"/>
          <w:szCs w:val="21"/>
          <w:lang w:eastAsia="zh-CN"/>
        </w:rPr>
        <w:t>）</w:t>
      </w:r>
      <w:r>
        <w:rPr>
          <w:rFonts w:hint="eastAsia" w:ascii="宋体" w:hAnsi="宋体" w:eastAsia="宋体" w:cs="宋体"/>
          <w:bCs/>
          <w:kern w:val="44"/>
          <w:sz w:val="21"/>
          <w:szCs w:val="21"/>
        </w:rPr>
        <w:t>不从事不正当竞争行为</w:t>
      </w:r>
      <w:r>
        <w:rPr>
          <w:rFonts w:hint="eastAsia" w:cs="宋体"/>
          <w:bCs/>
          <w:kern w:val="44"/>
          <w:sz w:val="21"/>
          <w:szCs w:val="21"/>
          <w:lang w:eastAsia="zh-CN"/>
        </w:rPr>
        <w:t>：</w:t>
      </w:r>
      <w:r>
        <w:rPr>
          <w:rFonts w:hint="eastAsia" w:cs="宋体"/>
          <w:sz w:val="21"/>
          <w:szCs w:val="21"/>
          <w:lang w:val="en-US" w:eastAsia="zh-CN"/>
        </w:rPr>
        <w:t>①</w:t>
      </w:r>
      <w:r>
        <w:rPr>
          <w:rFonts w:hint="eastAsia" w:ascii="宋体" w:hAnsi="宋体" w:eastAsia="宋体" w:cs="宋体"/>
          <w:sz w:val="21"/>
          <w:szCs w:val="21"/>
        </w:rPr>
        <w:t>不得利用新闻媒体或其他手段炫耀自己，贬损他人，排斥同行，为自己招揽业务；</w:t>
      </w:r>
      <w:r>
        <w:rPr>
          <w:rFonts w:hint="eastAsia" w:cs="宋体"/>
          <w:sz w:val="21"/>
          <w:szCs w:val="21"/>
          <w:lang w:val="en-US" w:eastAsia="zh-CN"/>
        </w:rPr>
        <w:t>②</w:t>
      </w:r>
      <w:r>
        <w:rPr>
          <w:rFonts w:hint="eastAsia" w:ascii="宋体" w:hAnsi="宋体" w:eastAsia="宋体" w:cs="宋体"/>
          <w:sz w:val="21"/>
          <w:szCs w:val="21"/>
        </w:rPr>
        <w:t>以支付介绍费、给予回扣、许诺提供利益等方式承揽业务；</w:t>
      </w:r>
      <w:r>
        <w:rPr>
          <w:rFonts w:hint="eastAsia" w:cs="宋体"/>
          <w:sz w:val="21"/>
          <w:szCs w:val="21"/>
          <w:lang w:val="en-US" w:eastAsia="zh-CN"/>
        </w:rPr>
        <w:t>③</w:t>
      </w:r>
      <w:r>
        <w:rPr>
          <w:rFonts w:hint="eastAsia" w:ascii="宋体" w:hAnsi="宋体" w:eastAsia="宋体" w:cs="宋体"/>
          <w:sz w:val="21"/>
          <w:szCs w:val="21"/>
        </w:rPr>
        <w:t>利用与行政机关、社会团体的特殊关系进行业务垄断；</w:t>
      </w:r>
      <w:r>
        <w:rPr>
          <w:rFonts w:hint="eastAsia" w:cs="宋体"/>
          <w:sz w:val="21"/>
          <w:szCs w:val="21"/>
          <w:lang w:val="en-US" w:eastAsia="zh-CN"/>
        </w:rPr>
        <w:t>④</w:t>
      </w:r>
      <w:r>
        <w:rPr>
          <w:rFonts w:hint="eastAsia" w:ascii="宋体" w:hAnsi="宋体" w:eastAsia="宋体" w:cs="宋体"/>
          <w:sz w:val="21"/>
          <w:szCs w:val="21"/>
        </w:rPr>
        <w:t>其他不正当竞争行为。</w:t>
      </w:r>
    </w:p>
    <w:p w14:paraId="4E4F669B">
      <w:pPr>
        <w:spacing w:line="384" w:lineRule="exact"/>
        <w:jc w:val="left"/>
        <w:rPr>
          <w:rFonts w:hint="eastAsia" w:ascii="宋体" w:hAnsi="宋体" w:eastAsia="宋体" w:cs="宋体"/>
          <w:bCs/>
          <w:sz w:val="21"/>
          <w:szCs w:val="21"/>
        </w:rPr>
      </w:pPr>
      <w:r>
        <w:rPr>
          <w:rFonts w:hint="eastAsia" w:ascii="宋体" w:hAnsi="宋体" w:eastAsia="宋体" w:cs="宋体"/>
          <w:b/>
          <w:bCs w:val="0"/>
          <w:color w:val="auto"/>
          <w:sz w:val="21"/>
          <w:szCs w:val="21"/>
        </w:rPr>
        <w:t>二、公证职业责任</w:t>
      </w:r>
      <w:r>
        <w:rPr>
          <w:rFonts w:hint="eastAsia" w:cs="宋体"/>
          <w:bCs/>
          <w:color w:val="auto"/>
          <w:sz w:val="21"/>
          <w:szCs w:val="21"/>
          <w:lang w:eastAsia="zh-CN"/>
        </w:rPr>
        <w:t>：</w:t>
      </w:r>
      <w:r>
        <w:rPr>
          <w:rFonts w:hint="eastAsia" w:ascii="宋体" w:hAnsi="宋体" w:eastAsia="宋体" w:cs="宋体"/>
          <w:sz w:val="21"/>
          <w:szCs w:val="21"/>
        </w:rPr>
        <w:t>违纪处分、行政法律责任、民事法律责任和刑事法律责任。</w:t>
      </w:r>
    </w:p>
    <w:p w14:paraId="5537B535">
      <w:pPr>
        <w:keepNext w:val="0"/>
        <w:keepLines w:val="0"/>
        <w:pageBreakBefore w:val="0"/>
        <w:widowControl w:val="0"/>
        <w:tabs>
          <w:tab w:val="left" w:pos="420"/>
        </w:tabs>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rPr>
      </w:pPr>
      <w:bookmarkStart w:id="16" w:name="_Toc22509_WPSOffice_Level1"/>
      <w:bookmarkStart w:id="17" w:name="_Toc230600014"/>
      <w:bookmarkStart w:id="18" w:name="_Toc12065"/>
      <w:bookmarkStart w:id="19" w:name="_Hlk514361537"/>
      <w:r>
        <w:rPr>
          <w:rFonts w:hint="eastAsia" w:ascii="宋体" w:hAnsi="宋体" w:eastAsia="宋体" w:cs="宋体"/>
          <w:b/>
          <w:bCs/>
          <w:color w:val="000000" w:themeColor="text1"/>
          <w:sz w:val="24"/>
          <w:szCs w:val="24"/>
          <w:lang w:val="en-US" w:eastAsia="zh-CN"/>
          <w14:textFill>
            <w14:solidFill>
              <w14:schemeClr w14:val="tx1"/>
            </w14:solidFill>
          </w14:textFill>
        </w:rPr>
        <w:t>考点22  法律顾问职业道德</w:t>
      </w:r>
      <w:bookmarkEnd w:id="16"/>
      <w:bookmarkEnd w:id="17"/>
      <w:bookmarkEnd w:id="18"/>
      <w:r>
        <w:rPr>
          <w:rFonts w:hint="eastAsia" w:cs="宋体"/>
          <w:b/>
          <w:bCs/>
          <w:color w:val="000000" w:themeColor="text1"/>
          <w:sz w:val="24"/>
          <w:szCs w:val="24"/>
          <w:lang w:val="en-US" w:eastAsia="zh-CN"/>
          <w14:textFill>
            <w14:solidFill>
              <w14:schemeClr w14:val="tx1"/>
            </w14:solidFill>
          </w14:textFill>
        </w:rPr>
        <w:t>（22:07—22:11）</w:t>
      </w:r>
    </w:p>
    <w:p w14:paraId="1ABCB64D">
      <w:pPr>
        <w:spacing w:line="384" w:lineRule="exact"/>
        <w:jc w:val="left"/>
        <w:rPr>
          <w:rFonts w:hint="eastAsia" w:ascii="宋体" w:hAnsi="宋体" w:eastAsia="宋体" w:cs="宋体"/>
          <w:b/>
          <w:bCs w:val="0"/>
          <w:sz w:val="21"/>
          <w:szCs w:val="21"/>
        </w:rPr>
      </w:pPr>
      <w:r>
        <w:rPr>
          <w:rFonts w:hint="eastAsia" w:ascii="宋体" w:hAnsi="宋体" w:eastAsia="宋体" w:cs="宋体"/>
          <w:b/>
          <w:bCs w:val="0"/>
          <w:color w:val="auto"/>
          <w:sz w:val="21"/>
          <w:szCs w:val="21"/>
        </w:rPr>
        <w:t>一、</w:t>
      </w:r>
      <w:bookmarkEnd w:id="19"/>
      <w:r>
        <w:rPr>
          <w:rFonts w:hint="eastAsia" w:ascii="宋体" w:hAnsi="宋体" w:eastAsia="宋体" w:cs="宋体"/>
          <w:b/>
          <w:bCs w:val="0"/>
          <w:color w:val="auto"/>
          <w:sz w:val="21"/>
          <w:szCs w:val="21"/>
        </w:rPr>
        <w:t>法律顾问职业道德的主要内容</w:t>
      </w:r>
    </w:p>
    <w:p w14:paraId="75222046">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（一）忠诚法律</w:t>
      </w:r>
      <w:r>
        <w:rPr>
          <w:rFonts w:hint="eastAsia" w:cs="宋体"/>
          <w:b/>
          <w:bCs w:val="0"/>
          <w:color w:val="auto"/>
          <w:sz w:val="21"/>
          <w:szCs w:val="21"/>
          <w:lang w:eastAsia="zh-CN"/>
        </w:rPr>
        <w:t>：</w:t>
      </w:r>
      <w:r>
        <w:rPr>
          <w:rFonts w:hint="eastAsia" w:cs="宋体"/>
          <w:sz w:val="21"/>
          <w:szCs w:val="21"/>
          <w:lang w:eastAsia="zh-CN"/>
        </w:rPr>
        <w:t>（</w:t>
      </w:r>
      <w:r>
        <w:rPr>
          <w:rFonts w:hint="eastAsia" w:cs="宋体"/>
          <w:sz w:val="21"/>
          <w:szCs w:val="21"/>
          <w:lang w:val="en-US" w:eastAsia="zh-CN"/>
        </w:rPr>
        <w:t>1</w:t>
      </w:r>
      <w:r>
        <w:rPr>
          <w:rFonts w:hint="eastAsia" w:cs="宋体"/>
          <w:sz w:val="21"/>
          <w:szCs w:val="21"/>
          <w:lang w:eastAsia="zh-CN"/>
        </w:rPr>
        <w:t>）</w:t>
      </w:r>
      <w:r>
        <w:rPr>
          <w:rFonts w:hint="eastAsia" w:ascii="宋体" w:hAnsi="宋体" w:eastAsia="宋体" w:cs="宋体"/>
          <w:sz w:val="21"/>
          <w:szCs w:val="21"/>
        </w:rPr>
        <w:t>凡是党政机关、国有企业的合法权益，法律顾问应尽心尽责提供法律服务，对于涉嫌违法的行为，法律顾问必须及时提出法律意见，不能不顾原则地为之服务</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在履行职责时，必须严格依法办事，不能为了维护党政机关、人民团体、国有企事业单位的利益而采取非法手段损害国家、集体或他人的利益</w:t>
      </w:r>
      <w:r>
        <w:rPr>
          <w:rFonts w:hint="eastAsia" w:cs="宋体"/>
          <w:sz w:val="21"/>
          <w:szCs w:val="21"/>
          <w:lang w:eastAsia="zh-CN"/>
        </w:rPr>
        <w:t>；（</w:t>
      </w:r>
      <w:r>
        <w:rPr>
          <w:rFonts w:hint="eastAsia" w:cs="宋体"/>
          <w:sz w:val="21"/>
          <w:szCs w:val="21"/>
          <w:lang w:val="en-US" w:eastAsia="zh-CN"/>
        </w:rPr>
        <w:t>3</w:t>
      </w:r>
      <w:r>
        <w:rPr>
          <w:rFonts w:hint="eastAsia" w:cs="宋体"/>
          <w:sz w:val="21"/>
          <w:szCs w:val="21"/>
          <w:lang w:eastAsia="zh-CN"/>
        </w:rPr>
        <w:t>）</w:t>
      </w:r>
      <w:r>
        <w:rPr>
          <w:rFonts w:hint="eastAsia" w:ascii="宋体" w:hAnsi="宋体" w:eastAsia="宋体" w:cs="宋体"/>
          <w:sz w:val="21"/>
          <w:szCs w:val="21"/>
        </w:rPr>
        <w:t>在履行职责时，不能做出任何有损党政机关、人民团体、国有企事业单位合法权益的行为</w:t>
      </w:r>
      <w:r>
        <w:rPr>
          <w:rFonts w:hint="eastAsia" w:cs="宋体"/>
          <w:sz w:val="21"/>
          <w:szCs w:val="21"/>
          <w:lang w:eastAsia="zh-CN"/>
        </w:rPr>
        <w:t>；（</w:t>
      </w:r>
      <w:r>
        <w:rPr>
          <w:rFonts w:hint="eastAsia" w:cs="宋体"/>
          <w:sz w:val="21"/>
          <w:szCs w:val="21"/>
          <w:lang w:val="en-US" w:eastAsia="zh-CN"/>
        </w:rPr>
        <w:t>4</w:t>
      </w:r>
      <w:r>
        <w:rPr>
          <w:rFonts w:hint="eastAsia" w:cs="宋体"/>
          <w:sz w:val="21"/>
          <w:szCs w:val="21"/>
          <w:lang w:eastAsia="zh-CN"/>
        </w:rPr>
        <w:t>）</w:t>
      </w:r>
      <w:r>
        <w:rPr>
          <w:rFonts w:hint="eastAsia" w:ascii="宋体" w:hAnsi="宋体" w:eastAsia="宋体" w:cs="宋体"/>
          <w:sz w:val="21"/>
          <w:szCs w:val="21"/>
        </w:rPr>
        <w:t>不得利用在工作期间获得的非公开信息或者便利条件，为本人及所在单位或者他人牟取利益</w:t>
      </w:r>
      <w:r>
        <w:rPr>
          <w:rFonts w:hint="eastAsia" w:cs="宋体"/>
          <w:sz w:val="21"/>
          <w:szCs w:val="21"/>
          <w:lang w:eastAsia="zh-CN"/>
        </w:rPr>
        <w:t>；（</w:t>
      </w:r>
      <w:r>
        <w:rPr>
          <w:rFonts w:hint="eastAsia" w:cs="宋体"/>
          <w:sz w:val="21"/>
          <w:szCs w:val="21"/>
          <w:lang w:val="en-US" w:eastAsia="zh-CN"/>
        </w:rPr>
        <w:t>5</w:t>
      </w:r>
      <w:r>
        <w:rPr>
          <w:rFonts w:hint="eastAsia" w:cs="宋体"/>
          <w:sz w:val="21"/>
          <w:szCs w:val="21"/>
          <w:lang w:eastAsia="zh-CN"/>
        </w:rPr>
        <w:t>）</w:t>
      </w:r>
      <w:r>
        <w:rPr>
          <w:rFonts w:hint="eastAsia" w:ascii="宋体" w:hAnsi="宋体" w:eastAsia="宋体" w:cs="宋体"/>
          <w:sz w:val="21"/>
          <w:szCs w:val="21"/>
        </w:rPr>
        <w:t>法律顾问不得以其身份从事商业活动以及与法律顾问职责无关的活动。</w:t>
      </w:r>
    </w:p>
    <w:p w14:paraId="0D5685F2">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（二）保持独立</w:t>
      </w:r>
      <w:r>
        <w:rPr>
          <w:rFonts w:hint="eastAsia" w:cs="宋体"/>
          <w:b/>
          <w:bCs w:val="0"/>
          <w:color w:val="auto"/>
          <w:sz w:val="21"/>
          <w:szCs w:val="21"/>
          <w:lang w:eastAsia="zh-CN"/>
        </w:rPr>
        <w:t>：</w:t>
      </w:r>
      <w:r>
        <w:rPr>
          <w:rFonts w:hint="eastAsia" w:cs="宋体"/>
          <w:sz w:val="21"/>
          <w:szCs w:val="21"/>
          <w:lang w:eastAsia="zh-CN"/>
        </w:rPr>
        <w:t>（</w:t>
      </w:r>
      <w:r>
        <w:rPr>
          <w:rFonts w:hint="eastAsia" w:cs="宋体"/>
          <w:sz w:val="21"/>
          <w:szCs w:val="21"/>
          <w:lang w:val="en-US" w:eastAsia="zh-CN"/>
        </w:rPr>
        <w:t>1</w:t>
      </w:r>
      <w:r>
        <w:rPr>
          <w:rFonts w:hint="eastAsia" w:cs="宋体"/>
          <w:sz w:val="21"/>
          <w:szCs w:val="21"/>
          <w:lang w:eastAsia="zh-CN"/>
        </w:rPr>
        <w:t>）</w:t>
      </w:r>
      <w:r>
        <w:rPr>
          <w:rFonts w:hint="eastAsia" w:ascii="宋体" w:hAnsi="宋体" w:eastAsia="宋体" w:cs="宋体"/>
          <w:sz w:val="21"/>
          <w:szCs w:val="21"/>
        </w:rPr>
        <w:t>法律顾问在提供法律服务过程中不受他人意志的干扰，依照法律的规定或依照法律的精神对事实作出合乎价值的判断</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法律顾问不得接受其他当事人委托，办理与聘任单位有利益冲突的法律事务，法律顾问与所承办的业务有利害关系、可能影响公正履行职责，应当回避。</w:t>
      </w:r>
    </w:p>
    <w:p w14:paraId="25E76381">
      <w:pPr>
        <w:spacing w:line="384" w:lineRule="exact"/>
        <w:ind w:firstLine="253" w:firstLineChars="120"/>
        <w:jc w:val="left"/>
        <w:rPr>
          <w:rFonts w:hint="default" w:ascii="宋体" w:hAnsi="宋体" w:eastAsia="宋体" w:cs="宋体"/>
          <w:sz w:val="21"/>
          <w:szCs w:val="21"/>
          <w:lang w:val="en-US" w:eastAsia="zh-CN"/>
        </w:rPr>
      </w:pPr>
      <w:r>
        <w:rPr>
          <w:rFonts w:hint="eastAsia" w:ascii="宋体" w:hAnsi="宋体" w:eastAsia="宋体" w:cs="宋体"/>
          <w:b/>
          <w:bCs w:val="0"/>
          <w:color w:val="auto"/>
          <w:sz w:val="21"/>
          <w:szCs w:val="21"/>
        </w:rPr>
        <w:t>（三）保守秘密</w:t>
      </w:r>
      <w:r>
        <w:rPr>
          <w:rFonts w:hint="eastAsia" w:cs="宋体"/>
          <w:b/>
          <w:bCs w:val="0"/>
          <w:color w:val="auto"/>
          <w:sz w:val="21"/>
          <w:szCs w:val="21"/>
          <w:lang w:eastAsia="zh-CN"/>
        </w:rPr>
        <w:t>：</w:t>
      </w:r>
      <w:r>
        <w:rPr>
          <w:rFonts w:hint="eastAsia" w:cs="宋体"/>
          <w:sz w:val="21"/>
          <w:szCs w:val="21"/>
          <w:lang w:eastAsia="zh-CN"/>
        </w:rPr>
        <w:t>（</w:t>
      </w:r>
      <w:r>
        <w:rPr>
          <w:rFonts w:hint="eastAsia" w:ascii="宋体" w:hAnsi="宋体" w:eastAsia="宋体" w:cs="宋体"/>
          <w:sz w:val="21"/>
          <w:szCs w:val="21"/>
        </w:rPr>
        <w:t>1</w:t>
      </w:r>
      <w:r>
        <w:rPr>
          <w:rFonts w:hint="eastAsia" w:cs="宋体"/>
          <w:sz w:val="21"/>
          <w:szCs w:val="21"/>
          <w:lang w:eastAsia="zh-CN"/>
        </w:rPr>
        <w:t>）</w:t>
      </w:r>
      <w:r>
        <w:rPr>
          <w:rFonts w:hint="eastAsia" w:ascii="宋体" w:hAnsi="宋体" w:eastAsia="宋体" w:cs="宋体"/>
          <w:sz w:val="21"/>
          <w:szCs w:val="21"/>
        </w:rPr>
        <w:t>法律顾问不得泄露党和国家的秘密、工作秘密、商业秘密以及其他不应公开的信息，不得擅自对外透露所承担的工作内容</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法律顾问对涉密信息的使用仅限于职责所需，不得利用其从事商业或其他活动。</w:t>
      </w:r>
    </w:p>
    <w:p w14:paraId="6536855E">
      <w:pPr>
        <w:spacing w:line="384" w:lineRule="exact"/>
        <w:jc w:val="left"/>
        <w:rPr>
          <w:rFonts w:hint="eastAsia" w:ascii="宋体" w:hAnsi="宋体" w:eastAsia="宋体" w:cs="宋体"/>
          <w:kern w:val="0"/>
          <w:sz w:val="21"/>
          <w:szCs w:val="21"/>
        </w:rPr>
      </w:pPr>
      <w:r>
        <w:rPr>
          <w:rFonts w:hint="eastAsia" w:ascii="宋体" w:hAnsi="宋体" w:eastAsia="宋体" w:cs="宋体"/>
          <w:b/>
          <w:bCs w:val="0"/>
          <w:color w:val="auto"/>
          <w:sz w:val="21"/>
          <w:szCs w:val="21"/>
        </w:rPr>
        <w:t>二、法律顾问职业责任</w:t>
      </w:r>
      <w:r>
        <w:rPr>
          <w:rFonts w:hint="eastAsia" w:cs="宋体"/>
          <w:b/>
          <w:bCs w:val="0"/>
          <w:color w:val="auto"/>
          <w:sz w:val="21"/>
          <w:szCs w:val="21"/>
          <w:lang w:eastAsia="zh-CN"/>
        </w:rPr>
        <w:t>：</w:t>
      </w:r>
      <w:r>
        <w:rPr>
          <w:rFonts w:hint="eastAsia" w:ascii="宋体" w:hAnsi="宋体" w:eastAsia="宋体" w:cs="宋体"/>
          <w:sz w:val="21"/>
          <w:szCs w:val="21"/>
        </w:rPr>
        <w:t>法律顾问职业责任包括惩戒处分、行政法律责任、民事法律责任和刑事法律责任。</w:t>
      </w:r>
    </w:p>
    <w:p w14:paraId="6E431CB8">
      <w:pPr>
        <w:keepNext w:val="0"/>
        <w:keepLines w:val="0"/>
        <w:pageBreakBefore w:val="0"/>
        <w:widowControl w:val="0"/>
        <w:tabs>
          <w:tab w:val="left" w:pos="420"/>
        </w:tabs>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21"/>
          <w:szCs w:val="21"/>
        </w:rPr>
      </w:pPr>
      <w:bookmarkStart w:id="20" w:name="_Toc4878"/>
      <w:bookmarkStart w:id="21" w:name="_Toc230600015"/>
      <w:bookmarkStart w:id="22" w:name="_Toc22681_WPSOffice_Level1"/>
      <w:r>
        <w:rPr>
          <w:rFonts w:hint="eastAsia" w:ascii="宋体" w:hAnsi="宋体" w:eastAsia="宋体" w:cs="宋体"/>
          <w:b/>
          <w:bCs/>
          <w:color w:val="000000" w:themeColor="text1"/>
          <w:sz w:val="24"/>
          <w:szCs w:val="24"/>
          <w:lang w:val="en-US" w:eastAsia="zh-CN"/>
          <w14:textFill>
            <w14:solidFill>
              <w14:schemeClr w14:val="tx1"/>
            </w14:solidFill>
          </w14:textFill>
        </w:rPr>
        <w:t>考点23  仲裁员职业道德</w:t>
      </w:r>
      <w:bookmarkEnd w:id="20"/>
      <w:bookmarkEnd w:id="21"/>
      <w:bookmarkEnd w:id="22"/>
      <w:r>
        <w:rPr>
          <w:rFonts w:hint="eastAsia" w:cs="宋体"/>
          <w:b/>
          <w:bCs/>
          <w:color w:val="000000" w:themeColor="text1"/>
          <w:sz w:val="24"/>
          <w:szCs w:val="24"/>
          <w:lang w:val="en-US" w:eastAsia="zh-CN"/>
          <w14:textFill>
            <w14:solidFill>
              <w14:schemeClr w14:val="tx1"/>
            </w14:solidFill>
          </w14:textFill>
        </w:rPr>
        <w:t>（22:12—22:18）</w:t>
      </w:r>
    </w:p>
    <w:p w14:paraId="7DB3A6DE">
      <w:pPr>
        <w:spacing w:line="384" w:lineRule="exact"/>
        <w:jc w:val="left"/>
        <w:rPr>
          <w:rFonts w:hint="eastAsia" w:ascii="宋体" w:hAnsi="宋体" w:eastAsia="宋体" w:cs="宋体"/>
          <w:b/>
          <w:bCs w:val="0"/>
          <w:sz w:val="21"/>
          <w:szCs w:val="21"/>
        </w:rPr>
      </w:pPr>
      <w:r>
        <w:rPr>
          <w:rFonts w:hint="eastAsia" w:ascii="宋体" w:hAnsi="宋体" w:eastAsia="宋体" w:cs="宋体"/>
          <w:b/>
          <w:bCs w:val="0"/>
          <w:color w:val="auto"/>
          <w:sz w:val="21"/>
          <w:szCs w:val="21"/>
        </w:rPr>
        <w:t>一、仲裁员职业道德的主要内容</w:t>
      </w:r>
    </w:p>
    <w:p w14:paraId="2D40CEC2">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（一）独立公正</w:t>
      </w:r>
      <w:r>
        <w:rPr>
          <w:rFonts w:hint="eastAsia" w:cs="宋体"/>
          <w:bCs/>
          <w:color w:val="auto"/>
          <w:sz w:val="21"/>
          <w:szCs w:val="21"/>
          <w:lang w:eastAsia="zh-CN"/>
        </w:rPr>
        <w:t>：（</w:t>
      </w:r>
      <w:r>
        <w:rPr>
          <w:rFonts w:hint="eastAsia" w:cs="宋体"/>
          <w:bCs/>
          <w:color w:val="auto"/>
          <w:sz w:val="21"/>
          <w:szCs w:val="21"/>
          <w:lang w:val="en-US" w:eastAsia="zh-CN"/>
        </w:rPr>
        <w:t>1</w:t>
      </w:r>
      <w:r>
        <w:rPr>
          <w:rFonts w:hint="eastAsia" w:cs="宋体"/>
          <w:bCs/>
          <w:color w:val="auto"/>
          <w:sz w:val="21"/>
          <w:szCs w:val="21"/>
          <w:lang w:eastAsia="zh-CN"/>
        </w:rPr>
        <w:t>）</w:t>
      </w:r>
      <w:r>
        <w:rPr>
          <w:rFonts w:hint="eastAsia" w:ascii="宋体" w:hAnsi="宋体" w:eastAsia="宋体" w:cs="宋体"/>
          <w:sz w:val="21"/>
          <w:szCs w:val="21"/>
        </w:rPr>
        <w:t>保持廉洁。仲裁员不得以任何直接或间接方式接受当事人或其他代理人的请客、馈赠或提供的其他利益。不得代人向仲裁员请客送礼或提供其他好处和利益</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保持独立。仲裁员应当独立地审理案件，不因任何私利、外界压力而影响裁决的公正性。一方面不受仲裁委员会的干预；另一方面不受行政机关、社会团体和个人的干涉</w:t>
      </w:r>
      <w:r>
        <w:rPr>
          <w:rFonts w:hint="eastAsia" w:cs="宋体"/>
          <w:sz w:val="21"/>
          <w:szCs w:val="21"/>
          <w:lang w:eastAsia="zh-CN"/>
        </w:rPr>
        <w:t>；（</w:t>
      </w:r>
      <w:r>
        <w:rPr>
          <w:rFonts w:hint="eastAsia" w:cs="宋体"/>
          <w:sz w:val="21"/>
          <w:szCs w:val="21"/>
          <w:lang w:val="en-US" w:eastAsia="zh-CN"/>
        </w:rPr>
        <w:t>3</w:t>
      </w:r>
      <w:r>
        <w:rPr>
          <w:rFonts w:hint="eastAsia" w:cs="宋体"/>
          <w:sz w:val="21"/>
          <w:szCs w:val="21"/>
          <w:lang w:eastAsia="zh-CN"/>
        </w:rPr>
        <w:t>）</w:t>
      </w:r>
      <w:r>
        <w:rPr>
          <w:rFonts w:hint="eastAsia" w:ascii="宋体" w:hAnsi="宋体" w:eastAsia="宋体" w:cs="宋体"/>
          <w:sz w:val="21"/>
          <w:szCs w:val="21"/>
        </w:rPr>
        <w:t>主动披露。仲裁员主动披露其与当事人或代理人之间的某种关系，以便于当事人和仲裁机构考虑此种关系是否影响该仲裁员的独立性和公正性</w:t>
      </w:r>
      <w:r>
        <w:rPr>
          <w:rFonts w:hint="eastAsia" w:cs="宋体"/>
          <w:sz w:val="21"/>
          <w:szCs w:val="21"/>
          <w:lang w:eastAsia="zh-CN"/>
        </w:rPr>
        <w:t>；（</w:t>
      </w:r>
      <w:r>
        <w:rPr>
          <w:rFonts w:hint="eastAsia" w:cs="宋体"/>
          <w:sz w:val="21"/>
          <w:szCs w:val="21"/>
          <w:lang w:val="en-US" w:eastAsia="zh-CN"/>
        </w:rPr>
        <w:t>4</w:t>
      </w:r>
      <w:r>
        <w:rPr>
          <w:rFonts w:hint="eastAsia" w:cs="宋体"/>
          <w:sz w:val="21"/>
          <w:szCs w:val="21"/>
          <w:lang w:eastAsia="zh-CN"/>
        </w:rPr>
        <w:t>）</w:t>
      </w:r>
      <w:r>
        <w:rPr>
          <w:rFonts w:hint="eastAsia" w:ascii="宋体" w:hAnsi="宋体" w:eastAsia="宋体" w:cs="宋体"/>
          <w:sz w:val="21"/>
          <w:szCs w:val="21"/>
        </w:rPr>
        <w:t>主动回避。仲裁员有下列情形之一的，必须回避，当事人也有权提出回避申请：（1）是本案当事人或者当事人、代理人的近亲属；（2）与本案有</w:t>
      </w:r>
      <w:r>
        <w:rPr>
          <w:rFonts w:hint="eastAsia" w:ascii="宋体" w:hAnsi="宋体" w:eastAsia="宋体" w:cs="宋体"/>
          <w:b/>
          <w:bCs/>
          <w:color w:val="FF0000"/>
          <w:sz w:val="21"/>
          <w:szCs w:val="21"/>
        </w:rPr>
        <w:t>利害关系</w:t>
      </w:r>
      <w:r>
        <w:rPr>
          <w:rFonts w:hint="eastAsia" w:ascii="宋体" w:hAnsi="宋体" w:eastAsia="宋体" w:cs="宋体"/>
          <w:b/>
          <w:bCs/>
          <w:color w:val="FF0000"/>
          <w:sz w:val="21"/>
          <w:szCs w:val="21"/>
          <w:lang w:eastAsia="zh-CN"/>
        </w:rPr>
        <w:t>（</w:t>
      </w:r>
      <w:r>
        <w:rPr>
          <w:rFonts w:hint="eastAsia" w:ascii="宋体" w:hAnsi="宋体" w:eastAsia="宋体" w:cs="宋体"/>
          <w:b/>
          <w:bCs/>
          <w:color w:val="FF0000"/>
          <w:sz w:val="21"/>
          <w:szCs w:val="21"/>
        </w:rPr>
        <w:t>民事实体法上的权利义务牵连关系</w:t>
      </w:r>
      <w:r>
        <w:rPr>
          <w:rFonts w:hint="eastAsia" w:ascii="宋体" w:hAnsi="宋体" w:eastAsia="宋体" w:cs="宋体"/>
          <w:b/>
          <w:bCs/>
          <w:color w:val="FF0000"/>
          <w:sz w:val="21"/>
          <w:szCs w:val="21"/>
          <w:lang w:eastAsia="zh-CN"/>
        </w:rPr>
        <w:t>）</w:t>
      </w:r>
      <w:r>
        <w:rPr>
          <w:rFonts w:hint="eastAsia" w:ascii="宋体" w:hAnsi="宋体" w:eastAsia="宋体" w:cs="宋体"/>
          <w:sz w:val="21"/>
          <w:szCs w:val="21"/>
        </w:rPr>
        <w:t>；（3）与本案当事人、代理人有其他关系，可能影响公正仲裁的；（4）私自会见当事人、代理人，或者接受当事人、代理人的请客送礼的。</w:t>
      </w:r>
    </w:p>
    <w:p w14:paraId="40F23606">
      <w:pPr>
        <w:spacing w:line="384" w:lineRule="exact"/>
        <w:ind w:firstLine="253" w:firstLineChars="120"/>
        <w:jc w:val="left"/>
        <w:rPr>
          <w:rFonts w:hint="eastAsia" w:ascii="宋体" w:hAnsi="宋体" w:eastAsia="宋体" w:cs="宋体"/>
          <w:b/>
          <w:bCs w:val="0"/>
          <w:sz w:val="21"/>
          <w:szCs w:val="21"/>
        </w:rPr>
      </w:pPr>
      <w:r>
        <w:rPr>
          <w:rFonts w:hint="eastAsia" w:ascii="宋体" w:hAnsi="宋体" w:eastAsia="宋体" w:cs="宋体"/>
          <w:b/>
          <w:bCs w:val="0"/>
          <w:color w:val="auto"/>
          <w:sz w:val="21"/>
          <w:szCs w:val="21"/>
        </w:rPr>
        <w:t>（二）诚实信用</w:t>
      </w:r>
    </w:p>
    <w:p w14:paraId="15710227">
      <w:pPr>
        <w:spacing w:line="384" w:lineRule="exact"/>
        <w:ind w:firstLine="253" w:firstLineChars="120"/>
        <w:jc w:val="left"/>
        <w:rPr>
          <w:rFonts w:hint="eastAsia" w:ascii="宋体" w:hAnsi="宋体" w:eastAsia="宋体" w:cs="宋体"/>
          <w:b/>
          <w:bCs w:val="0"/>
          <w:sz w:val="21"/>
          <w:szCs w:val="21"/>
        </w:rPr>
      </w:pPr>
      <w:r>
        <w:rPr>
          <w:rFonts w:hint="eastAsia" w:ascii="宋体" w:hAnsi="宋体" w:eastAsia="宋体" w:cs="宋体"/>
          <w:b/>
          <w:bCs w:val="0"/>
          <w:color w:val="auto"/>
          <w:sz w:val="21"/>
          <w:szCs w:val="21"/>
        </w:rPr>
        <w:t>（三）勤勉高效</w:t>
      </w:r>
    </w:p>
    <w:p w14:paraId="21B02039">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（四）保守秘密</w:t>
      </w:r>
      <w:r>
        <w:rPr>
          <w:rFonts w:hint="eastAsia" w:cs="宋体"/>
          <w:b/>
          <w:bCs w:val="0"/>
          <w:color w:val="auto"/>
          <w:sz w:val="21"/>
          <w:szCs w:val="21"/>
          <w:lang w:eastAsia="zh-CN"/>
        </w:rPr>
        <w:t>：</w:t>
      </w:r>
      <w:r>
        <w:rPr>
          <w:rFonts w:hint="eastAsia" w:cs="宋体"/>
          <w:sz w:val="21"/>
          <w:szCs w:val="21"/>
          <w:lang w:eastAsia="zh-CN"/>
        </w:rPr>
        <w:t>（</w:t>
      </w:r>
      <w:r>
        <w:rPr>
          <w:rFonts w:hint="eastAsia" w:cs="宋体"/>
          <w:sz w:val="21"/>
          <w:szCs w:val="21"/>
          <w:lang w:val="en-US" w:eastAsia="zh-CN"/>
        </w:rPr>
        <w:t>1</w:t>
      </w:r>
      <w:r>
        <w:rPr>
          <w:rFonts w:hint="eastAsia" w:cs="宋体"/>
          <w:sz w:val="21"/>
          <w:szCs w:val="21"/>
          <w:lang w:eastAsia="zh-CN"/>
        </w:rPr>
        <w:t>）</w:t>
      </w:r>
      <w:r>
        <w:rPr>
          <w:rFonts w:hint="eastAsia" w:ascii="宋体" w:hAnsi="宋体" w:eastAsia="宋体" w:cs="宋体"/>
          <w:sz w:val="21"/>
          <w:szCs w:val="21"/>
        </w:rPr>
        <w:t>仲裁员不得向当事人或外界透露本人的看法和合议庭合议的情况，对涉及仲裁程序、仲裁裁决的事项应保守秘密</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仲裁员应为当事人保密，特别是商业秘密。仲裁员有意或者无意泄露仲裁秘密，均违反仲裁员职业道德。</w:t>
      </w:r>
    </w:p>
    <w:p w14:paraId="74A63A35">
      <w:pPr>
        <w:spacing w:line="384" w:lineRule="exact"/>
        <w:ind w:firstLine="253" w:firstLineChars="120"/>
        <w:jc w:val="left"/>
        <w:rPr>
          <w:rFonts w:hint="eastAsia" w:ascii="宋体" w:hAnsi="宋体" w:eastAsia="宋体" w:cs="宋体"/>
          <w:b/>
          <w:bCs w:val="0"/>
          <w:sz w:val="21"/>
          <w:szCs w:val="21"/>
        </w:rPr>
      </w:pPr>
      <w:r>
        <w:rPr>
          <w:rFonts w:hint="eastAsia" w:ascii="宋体" w:hAnsi="宋体" w:eastAsia="宋体" w:cs="宋体"/>
          <w:b/>
          <w:bCs w:val="0"/>
          <w:color w:val="auto"/>
          <w:sz w:val="21"/>
          <w:szCs w:val="21"/>
        </w:rPr>
        <w:t>（五）尊重同行</w:t>
      </w:r>
    </w:p>
    <w:p w14:paraId="2813FF90">
      <w:pPr>
        <w:spacing w:line="384" w:lineRule="exact"/>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二、仲裁员职业责任</w:t>
      </w:r>
    </w:p>
    <w:p w14:paraId="223FF7FA">
      <w:pPr>
        <w:tabs>
          <w:tab w:val="left" w:pos="420"/>
        </w:tabs>
        <w:spacing w:line="384"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仲裁员职业责任包括违纪责任和刑事法律责任，我国并无仲裁员承担民事责任的规定。</w:t>
      </w:r>
    </w:p>
    <w:p w14:paraId="31CFC53C">
      <w:pPr>
        <w:tabs>
          <w:tab w:val="left" w:pos="420"/>
        </w:tabs>
        <w:spacing w:line="384"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仲裁员有下列情形的，仲裁委员会应当将其除名：（1）私自会见当事人、代理人，或者接受当事人、代理人的请客送礼，情节严重的；（2）在仲裁该案时有索贿受贿，徇私舞弊，枉法裁决行为的。</w:t>
      </w:r>
    </w:p>
    <w:p w14:paraId="704EF7D0">
      <w:pPr>
        <w:keepNext w:val="0"/>
        <w:keepLines w:val="0"/>
        <w:pageBreakBefore w:val="0"/>
        <w:widowControl w:val="0"/>
        <w:tabs>
          <w:tab w:val="left" w:pos="420"/>
        </w:tabs>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bookmarkStart w:id="23" w:name="_Toc230600016"/>
      <w:bookmarkStart w:id="24" w:name="_Toc26284_WPSOffice_Level1"/>
      <w:bookmarkStart w:id="25" w:name="_Toc18112"/>
      <w:r>
        <w:rPr>
          <w:rFonts w:hint="eastAsia" w:ascii="宋体" w:hAnsi="宋体" w:eastAsia="宋体" w:cs="宋体"/>
          <w:b/>
          <w:bCs/>
          <w:color w:val="000000" w:themeColor="text1"/>
          <w:sz w:val="24"/>
          <w:szCs w:val="24"/>
          <w:lang w:val="en-US" w:eastAsia="zh-CN"/>
          <w14:textFill>
            <w14:solidFill>
              <w14:schemeClr w14:val="tx1"/>
            </w14:solidFill>
          </w14:textFill>
        </w:rPr>
        <w:t>考点24  行政机关中从事行政处罚决定法制</w:t>
      </w:r>
      <w:bookmarkEnd w:id="23"/>
    </w:p>
    <w:p w14:paraId="040B3129">
      <w:pPr>
        <w:keepNext w:val="0"/>
        <w:keepLines w:val="0"/>
        <w:pageBreakBefore w:val="0"/>
        <w:widowControl w:val="0"/>
        <w:tabs>
          <w:tab w:val="left" w:pos="420"/>
        </w:tabs>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bookmarkStart w:id="26" w:name="_Toc230600017"/>
      <w:r>
        <w:rPr>
          <w:rFonts w:hint="eastAsia" w:ascii="宋体" w:hAnsi="宋体" w:eastAsia="宋体" w:cs="宋体"/>
          <w:b/>
          <w:bCs/>
          <w:color w:val="000000" w:themeColor="text1"/>
          <w:sz w:val="24"/>
          <w:szCs w:val="24"/>
          <w:lang w:val="en-US" w:eastAsia="zh-CN"/>
          <w14:textFill>
            <w14:solidFill>
              <w14:schemeClr w14:val="tx1"/>
            </w14:solidFill>
          </w14:textFill>
        </w:rPr>
        <w:t>审核、行政复议、行政裁决的公务员职业道德</w:t>
      </w:r>
      <w:bookmarkEnd w:id="24"/>
      <w:bookmarkEnd w:id="25"/>
      <w:bookmarkEnd w:id="26"/>
      <w:r>
        <w:rPr>
          <w:rFonts w:hint="eastAsia" w:cs="宋体"/>
          <w:b/>
          <w:bCs/>
          <w:color w:val="000000" w:themeColor="text1"/>
          <w:sz w:val="24"/>
          <w:szCs w:val="24"/>
          <w:lang w:val="en-US" w:eastAsia="zh-CN"/>
          <w14:textFill>
            <w14:solidFill>
              <w14:schemeClr w14:val="tx1"/>
            </w14:solidFill>
          </w14:textFill>
        </w:rPr>
        <w:t>（22:19—22:26）</w:t>
      </w:r>
    </w:p>
    <w:p w14:paraId="3C6FD9E2">
      <w:pPr>
        <w:spacing w:line="384" w:lineRule="exact"/>
        <w:jc w:val="left"/>
        <w:rPr>
          <w:rFonts w:hint="eastAsia" w:ascii="宋体" w:hAnsi="宋体" w:eastAsia="宋体" w:cs="宋体"/>
          <w:b/>
          <w:bCs w:val="0"/>
          <w:sz w:val="21"/>
          <w:szCs w:val="21"/>
        </w:rPr>
      </w:pPr>
      <w:r>
        <w:rPr>
          <w:rFonts w:hint="eastAsia" w:ascii="宋体" w:hAnsi="宋体" w:eastAsia="宋体" w:cs="宋体"/>
          <w:b/>
          <w:bCs w:val="0"/>
          <w:color w:val="auto"/>
          <w:sz w:val="21"/>
          <w:szCs w:val="21"/>
        </w:rPr>
        <w:t>一、行政机关中从事行政处罚决定法制审核、行政复议、行政裁决的公务员职业道德的主要内容</w:t>
      </w:r>
    </w:p>
    <w:p w14:paraId="3A7EABB3">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（一）公务员职业道德的基本要求</w:t>
      </w:r>
      <w:r>
        <w:rPr>
          <w:rFonts w:hint="eastAsia" w:cs="宋体"/>
          <w:b/>
          <w:bCs w:val="0"/>
          <w:color w:val="auto"/>
          <w:sz w:val="21"/>
          <w:szCs w:val="21"/>
          <w:lang w:eastAsia="zh-CN"/>
        </w:rPr>
        <w:t>：</w:t>
      </w:r>
      <w:r>
        <w:rPr>
          <w:rFonts w:hint="eastAsia" w:cs="宋体"/>
          <w:bCs/>
          <w:color w:val="auto"/>
          <w:sz w:val="21"/>
          <w:szCs w:val="21"/>
          <w:lang w:eastAsia="zh-CN"/>
        </w:rPr>
        <w:t>（</w:t>
      </w:r>
      <w:r>
        <w:rPr>
          <w:rFonts w:hint="eastAsia" w:cs="宋体"/>
          <w:bCs/>
          <w:color w:val="auto"/>
          <w:sz w:val="21"/>
          <w:szCs w:val="21"/>
          <w:lang w:val="en-US" w:eastAsia="zh-CN"/>
        </w:rPr>
        <w:t>1</w:t>
      </w:r>
      <w:r>
        <w:rPr>
          <w:rFonts w:hint="eastAsia" w:cs="宋体"/>
          <w:bCs/>
          <w:color w:val="auto"/>
          <w:sz w:val="21"/>
          <w:szCs w:val="21"/>
          <w:lang w:eastAsia="zh-CN"/>
        </w:rPr>
        <w:t>）</w:t>
      </w:r>
      <w:r>
        <w:rPr>
          <w:rFonts w:hint="eastAsia" w:ascii="宋体" w:hAnsi="宋体" w:eastAsia="宋体" w:cs="宋体"/>
          <w:sz w:val="21"/>
          <w:szCs w:val="21"/>
        </w:rPr>
        <w:t>坚定信念</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忠于宪法</w:t>
      </w:r>
      <w:r>
        <w:rPr>
          <w:rFonts w:hint="eastAsia" w:cs="宋体"/>
          <w:sz w:val="21"/>
          <w:szCs w:val="21"/>
          <w:lang w:eastAsia="zh-CN"/>
        </w:rPr>
        <w:t>；（</w:t>
      </w:r>
      <w:r>
        <w:rPr>
          <w:rFonts w:hint="eastAsia" w:cs="宋体"/>
          <w:sz w:val="21"/>
          <w:szCs w:val="21"/>
          <w:lang w:val="en-US" w:eastAsia="zh-CN"/>
        </w:rPr>
        <w:t>3</w:t>
      </w:r>
      <w:r>
        <w:rPr>
          <w:rFonts w:hint="eastAsia" w:cs="宋体"/>
          <w:sz w:val="21"/>
          <w:szCs w:val="21"/>
          <w:lang w:eastAsia="zh-CN"/>
        </w:rPr>
        <w:t>）</w:t>
      </w:r>
      <w:r>
        <w:rPr>
          <w:rFonts w:hint="eastAsia" w:ascii="宋体" w:hAnsi="宋体" w:eastAsia="宋体" w:cs="宋体"/>
          <w:sz w:val="21"/>
          <w:szCs w:val="21"/>
        </w:rPr>
        <w:t>忠于国家</w:t>
      </w:r>
      <w:r>
        <w:rPr>
          <w:rFonts w:hint="eastAsia" w:cs="宋体"/>
          <w:sz w:val="21"/>
          <w:szCs w:val="21"/>
          <w:lang w:eastAsia="zh-CN"/>
        </w:rPr>
        <w:t>；（</w:t>
      </w:r>
      <w:r>
        <w:rPr>
          <w:rFonts w:hint="eastAsia" w:cs="宋体"/>
          <w:sz w:val="21"/>
          <w:szCs w:val="21"/>
          <w:lang w:val="en-US" w:eastAsia="zh-CN"/>
        </w:rPr>
        <w:t>4</w:t>
      </w:r>
      <w:r>
        <w:rPr>
          <w:rFonts w:hint="eastAsia" w:cs="宋体"/>
          <w:sz w:val="21"/>
          <w:szCs w:val="21"/>
          <w:lang w:eastAsia="zh-CN"/>
        </w:rPr>
        <w:t>）</w:t>
      </w:r>
      <w:r>
        <w:rPr>
          <w:rFonts w:hint="eastAsia" w:ascii="宋体" w:hAnsi="宋体" w:eastAsia="宋体" w:cs="宋体"/>
          <w:sz w:val="21"/>
          <w:szCs w:val="21"/>
        </w:rPr>
        <w:t>忠于人民</w:t>
      </w:r>
      <w:r>
        <w:rPr>
          <w:rFonts w:hint="eastAsia" w:cs="宋体"/>
          <w:sz w:val="21"/>
          <w:szCs w:val="21"/>
          <w:lang w:eastAsia="zh-CN"/>
        </w:rPr>
        <w:t>；（</w:t>
      </w:r>
      <w:r>
        <w:rPr>
          <w:rFonts w:hint="eastAsia" w:cs="宋体"/>
          <w:sz w:val="21"/>
          <w:szCs w:val="21"/>
          <w:lang w:val="en-US" w:eastAsia="zh-CN"/>
        </w:rPr>
        <w:t>5</w:t>
      </w:r>
      <w:r>
        <w:rPr>
          <w:rFonts w:hint="eastAsia" w:cs="宋体"/>
          <w:sz w:val="21"/>
          <w:szCs w:val="21"/>
          <w:lang w:eastAsia="zh-CN"/>
        </w:rPr>
        <w:t>）</w:t>
      </w:r>
      <w:r>
        <w:rPr>
          <w:rFonts w:hint="eastAsia" w:ascii="宋体" w:hAnsi="宋体" w:eastAsia="宋体" w:cs="宋体"/>
          <w:sz w:val="21"/>
          <w:szCs w:val="21"/>
        </w:rPr>
        <w:t>忠于职守</w:t>
      </w:r>
      <w:r>
        <w:rPr>
          <w:rFonts w:hint="eastAsia" w:cs="宋体"/>
          <w:sz w:val="21"/>
          <w:szCs w:val="21"/>
          <w:lang w:eastAsia="zh-CN"/>
        </w:rPr>
        <w:t>；（</w:t>
      </w:r>
      <w:r>
        <w:rPr>
          <w:rFonts w:hint="eastAsia" w:cs="宋体"/>
          <w:sz w:val="21"/>
          <w:szCs w:val="21"/>
          <w:lang w:val="en-US" w:eastAsia="zh-CN"/>
        </w:rPr>
        <w:t>6</w:t>
      </w:r>
      <w:r>
        <w:rPr>
          <w:rFonts w:hint="eastAsia" w:cs="宋体"/>
          <w:sz w:val="21"/>
          <w:szCs w:val="21"/>
          <w:lang w:eastAsia="zh-CN"/>
        </w:rPr>
        <w:t>）</w:t>
      </w:r>
      <w:r>
        <w:rPr>
          <w:rFonts w:hint="eastAsia" w:ascii="宋体" w:hAnsi="宋体" w:eastAsia="宋体" w:cs="宋体"/>
          <w:sz w:val="21"/>
          <w:szCs w:val="21"/>
        </w:rPr>
        <w:t>保守秘密</w:t>
      </w:r>
      <w:r>
        <w:rPr>
          <w:rFonts w:hint="eastAsia" w:cs="宋体"/>
          <w:sz w:val="21"/>
          <w:szCs w:val="21"/>
          <w:lang w:eastAsia="zh-CN"/>
        </w:rPr>
        <w:t>；（</w:t>
      </w:r>
      <w:r>
        <w:rPr>
          <w:rFonts w:hint="eastAsia" w:cs="宋体"/>
          <w:sz w:val="21"/>
          <w:szCs w:val="21"/>
          <w:lang w:val="en-US" w:eastAsia="zh-CN"/>
        </w:rPr>
        <w:t>7</w:t>
      </w:r>
      <w:r>
        <w:rPr>
          <w:rFonts w:hint="eastAsia" w:cs="宋体"/>
          <w:sz w:val="21"/>
          <w:szCs w:val="21"/>
          <w:lang w:eastAsia="zh-CN"/>
        </w:rPr>
        <w:t>）</w:t>
      </w:r>
      <w:r>
        <w:rPr>
          <w:rFonts w:hint="eastAsia" w:ascii="宋体" w:hAnsi="宋体" w:eastAsia="宋体" w:cs="宋体"/>
          <w:sz w:val="21"/>
          <w:szCs w:val="21"/>
        </w:rPr>
        <w:t>清正廉洁</w:t>
      </w:r>
      <w:r>
        <w:rPr>
          <w:rFonts w:hint="eastAsia" w:cs="宋体"/>
          <w:sz w:val="21"/>
          <w:szCs w:val="21"/>
          <w:lang w:eastAsia="zh-CN"/>
        </w:rPr>
        <w:t>；（</w:t>
      </w:r>
      <w:r>
        <w:rPr>
          <w:rFonts w:hint="eastAsia" w:cs="宋体"/>
          <w:sz w:val="21"/>
          <w:szCs w:val="21"/>
          <w:lang w:val="en-US" w:eastAsia="zh-CN"/>
        </w:rPr>
        <w:t>8</w:t>
      </w:r>
      <w:r>
        <w:rPr>
          <w:rFonts w:hint="eastAsia" w:cs="宋体"/>
          <w:sz w:val="21"/>
          <w:szCs w:val="21"/>
          <w:lang w:eastAsia="zh-CN"/>
        </w:rPr>
        <w:t>）</w:t>
      </w:r>
      <w:r>
        <w:rPr>
          <w:rFonts w:hint="eastAsia" w:ascii="宋体" w:hAnsi="宋体" w:eastAsia="宋体" w:cs="宋体"/>
          <w:sz w:val="21"/>
          <w:szCs w:val="21"/>
        </w:rPr>
        <w:t>诚实守信</w:t>
      </w:r>
    </w:p>
    <w:p w14:paraId="288DBE15">
      <w:pPr>
        <w:spacing w:line="384" w:lineRule="exact"/>
        <w:ind w:firstLine="253" w:firstLineChars="120"/>
        <w:jc w:val="left"/>
        <w:rPr>
          <w:rFonts w:hint="eastAsia" w:ascii="宋体" w:hAnsi="宋体" w:eastAsia="宋体" w:cs="宋体"/>
          <w:b/>
          <w:bCs w:val="0"/>
          <w:color w:val="auto"/>
          <w:sz w:val="21"/>
          <w:szCs w:val="21"/>
          <w:lang w:eastAsia="zh-CN"/>
        </w:rPr>
      </w:pPr>
      <w:r>
        <w:rPr>
          <w:rFonts w:hint="eastAsia" w:ascii="宋体" w:hAnsi="宋体" w:eastAsia="宋体" w:cs="宋体"/>
          <w:b/>
          <w:bCs w:val="0"/>
          <w:color w:val="auto"/>
          <w:sz w:val="21"/>
          <w:szCs w:val="21"/>
        </w:rPr>
        <w:t>（二）特定要求</w:t>
      </w:r>
    </w:p>
    <w:p w14:paraId="0AB2684D">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1．合法原则</w:t>
      </w:r>
      <w:r>
        <w:rPr>
          <w:rFonts w:hint="eastAsia" w:cs="宋体"/>
          <w:b/>
          <w:bCs w:val="0"/>
          <w:kern w:val="44"/>
          <w:sz w:val="21"/>
          <w:szCs w:val="21"/>
          <w:lang w:eastAsia="zh-CN"/>
        </w:rPr>
        <w:t>：</w:t>
      </w:r>
      <w:r>
        <w:rPr>
          <w:rFonts w:hint="eastAsia" w:ascii="宋体" w:hAnsi="宋体" w:eastAsia="宋体" w:cs="宋体"/>
          <w:sz w:val="21"/>
          <w:szCs w:val="21"/>
        </w:rPr>
        <w:t>（1）主体合法；（2）依据合法；（3）程序合法。</w:t>
      </w:r>
    </w:p>
    <w:p w14:paraId="4043450C">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2．公正原则</w:t>
      </w:r>
      <w:r>
        <w:rPr>
          <w:rFonts w:hint="eastAsia" w:cs="宋体"/>
          <w:b/>
          <w:bCs w:val="0"/>
          <w:kern w:val="44"/>
          <w:sz w:val="21"/>
          <w:szCs w:val="21"/>
          <w:lang w:eastAsia="zh-CN"/>
        </w:rPr>
        <w:t>：</w:t>
      </w:r>
      <w:r>
        <w:rPr>
          <w:rFonts w:hint="eastAsia" w:ascii="宋体" w:hAnsi="宋体" w:eastAsia="宋体" w:cs="宋体"/>
          <w:sz w:val="21"/>
          <w:szCs w:val="21"/>
        </w:rPr>
        <w:t>（1）行政相对人处于相同情况，应当一视同仁，避免偏私与歧视；（2）面对不同情况的相对人，应根据相对人的不同情况，有针对性采取不同的手段区别对待。</w:t>
      </w:r>
    </w:p>
    <w:p w14:paraId="32BF1461">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3．透明原则</w:t>
      </w:r>
      <w:r>
        <w:rPr>
          <w:rFonts w:hint="eastAsia" w:cs="宋体"/>
          <w:b/>
          <w:bCs w:val="0"/>
          <w:kern w:val="44"/>
          <w:sz w:val="21"/>
          <w:szCs w:val="21"/>
          <w:lang w:eastAsia="zh-CN"/>
        </w:rPr>
        <w:t>：</w:t>
      </w:r>
      <w:r>
        <w:rPr>
          <w:rFonts w:hint="eastAsia" w:ascii="宋体" w:hAnsi="宋体" w:eastAsia="宋体" w:cs="宋体"/>
          <w:sz w:val="21"/>
          <w:szCs w:val="21"/>
        </w:rPr>
        <w:t>（1）依据必须事先公开；（2）过程必须公开；（3）结果必须公开。</w:t>
      </w:r>
    </w:p>
    <w:p w14:paraId="1EE2CFDD">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4．高效原则</w:t>
      </w:r>
      <w:r>
        <w:rPr>
          <w:rFonts w:hint="eastAsia" w:cs="宋体"/>
          <w:b/>
          <w:bCs w:val="0"/>
          <w:kern w:val="44"/>
          <w:sz w:val="21"/>
          <w:szCs w:val="21"/>
          <w:lang w:eastAsia="zh-CN"/>
        </w:rPr>
        <w:t>：</w:t>
      </w:r>
      <w:r>
        <w:rPr>
          <w:rFonts w:hint="eastAsia" w:ascii="宋体" w:hAnsi="宋体" w:eastAsia="宋体" w:cs="宋体"/>
          <w:sz w:val="21"/>
          <w:szCs w:val="21"/>
        </w:rPr>
        <w:t>（1）节约；（2）迅速；（3）成果。</w:t>
      </w:r>
    </w:p>
    <w:p w14:paraId="77368D12">
      <w:pPr>
        <w:spacing w:line="384" w:lineRule="exact"/>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二、行政机关中从事行政处罚决定法制审核、行政复议、行政裁决的公务员职业责任</w:t>
      </w:r>
    </w:p>
    <w:p w14:paraId="4C336E85">
      <w:pPr>
        <w:spacing w:line="384" w:lineRule="exact"/>
        <w:ind w:firstLine="422" w:firstLineChars="200"/>
        <w:jc w:val="left"/>
        <w:rPr>
          <w:rFonts w:hint="eastAsia" w:cs="宋体"/>
          <w:b/>
          <w:bCs w:val="0"/>
          <w:color w:val="auto"/>
          <w:sz w:val="21"/>
          <w:szCs w:val="21"/>
          <w:lang w:eastAsia="zh-CN"/>
        </w:rPr>
      </w:pPr>
      <w:r>
        <w:rPr>
          <w:rFonts w:hint="eastAsia" w:cs="宋体"/>
          <w:b/>
          <w:bCs w:val="0"/>
          <w:color w:val="auto"/>
          <w:sz w:val="21"/>
          <w:szCs w:val="21"/>
          <w:lang w:val="en-US" w:eastAsia="zh-CN"/>
        </w:rPr>
        <w:t>（一</w:t>
      </w:r>
      <w:bookmarkStart w:id="27" w:name="_GoBack"/>
      <w:bookmarkEnd w:id="27"/>
      <w:r>
        <w:rPr>
          <w:rFonts w:hint="eastAsia" w:cs="宋体"/>
          <w:b/>
          <w:bCs w:val="0"/>
          <w:color w:val="auto"/>
          <w:sz w:val="21"/>
          <w:szCs w:val="21"/>
          <w:lang w:val="en-US" w:eastAsia="zh-CN"/>
        </w:rPr>
        <w:t>）刑事责任</w:t>
      </w:r>
    </w:p>
    <w:p w14:paraId="31C2F91A">
      <w:pPr>
        <w:spacing w:line="384" w:lineRule="exact"/>
        <w:ind w:firstLine="422" w:firstLineChars="200"/>
        <w:jc w:val="left"/>
        <w:rPr>
          <w:rFonts w:hint="eastAsia" w:cs="宋体"/>
          <w:b/>
          <w:bCs w:val="0"/>
          <w:color w:val="auto"/>
          <w:sz w:val="21"/>
          <w:szCs w:val="21"/>
          <w:lang w:val="en-US" w:eastAsia="zh-CN"/>
        </w:rPr>
      </w:pPr>
      <w:r>
        <w:rPr>
          <w:rFonts w:hint="eastAsia" w:cs="宋体"/>
          <w:b/>
          <w:bCs w:val="0"/>
          <w:color w:val="auto"/>
          <w:sz w:val="21"/>
          <w:szCs w:val="21"/>
          <w:lang w:eastAsia="zh-CN"/>
        </w:rPr>
        <w:t>（</w:t>
      </w:r>
      <w:r>
        <w:rPr>
          <w:rFonts w:hint="eastAsia" w:cs="宋体"/>
          <w:b/>
          <w:bCs w:val="0"/>
          <w:color w:val="auto"/>
          <w:sz w:val="21"/>
          <w:szCs w:val="21"/>
          <w:lang w:val="en-US" w:eastAsia="zh-CN"/>
        </w:rPr>
        <w:t>二</w:t>
      </w:r>
      <w:r>
        <w:rPr>
          <w:rFonts w:hint="eastAsia" w:cs="宋体"/>
          <w:b/>
          <w:bCs w:val="0"/>
          <w:color w:val="auto"/>
          <w:sz w:val="21"/>
          <w:szCs w:val="21"/>
          <w:lang w:eastAsia="zh-CN"/>
        </w:rPr>
        <w:t>）</w:t>
      </w:r>
      <w:r>
        <w:rPr>
          <w:rFonts w:hint="eastAsia" w:cs="宋体"/>
          <w:b/>
          <w:bCs w:val="0"/>
          <w:color w:val="auto"/>
          <w:sz w:val="21"/>
          <w:szCs w:val="21"/>
          <w:lang w:val="en-US" w:eastAsia="zh-CN"/>
        </w:rPr>
        <w:t>行政责任：</w:t>
      </w:r>
      <w:r>
        <w:rPr>
          <w:rFonts w:hint="eastAsia" w:ascii="宋体" w:hAnsi="宋体" w:eastAsia="宋体" w:cs="宋体"/>
          <w:sz w:val="21"/>
          <w:szCs w:val="21"/>
        </w:rPr>
        <w:t>政务处分等纪律责任、批评教育等人身责任和追偿等财产责任。</w:t>
      </w:r>
    </w:p>
    <w:p w14:paraId="036FFA78">
      <w:pPr>
        <w:tabs>
          <w:tab w:val="left" w:pos="420"/>
        </w:tabs>
        <w:spacing w:line="384" w:lineRule="exact"/>
        <w:ind w:left="420" w:leftChars="200" w:right="420" w:rightChars="200"/>
        <w:rPr>
          <w:rFonts w:hint="eastAsia" w:ascii="宋体" w:hAnsi="宋体" w:eastAsia="宋体" w:cs="宋体"/>
          <w:sz w:val="21"/>
          <w:szCs w:val="21"/>
        </w:rPr>
      </w:pPr>
    </w:p>
    <w:sectPr>
      <w:headerReference r:id="rId5" w:type="first"/>
      <w:footerReference r:id="rId8" w:type="first"/>
      <w:headerReference r:id="rId3" w:type="default"/>
      <w:footerReference r:id="rId6" w:type="default"/>
      <w:headerReference r:id="rId4" w:type="even"/>
      <w:footerReference r:id="rId7" w:type="even"/>
      <w:pgSz w:w="11900" w:h="16840"/>
      <w:pgMar w:top="1701" w:right="1588" w:bottom="1247" w:left="1588" w:header="851" w:footer="992" w:gutter="0"/>
      <w:cols w:space="720" w:num="1"/>
      <w:titlePg/>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D484666-A1C4-4AE3-BF8F-DF73E5F6E0C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A6E6E6F-B800-48DE-8160-3072D77727BA}"/>
  </w:font>
  <w:font w:name="楷体">
    <w:panose1 w:val="02010609060101010101"/>
    <w:charset w:val="86"/>
    <w:family w:val="modern"/>
    <w:pitch w:val="default"/>
    <w:sig w:usb0="800002BF" w:usb1="38CF7CFA" w:usb2="00000016" w:usb3="00000000" w:csb0="00040001" w:csb1="00000000"/>
    <w:embedRegular r:id="rId3" w:fontKey="{8249E8ED-4B83-40A1-8B55-B1CC55C4D18C}"/>
  </w:font>
  <w:font w:name="汉仪大宋简">
    <w:panose1 w:val="02010600000101010101"/>
    <w:charset w:val="86"/>
    <w:family w:val="modern"/>
    <w:pitch w:val="default"/>
    <w:sig w:usb0="00000001" w:usb1="080E0800" w:usb2="00000002" w:usb3="00000000" w:csb0="00040000" w:csb1="00000000"/>
    <w:embedRegular r:id="rId4" w:fontKey="{824A87AE-627B-4084-BE5B-092626CD0BED}"/>
  </w:font>
  <w:font w:name="汉仪中黑简">
    <w:panose1 w:val="02010600000101010101"/>
    <w:charset w:val="86"/>
    <w:family w:val="modern"/>
    <w:pitch w:val="default"/>
    <w:sig w:usb0="00000001" w:usb1="080E0800" w:usb2="00000002" w:usb3="00000000" w:csb0="00040000" w:csb1="00000000"/>
    <w:embedRegular r:id="rId5" w:fontKey="{B8C0951D-F038-477A-89F5-D1A44A90AC1A}"/>
  </w:font>
  <w:font w:name="仿宋">
    <w:panose1 w:val="02010609060101010101"/>
    <w:charset w:val="86"/>
    <w:family w:val="modern"/>
    <w:pitch w:val="default"/>
    <w:sig w:usb0="800002BF" w:usb1="38CF7CFA" w:usb2="00000016" w:usb3="00000000" w:csb0="00040001" w:csb1="00000000"/>
    <w:embedRegular r:id="rId6" w:fontKey="{7B216318-BADC-480C-BE52-DCBA595A24E9}"/>
  </w:font>
  <w:font w:name="汉仪书宋二简">
    <w:altName w:val="微软雅黑"/>
    <w:panose1 w:val="02010609000101010101"/>
    <w:charset w:val="86"/>
    <w:family w:val="modern"/>
    <w:pitch w:val="default"/>
    <w:sig w:usb0="00000000" w:usb1="00000000" w:usb2="00000012" w:usb3="00000000" w:csb0="00040000" w:csb1="00000000"/>
    <w:embedRegular r:id="rId7" w:fontKey="{3D6BBB7F-E370-4BAC-93B8-382C43EC9D79}"/>
  </w:font>
  <w:font w:name="微软雅黑">
    <w:panose1 w:val="020B0503020204020204"/>
    <w:charset w:val="86"/>
    <w:family w:val="auto"/>
    <w:pitch w:val="default"/>
    <w:sig w:usb0="80000287" w:usb1="2ACF3C50" w:usb2="00000016" w:usb3="00000000" w:csb0="0004001F" w:csb1="00000000"/>
  </w:font>
  <w:font w:name="汉仪中等线简">
    <w:altName w:val="宋体"/>
    <w:panose1 w:val="02010609000101010101"/>
    <w:charset w:val="86"/>
    <w:family w:val="modern"/>
    <w:pitch w:val="default"/>
    <w:sig w:usb0="00000000" w:usb1="00000000" w:usb2="00000012" w:usb3="00000000" w:csb0="00040000" w:csb1="00000000"/>
    <w:embedRegular r:id="rId8" w:fontKey="{CBE78FA7-EA02-4797-B12B-422AFC12B372}"/>
  </w:font>
  <w:font w:name="MS Mincho">
    <w:altName w:val="Yu Gothic UI"/>
    <w:panose1 w:val="02020609040205080304"/>
    <w:charset w:val="80"/>
    <w:family w:val="modern"/>
    <w:pitch w:val="default"/>
    <w:sig w:usb0="00000000" w:usb1="00000000" w:usb2="00000012" w:usb3="00000000" w:csb0="0002009F" w:csb1="00000000"/>
    <w:embedRegular r:id="rId9" w:fontKey="{82A14771-ECF8-4180-8612-3F7CAF1C3B1E}"/>
  </w:font>
  <w:font w:name="Yu Gothic UI">
    <w:panose1 w:val="020B0500000000000000"/>
    <w:charset w:val="80"/>
    <w:family w:val="auto"/>
    <w:pitch w:val="default"/>
    <w:sig w:usb0="E00002FF" w:usb1="2AC7FDFF" w:usb2="00000016" w:usb3="00000000" w:csb0="2002009F" w:csb1="00000000"/>
  </w:font>
  <w:font w:name="汉仪粗黑简">
    <w:altName w:val="微软雅黑"/>
    <w:panose1 w:val="02010609000101010101"/>
    <w:charset w:val="86"/>
    <w:family w:val="modern"/>
    <w:pitch w:val="default"/>
    <w:sig w:usb0="00000000" w:usb1="00000000" w:usb2="00000012" w:usb3="00000000" w:csb0="00040000" w:csb1="00000000"/>
    <w:embedRegular r:id="rId10" w:fontKey="{24B80B5E-7171-4677-91B8-0C7B3597B2A2}"/>
  </w:font>
  <w:font w:name="WPSEMBED1">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990A6">
    <w:pPr>
      <w:tabs>
        <w:tab w:val="center" w:pos="4153"/>
        <w:tab w:val="right" w:pos="8306"/>
      </w:tabs>
      <w:snapToGrid w:val="0"/>
      <w:ind w:firstLine="420"/>
      <w:jc w:val="right"/>
      <w:rPr>
        <w:rFonts w:ascii="Calibri" w:hAnsi="Calibri" w:cs="Times New Roman"/>
        <w:sz w:val="18"/>
        <w:szCs w:val="18"/>
      </w:rPr>
    </w:pPr>
    <w:r>
      <w:rPr>
        <w:rFonts w:eastAsia="汉仪书宋二简"/>
      </w:rPr>
      <mc:AlternateContent>
        <mc:Choice Requires="wps">
          <w:drawing>
            <wp:anchor distT="0" distB="0" distL="114300" distR="114300" simplePos="0" relativeHeight="251660288" behindDoc="0" locked="0" layoutInCell="1" allowOverlap="1">
              <wp:simplePos x="0" y="0"/>
              <wp:positionH relativeFrom="margin">
                <wp:posOffset>4655820</wp:posOffset>
              </wp:positionH>
              <wp:positionV relativeFrom="paragraph">
                <wp:posOffset>97790</wp:posOffset>
              </wp:positionV>
              <wp:extent cx="864870" cy="377190"/>
              <wp:effectExtent l="0" t="0" r="0" b="0"/>
              <wp:wrapNone/>
              <wp:docPr id="275913545" name="文本框 228"/>
              <wp:cNvGraphicFramePr/>
              <a:graphic xmlns:a="http://schemas.openxmlformats.org/drawingml/2006/main">
                <a:graphicData uri="http://schemas.microsoft.com/office/word/2010/wordprocessingShape">
                  <wps:wsp>
                    <wps:cNvSpPr txBox="1">
                      <a:spLocks noChangeArrowheads="1"/>
                    </wps:cNvSpPr>
                    <wps:spPr bwMode="auto">
                      <a:xfrm>
                        <a:off x="0" y="0"/>
                        <a:ext cx="864870" cy="377190"/>
                      </a:xfrm>
                      <a:prstGeom prst="rect">
                        <a:avLst/>
                      </a:prstGeom>
                      <a:noFill/>
                      <a:ln>
                        <a:noFill/>
                      </a:ln>
                    </wps:spPr>
                    <wps:txbx>
                      <w:txbxContent>
                        <w:p w14:paraId="3E23B77D">
                          <w:pPr>
                            <w:tabs>
                              <w:tab w:val="center" w:pos="4153"/>
                              <w:tab w:val="right" w:pos="8306"/>
                            </w:tabs>
                            <w:snapToGrid w:val="0"/>
                            <w:jc w:val="right"/>
                            <w:rPr>
                              <w:rFonts w:ascii="汉仪书宋二简" w:hAnsi="Calibri" w:eastAsia="汉仪书宋二简" w:cs="Times New Roman"/>
                              <w:sz w:val="18"/>
                              <w:szCs w:val="18"/>
                            </w:rPr>
                          </w:pPr>
                          <w:r>
                            <w:rPr>
                              <w:rFonts w:hint="eastAsia" w:ascii="汉仪书宋二简" w:hAnsi="Calibri" w:eastAsia="汉仪书宋二简" w:cs="Times New Roman"/>
                              <w:sz w:val="18"/>
                              <w:szCs w:val="18"/>
                            </w:rPr>
                            <w:fldChar w:fldCharType="begin"/>
                          </w:r>
                          <w:r>
                            <w:rPr>
                              <w:rFonts w:hint="eastAsia" w:ascii="汉仪书宋二简" w:hAnsi="Calibri" w:eastAsia="汉仪书宋二简" w:cs="Times New Roman"/>
                              <w:sz w:val="18"/>
                              <w:szCs w:val="18"/>
                            </w:rPr>
                            <w:instrText xml:space="preserve"> PAGE   \* MERGEFORMAT </w:instrText>
                          </w:r>
                          <w:r>
                            <w:rPr>
                              <w:rFonts w:hint="eastAsia" w:ascii="汉仪书宋二简" w:hAnsi="Calibri" w:eastAsia="汉仪书宋二简" w:cs="Times New Roman"/>
                              <w:sz w:val="18"/>
                              <w:szCs w:val="18"/>
                            </w:rPr>
                            <w:fldChar w:fldCharType="separate"/>
                          </w:r>
                          <w:r>
                            <w:rPr>
                              <w:rFonts w:hint="eastAsia" w:ascii="汉仪书宋二简" w:hAnsi="Calibri" w:eastAsia="汉仪书宋二简" w:cs="Times New Roman"/>
                              <w:sz w:val="18"/>
                              <w:szCs w:val="18"/>
                              <w:lang w:val="zh-CN"/>
                            </w:rPr>
                            <w:t>5</w:t>
                          </w:r>
                          <w:r>
                            <w:rPr>
                              <w:rFonts w:hint="eastAsia" w:ascii="汉仪书宋二简" w:hAnsi="Calibri" w:eastAsia="汉仪书宋二简" w:cs="Times New Roman"/>
                              <w:sz w:val="18"/>
                              <w:szCs w:val="18"/>
                              <w:lang w:val="zh-CN"/>
                            </w:rPr>
                            <w:fldChar w:fldCharType="end"/>
                          </w:r>
                        </w:p>
                      </w:txbxContent>
                    </wps:txbx>
                    <wps:bodyPr rot="0" vert="horz" wrap="square" lIns="0" tIns="0" rIns="0" bIns="0" anchor="t" anchorCtr="0" upright="1">
                      <a:noAutofit/>
                    </wps:bodyPr>
                  </wps:wsp>
                </a:graphicData>
              </a:graphic>
            </wp:anchor>
          </w:drawing>
        </mc:Choice>
        <mc:Fallback>
          <w:pict>
            <v:shape id="文本框 228" o:spid="_x0000_s1026" o:spt="202" type="#_x0000_t202" style="position:absolute;left:0pt;margin-left:366.6pt;margin-top:7.7pt;height:29.7pt;width:68.1pt;mso-position-horizontal-relative:margin;z-index:251660288;mso-width-relative:page;mso-height-relative:page;" filled="f" stroked="f" coordsize="21600,21600" o:gfxdata="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IGNM/YAAAACQEAAA8A&#10;AAAAAAAAAQAgAAAAIgAAAGRycy9kb3ducmV2LnhtbFBLAQIUABQAAAAIAIdO4kDKeC/iFwIAAA4E&#10;AAAOAAAAAAAAAAEAIAAAACcBAABkcnMvZTJvRG9jLnhtbFBLBQYAAAAABgAGAFkBAACwBQAAAAA=&#10;">
              <v:fill on="f" focussize="0,0"/>
              <v:stroke on="f"/>
              <v:imagedata o:title=""/>
              <o:lock v:ext="edit" aspectratio="f"/>
              <v:textbox inset="0mm,0mm,0mm,0mm">
                <w:txbxContent>
                  <w:p w14:paraId="3E23B77D">
                    <w:pPr>
                      <w:tabs>
                        <w:tab w:val="center" w:pos="4153"/>
                        <w:tab w:val="right" w:pos="8306"/>
                      </w:tabs>
                      <w:snapToGrid w:val="0"/>
                      <w:jc w:val="right"/>
                      <w:rPr>
                        <w:rFonts w:ascii="汉仪书宋二简" w:hAnsi="Calibri" w:eastAsia="汉仪书宋二简" w:cs="Times New Roman"/>
                        <w:sz w:val="18"/>
                        <w:szCs w:val="18"/>
                      </w:rPr>
                    </w:pPr>
                    <w:r>
                      <w:rPr>
                        <w:rFonts w:hint="eastAsia" w:ascii="汉仪书宋二简" w:hAnsi="Calibri" w:eastAsia="汉仪书宋二简" w:cs="Times New Roman"/>
                        <w:sz w:val="18"/>
                        <w:szCs w:val="18"/>
                      </w:rPr>
                      <w:fldChar w:fldCharType="begin"/>
                    </w:r>
                    <w:r>
                      <w:rPr>
                        <w:rFonts w:hint="eastAsia" w:ascii="汉仪书宋二简" w:hAnsi="Calibri" w:eastAsia="汉仪书宋二简" w:cs="Times New Roman"/>
                        <w:sz w:val="18"/>
                        <w:szCs w:val="18"/>
                      </w:rPr>
                      <w:instrText xml:space="preserve"> PAGE   \* MERGEFORMAT </w:instrText>
                    </w:r>
                    <w:r>
                      <w:rPr>
                        <w:rFonts w:hint="eastAsia" w:ascii="汉仪书宋二简" w:hAnsi="Calibri" w:eastAsia="汉仪书宋二简" w:cs="Times New Roman"/>
                        <w:sz w:val="18"/>
                        <w:szCs w:val="18"/>
                      </w:rPr>
                      <w:fldChar w:fldCharType="separate"/>
                    </w:r>
                    <w:r>
                      <w:rPr>
                        <w:rFonts w:hint="eastAsia" w:ascii="汉仪书宋二简" w:hAnsi="Calibri" w:eastAsia="汉仪书宋二简" w:cs="Times New Roman"/>
                        <w:sz w:val="18"/>
                        <w:szCs w:val="18"/>
                        <w:lang w:val="zh-CN"/>
                      </w:rPr>
                      <w:t>5</w:t>
                    </w:r>
                    <w:r>
                      <w:rPr>
                        <w:rFonts w:hint="eastAsia" w:ascii="汉仪书宋二简" w:hAnsi="Calibri" w:eastAsia="汉仪书宋二简" w:cs="Times New Roman"/>
                        <w:sz w:val="18"/>
                        <w:szCs w:val="18"/>
                        <w:lang w:val="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29745">
    <w:pPr>
      <w:tabs>
        <w:tab w:val="center" w:pos="4153"/>
        <w:tab w:val="right" w:pos="8306"/>
      </w:tabs>
      <w:snapToGrid w:val="0"/>
      <w:ind w:firstLine="420"/>
      <w:jc w:val="left"/>
      <w:rPr>
        <w:rFonts w:ascii="Calibri" w:hAnsi="Calibri" w:cs="Times New Roman"/>
        <w:sz w:val="18"/>
        <w:szCs w:val="18"/>
      </w:rPr>
    </w:pPr>
    <w:r>
      <w:rPr>
        <w:rFonts w:eastAsia="汉仪书宋二简"/>
      </w:rPr>
      <mc:AlternateContent>
        <mc:Choice Requires="wps">
          <w:drawing>
            <wp:anchor distT="0" distB="0" distL="114300" distR="114300" simplePos="0" relativeHeight="251661312" behindDoc="0" locked="0" layoutInCell="1" allowOverlap="1">
              <wp:simplePos x="0" y="0"/>
              <wp:positionH relativeFrom="margin">
                <wp:posOffset>-5080</wp:posOffset>
              </wp:positionH>
              <wp:positionV relativeFrom="paragraph">
                <wp:posOffset>97790</wp:posOffset>
              </wp:positionV>
              <wp:extent cx="342900" cy="330200"/>
              <wp:effectExtent l="0" t="0" r="0" b="0"/>
              <wp:wrapNone/>
              <wp:docPr id="1300129273" name="文本框 229"/>
              <wp:cNvGraphicFramePr/>
              <a:graphic xmlns:a="http://schemas.openxmlformats.org/drawingml/2006/main">
                <a:graphicData uri="http://schemas.microsoft.com/office/word/2010/wordprocessingShape">
                  <wps:wsp>
                    <wps:cNvSpPr txBox="1">
                      <a:spLocks noChangeArrowheads="1"/>
                    </wps:cNvSpPr>
                    <wps:spPr bwMode="auto">
                      <a:xfrm>
                        <a:off x="0" y="0"/>
                        <a:ext cx="342900" cy="330200"/>
                      </a:xfrm>
                      <a:prstGeom prst="rect">
                        <a:avLst/>
                      </a:prstGeom>
                      <a:noFill/>
                      <a:ln>
                        <a:noFill/>
                      </a:ln>
                    </wps:spPr>
                    <wps:txbx>
                      <w:txbxContent>
                        <w:p w14:paraId="47971AA6">
                          <w:pPr>
                            <w:tabs>
                              <w:tab w:val="center" w:pos="4153"/>
                              <w:tab w:val="right" w:pos="8306"/>
                            </w:tabs>
                            <w:snapToGrid w:val="0"/>
                            <w:jc w:val="left"/>
                            <w:rPr>
                              <w:rFonts w:ascii="汉仪书宋二简" w:hAnsi="Calibri" w:eastAsia="汉仪书宋二简" w:cs="Times New Roman"/>
                              <w:sz w:val="18"/>
                              <w:szCs w:val="18"/>
                            </w:rPr>
                          </w:pPr>
                          <w:r>
                            <w:rPr>
                              <w:rFonts w:hint="eastAsia" w:ascii="汉仪书宋二简" w:hAnsi="Calibri" w:eastAsia="汉仪书宋二简" w:cs="Times New Roman"/>
                              <w:sz w:val="18"/>
                              <w:szCs w:val="18"/>
                            </w:rPr>
                            <w:fldChar w:fldCharType="begin"/>
                          </w:r>
                          <w:r>
                            <w:rPr>
                              <w:rFonts w:hint="eastAsia" w:ascii="汉仪书宋二简" w:hAnsi="Calibri" w:eastAsia="汉仪书宋二简" w:cs="Times New Roman"/>
                              <w:sz w:val="18"/>
                              <w:szCs w:val="18"/>
                            </w:rPr>
                            <w:instrText xml:space="preserve"> PAGE  \* MERGEFORMAT </w:instrText>
                          </w:r>
                          <w:r>
                            <w:rPr>
                              <w:rFonts w:hint="eastAsia" w:ascii="汉仪书宋二简" w:hAnsi="Calibri" w:eastAsia="汉仪书宋二简" w:cs="Times New Roman"/>
                              <w:sz w:val="18"/>
                              <w:szCs w:val="18"/>
                            </w:rPr>
                            <w:fldChar w:fldCharType="separate"/>
                          </w:r>
                          <w:r>
                            <w:rPr>
                              <w:rFonts w:hint="eastAsia" w:ascii="汉仪书宋二简" w:hAnsi="Calibri" w:eastAsia="汉仪书宋二简" w:cs="Times New Roman"/>
                              <w:sz w:val="18"/>
                              <w:szCs w:val="18"/>
                            </w:rPr>
                            <w:t>4</w:t>
                          </w:r>
                          <w:r>
                            <w:rPr>
                              <w:rFonts w:hint="eastAsia" w:ascii="汉仪书宋二简" w:hAnsi="Calibri" w:eastAsia="汉仪书宋二简" w:cs="Times New Roman"/>
                              <w:sz w:val="18"/>
                              <w:szCs w:val="18"/>
                            </w:rPr>
                            <w:fldChar w:fldCharType="end"/>
                          </w:r>
                        </w:p>
                      </w:txbxContent>
                    </wps:txbx>
                    <wps:bodyPr rot="0" vert="horz" wrap="square" lIns="0" tIns="0" rIns="0" bIns="0" anchor="t" anchorCtr="0" upright="1">
                      <a:noAutofit/>
                    </wps:bodyPr>
                  </wps:wsp>
                </a:graphicData>
              </a:graphic>
            </wp:anchor>
          </w:drawing>
        </mc:Choice>
        <mc:Fallback>
          <w:pict>
            <v:shape id="文本框 229" o:spid="_x0000_s1026" o:spt="202" type="#_x0000_t202" style="position:absolute;left:0pt;margin-left:-0.4pt;margin-top:7.7pt;height:26pt;width:27pt;mso-position-horizontal-relative:margin;z-index:251661312;mso-width-relative:page;mso-height-relative:page;" filled="f" stroked="f" coordsize="21600,21600" o:gfxdata="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rOvpbVAAAABgEAAA8AAAAAAAAA&#10;AQAgAAAAIgAAAGRycy9kb3ducmV2LnhtbFBLAQIUABQAAAAIAIdO4kDAksl0FAIAAA8EAAAOAAAA&#10;AAAAAAEAIAAAACQBAABkcnMvZTJvRG9jLnhtbFBLBQYAAAAABgAGAFkBAACqBQAAAAA=&#10;">
              <v:fill on="f" focussize="0,0"/>
              <v:stroke on="f"/>
              <v:imagedata o:title=""/>
              <o:lock v:ext="edit" aspectratio="f"/>
              <v:textbox inset="0mm,0mm,0mm,0mm">
                <w:txbxContent>
                  <w:p w14:paraId="47971AA6">
                    <w:pPr>
                      <w:tabs>
                        <w:tab w:val="center" w:pos="4153"/>
                        <w:tab w:val="right" w:pos="8306"/>
                      </w:tabs>
                      <w:snapToGrid w:val="0"/>
                      <w:jc w:val="left"/>
                      <w:rPr>
                        <w:rFonts w:ascii="汉仪书宋二简" w:hAnsi="Calibri" w:eastAsia="汉仪书宋二简" w:cs="Times New Roman"/>
                        <w:sz w:val="18"/>
                        <w:szCs w:val="18"/>
                      </w:rPr>
                    </w:pPr>
                    <w:r>
                      <w:rPr>
                        <w:rFonts w:hint="eastAsia" w:ascii="汉仪书宋二简" w:hAnsi="Calibri" w:eastAsia="汉仪书宋二简" w:cs="Times New Roman"/>
                        <w:sz w:val="18"/>
                        <w:szCs w:val="18"/>
                      </w:rPr>
                      <w:fldChar w:fldCharType="begin"/>
                    </w:r>
                    <w:r>
                      <w:rPr>
                        <w:rFonts w:hint="eastAsia" w:ascii="汉仪书宋二简" w:hAnsi="Calibri" w:eastAsia="汉仪书宋二简" w:cs="Times New Roman"/>
                        <w:sz w:val="18"/>
                        <w:szCs w:val="18"/>
                      </w:rPr>
                      <w:instrText xml:space="preserve"> PAGE  \* MERGEFORMAT </w:instrText>
                    </w:r>
                    <w:r>
                      <w:rPr>
                        <w:rFonts w:hint="eastAsia" w:ascii="汉仪书宋二简" w:hAnsi="Calibri" w:eastAsia="汉仪书宋二简" w:cs="Times New Roman"/>
                        <w:sz w:val="18"/>
                        <w:szCs w:val="18"/>
                      </w:rPr>
                      <w:fldChar w:fldCharType="separate"/>
                    </w:r>
                    <w:r>
                      <w:rPr>
                        <w:rFonts w:hint="eastAsia" w:ascii="汉仪书宋二简" w:hAnsi="Calibri" w:eastAsia="汉仪书宋二简" w:cs="Times New Roman"/>
                        <w:sz w:val="18"/>
                        <w:szCs w:val="18"/>
                      </w:rPr>
                      <w:t>4</w:t>
                    </w:r>
                    <w:r>
                      <w:rPr>
                        <w:rFonts w:hint="eastAsia" w:ascii="汉仪书宋二简" w:hAnsi="Calibri" w:eastAsia="汉仪书宋二简" w:cs="Times New Roman"/>
                        <w:sz w:val="18"/>
                        <w:szCs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794B9">
    <w:pPr>
      <w:tabs>
        <w:tab w:val="center" w:pos="4153"/>
        <w:tab w:val="right" w:pos="8306"/>
      </w:tabs>
      <w:snapToGrid w:val="0"/>
      <w:ind w:firstLine="420"/>
      <w:jc w:val="right"/>
      <w:rPr>
        <w:rFonts w:ascii="Calibri" w:hAnsi="Calibri" w:cs="Times New Roman"/>
        <w:sz w:val="18"/>
        <w:szCs w:val="18"/>
      </w:rPr>
    </w:pPr>
    <w:r>
      <w:rPr>
        <w:rFonts w:eastAsia="汉仪书宋二简"/>
      </w:rPr>
      <mc:AlternateContent>
        <mc:Choice Requires="wps">
          <w:drawing>
            <wp:anchor distT="0" distB="0" distL="114300" distR="114300" simplePos="0" relativeHeight="251659264" behindDoc="0" locked="0" layoutInCell="1" allowOverlap="1">
              <wp:simplePos x="0" y="0"/>
              <wp:positionH relativeFrom="margin">
                <wp:posOffset>-17780</wp:posOffset>
              </wp:positionH>
              <wp:positionV relativeFrom="paragraph">
                <wp:posOffset>86995</wp:posOffset>
              </wp:positionV>
              <wp:extent cx="5581650" cy="330200"/>
              <wp:effectExtent l="0" t="0" r="0" b="0"/>
              <wp:wrapNone/>
              <wp:docPr id="5" name="文本框 224"/>
              <wp:cNvGraphicFramePr/>
              <a:graphic xmlns:a="http://schemas.openxmlformats.org/drawingml/2006/main">
                <a:graphicData uri="http://schemas.microsoft.com/office/word/2010/wordprocessingShape">
                  <wps:wsp>
                    <wps:cNvSpPr txBox="1">
                      <a:spLocks noChangeArrowheads="1"/>
                    </wps:cNvSpPr>
                    <wps:spPr bwMode="auto">
                      <a:xfrm>
                        <a:off x="0" y="0"/>
                        <a:ext cx="5581650" cy="330200"/>
                      </a:xfrm>
                      <a:prstGeom prst="rect">
                        <a:avLst/>
                      </a:prstGeom>
                      <a:noFill/>
                      <a:ln>
                        <a:noFill/>
                      </a:ln>
                    </wps:spPr>
                    <wps:txbx>
                      <w:txbxContent>
                        <w:p w14:paraId="08D16D3E">
                          <w:pPr>
                            <w:tabs>
                              <w:tab w:val="center" w:pos="4153"/>
                              <w:tab w:val="right" w:pos="8306"/>
                            </w:tabs>
                            <w:snapToGrid w:val="0"/>
                            <w:jc w:val="right"/>
                            <w:rPr>
                              <w:rFonts w:ascii="汉仪书宋二简" w:hAnsi="Calibri" w:eastAsia="汉仪书宋二简" w:cs="Times New Roman"/>
                              <w:sz w:val="18"/>
                              <w:szCs w:val="18"/>
                            </w:rPr>
                          </w:pPr>
                          <w:r>
                            <w:rPr>
                              <w:rFonts w:hint="eastAsia" w:ascii="汉仪书宋二简" w:hAnsi="Calibri" w:eastAsia="汉仪书宋二简" w:cs="Times New Roman"/>
                              <w:sz w:val="18"/>
                              <w:szCs w:val="18"/>
                            </w:rPr>
                            <w:fldChar w:fldCharType="begin"/>
                          </w:r>
                          <w:r>
                            <w:rPr>
                              <w:rFonts w:hint="eastAsia" w:ascii="汉仪书宋二简" w:hAnsi="Calibri" w:eastAsia="汉仪书宋二简" w:cs="Times New Roman"/>
                              <w:sz w:val="18"/>
                              <w:szCs w:val="18"/>
                            </w:rPr>
                            <w:instrText xml:space="preserve"> PAGE  \* MERGEFORMAT </w:instrText>
                          </w:r>
                          <w:r>
                            <w:rPr>
                              <w:rFonts w:hint="eastAsia" w:ascii="汉仪书宋二简" w:hAnsi="Calibri" w:eastAsia="汉仪书宋二简" w:cs="Times New Roman"/>
                              <w:sz w:val="18"/>
                              <w:szCs w:val="18"/>
                            </w:rPr>
                            <w:fldChar w:fldCharType="separate"/>
                          </w:r>
                          <w:r>
                            <w:rPr>
                              <w:rFonts w:hint="eastAsia" w:ascii="汉仪书宋二简" w:hAnsi="Calibri" w:eastAsia="汉仪书宋二简" w:cs="Times New Roman"/>
                              <w:sz w:val="18"/>
                              <w:szCs w:val="18"/>
                            </w:rPr>
                            <w:t>42</w:t>
                          </w:r>
                          <w:r>
                            <w:rPr>
                              <w:rFonts w:hint="eastAsia" w:ascii="汉仪书宋二简" w:hAnsi="Calibri" w:eastAsia="汉仪书宋二简" w:cs="Times New Roman"/>
                              <w:sz w:val="18"/>
                              <w:szCs w:val="18"/>
                            </w:rPr>
                            <w:fldChar w:fldCharType="end"/>
                          </w:r>
                        </w:p>
                      </w:txbxContent>
                    </wps:txbx>
                    <wps:bodyPr rot="0" vert="horz" wrap="square" lIns="0" tIns="0" rIns="0" bIns="0" anchor="t" anchorCtr="0" upright="1">
                      <a:noAutofit/>
                    </wps:bodyPr>
                  </wps:wsp>
                </a:graphicData>
              </a:graphic>
            </wp:anchor>
          </w:drawing>
        </mc:Choice>
        <mc:Fallback>
          <w:pict>
            <v:shape id="文本框 224" o:spid="_x0000_s1026" o:spt="202" type="#_x0000_t202" style="position:absolute;left:0pt;margin-left:-1.4pt;margin-top:6.85pt;height:26pt;width:439.5pt;mso-position-horizontal-relative:margin;z-index:251659264;mso-width-relative:page;mso-height-relative:page;" filled="f" stroked="f" coordsize="21600,21600" o:gfxdata="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5uupU2AAAAAgBAAAPAAAAAAAAAAEA&#10;IAAAACIAAABkcnMvZG93bnJldi54bWxQSwECFAAUAAAACACHTuJAGkQnQg8CAAAHBAAADgAAAAAA&#10;AAABACAAAAAnAQAAZHJzL2Uyb0RvYy54bWxQSwUGAAAAAAYABgBZAQAAqAUAAAAA&#10;">
              <v:fill on="f" focussize="0,0"/>
              <v:stroke on="f"/>
              <v:imagedata o:title=""/>
              <o:lock v:ext="edit" aspectratio="f"/>
              <v:textbox inset="0mm,0mm,0mm,0mm">
                <w:txbxContent>
                  <w:p w14:paraId="08D16D3E">
                    <w:pPr>
                      <w:tabs>
                        <w:tab w:val="center" w:pos="4153"/>
                        <w:tab w:val="right" w:pos="8306"/>
                      </w:tabs>
                      <w:snapToGrid w:val="0"/>
                      <w:jc w:val="right"/>
                      <w:rPr>
                        <w:rFonts w:ascii="汉仪书宋二简" w:hAnsi="Calibri" w:eastAsia="汉仪书宋二简" w:cs="Times New Roman"/>
                        <w:sz w:val="18"/>
                        <w:szCs w:val="18"/>
                      </w:rPr>
                    </w:pPr>
                    <w:r>
                      <w:rPr>
                        <w:rFonts w:hint="eastAsia" w:ascii="汉仪书宋二简" w:hAnsi="Calibri" w:eastAsia="汉仪书宋二简" w:cs="Times New Roman"/>
                        <w:sz w:val="18"/>
                        <w:szCs w:val="18"/>
                      </w:rPr>
                      <w:fldChar w:fldCharType="begin"/>
                    </w:r>
                    <w:r>
                      <w:rPr>
                        <w:rFonts w:hint="eastAsia" w:ascii="汉仪书宋二简" w:hAnsi="Calibri" w:eastAsia="汉仪书宋二简" w:cs="Times New Roman"/>
                        <w:sz w:val="18"/>
                        <w:szCs w:val="18"/>
                      </w:rPr>
                      <w:instrText xml:space="preserve"> PAGE  \* MERGEFORMAT </w:instrText>
                    </w:r>
                    <w:r>
                      <w:rPr>
                        <w:rFonts w:hint="eastAsia" w:ascii="汉仪书宋二简" w:hAnsi="Calibri" w:eastAsia="汉仪书宋二简" w:cs="Times New Roman"/>
                        <w:sz w:val="18"/>
                        <w:szCs w:val="18"/>
                      </w:rPr>
                      <w:fldChar w:fldCharType="separate"/>
                    </w:r>
                    <w:r>
                      <w:rPr>
                        <w:rFonts w:hint="eastAsia" w:ascii="汉仪书宋二简" w:hAnsi="Calibri" w:eastAsia="汉仪书宋二简" w:cs="Times New Roman"/>
                        <w:sz w:val="18"/>
                        <w:szCs w:val="18"/>
                      </w:rPr>
                      <w:t>42</w:t>
                    </w:r>
                    <w:r>
                      <w:rPr>
                        <w:rFonts w:hint="eastAsia" w:ascii="汉仪书宋二简" w:hAnsi="Calibri" w:eastAsia="汉仪书宋二简" w:cs="Times New Roman"/>
                        <w:sz w:val="18"/>
                        <w:szCs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6EB36">
    <w:pPr>
      <w:pStyle w:val="3"/>
      <w:pBdr>
        <w:bottom w:val="none" w:color="auto" w:sz="0" w:space="1"/>
      </w:pBdr>
      <w:spacing w:line="207" w:lineRule="exact"/>
      <w:ind w:firstLine="340"/>
      <w:jc w:val="right"/>
      <w:rPr>
        <w:rFonts w:hint="eastAsia"/>
      </w:rPr>
    </w:pPr>
    <w:r>
      <w:rPr>
        <w:rFonts w:ascii="Arial" w:hAnsi="Arial" w:eastAsia="Arial" w:cs="Arial"/>
        <w:color w:val="FF0000"/>
        <w:sz w:val="17"/>
        <w:szCs w:val="17"/>
      </w:rPr>
      <w:t>|</w:t>
    </w:r>
    <w:r>
      <w:rPr>
        <w:rFonts w:ascii="汉仪中黑简" w:hAnsi="汉仪中黑简" w:eastAsia="汉仪中黑简" w:cs="汉仪中黑简"/>
        <w:color w:val="FF0000"/>
        <w:sz w:val="17"/>
        <w:szCs w:val="17"/>
      </w:rPr>
      <w:t xml:space="preserve"> </w:t>
    </w:r>
    <w:r>
      <w:rPr>
        <w:rFonts w:hint="eastAsia" w:ascii="汉仪中黑简" w:hAnsi="汉仪中黑简" w:eastAsia="汉仪中黑简" w:cs="汉仪中黑简"/>
        <w:color w:val="FF0000"/>
        <w:sz w:val="17"/>
        <w:szCs w:val="17"/>
      </w:rPr>
      <w:t xml:space="preserve">司法制度和法律职业道德 </w:t>
    </w:r>
    <w:r>
      <w:rPr>
        <w:rFonts w:ascii="Arial" w:hAnsi="Arial" w:eastAsia="Arial" w:cs="Arial"/>
        <w:color w:val="FF0000"/>
        <w:sz w:val="17"/>
        <w:szCs w:val="17"/>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9750A">
    <w:pPr>
      <w:spacing w:line="207" w:lineRule="exact"/>
      <w:rPr>
        <w:rFonts w:hint="eastAsia"/>
      </w:rPr>
    </w:pPr>
    <w:r>
      <w:rPr>
        <w:rFonts w:ascii="Arial" w:hAnsi="Arial" w:eastAsia="Arial" w:cs="Arial"/>
        <w:sz w:val="17"/>
        <w:szCs w:val="17"/>
      </w:rPr>
      <w:t>202</w:t>
    </w:r>
    <w:r>
      <w:rPr>
        <w:rFonts w:hint="eastAsia" w:ascii="Arial" w:hAnsi="Arial" w:cs="Arial" w:eastAsiaTheme="minorEastAsia"/>
        <w:sz w:val="17"/>
        <w:szCs w:val="17"/>
      </w:rPr>
      <w:t>6</w:t>
    </w:r>
    <w:r>
      <w:rPr>
        <w:rFonts w:hint="eastAsia" w:ascii="汉仪中等线简" w:hAnsi="汉仪中黑简" w:eastAsia="汉仪中等线简" w:cs="汉仪中黑简"/>
        <w:sz w:val="17"/>
        <w:szCs w:val="17"/>
      </w:rPr>
      <w:t>年</w:t>
    </w:r>
    <w:r>
      <w:rPr>
        <w:rFonts w:ascii="汉仪中黑简" w:hAnsi="汉仪中黑简" w:eastAsia="汉仪中黑简" w:cs="汉仪中黑简"/>
        <w:color w:val="FF0000"/>
        <w:sz w:val="17"/>
        <w:szCs w:val="17"/>
      </w:rPr>
      <w:t>桑磊法考</w:t>
    </w:r>
    <w:r>
      <w:rPr>
        <w:rFonts w:hint="eastAsia" w:ascii="汉仪中黑简" w:hAnsi="汉仪中黑简" w:eastAsia="汉仪中黑简" w:cs="汉仪中黑简"/>
        <w:color w:val="FF0000"/>
        <w:sz w:val="17"/>
        <w:szCs w:val="17"/>
      </w:rPr>
      <w:t xml:space="preserve"> </w:t>
    </w:r>
    <w:r>
      <w:rPr>
        <w:rFonts w:hint="eastAsia" w:ascii="MS Mincho" w:hAnsi="MS Mincho" w:eastAsia="MS Mincho" w:cs="MS Mincho"/>
        <w:color w:val="FF0000"/>
        <w:position w:val="-5"/>
        <w:sz w:val="28"/>
        <w:szCs w:val="28"/>
      </w:rPr>
      <w:t>✍</w:t>
    </w:r>
    <w:r>
      <w:rPr>
        <w:rFonts w:ascii="汉仪中黑简" w:hAnsi="汉仪中黑简" w:eastAsia="汉仪中黑简" w:cs="汉仪中黑简"/>
        <w:color w:val="FF0000"/>
        <w:sz w:val="17"/>
        <w:szCs w:val="17"/>
      </w:rPr>
      <w:t xml:space="preserve"> 客观</w:t>
    </w:r>
    <w:r>
      <w:rPr>
        <w:rFonts w:hint="eastAsia" w:ascii="汉仪中黑简" w:hAnsi="汉仪中黑简" w:eastAsia="汉仪中黑简" w:cs="汉仪中黑简"/>
        <w:color w:val="FF0000"/>
        <w:sz w:val="17"/>
        <w:szCs w:val="17"/>
      </w:rPr>
      <w:t>题</w:t>
    </w:r>
    <w:r>
      <w:rPr>
        <w:rFonts w:hint="eastAsia" w:ascii="汉仪粗黑简" w:hAnsi="汉仪中黑简" w:eastAsia="汉仪粗黑简" w:cs="汉仪中黑简"/>
        <w:sz w:val="17"/>
        <w:szCs w:val="17"/>
      </w:rPr>
      <w:t>精华突破</w:t>
    </w:r>
    <w:r>
      <w:rPr>
        <w:rFonts w:hint="eastAsia" w:ascii="汉仪中黑简" w:hAnsi="汉仪中黑简" w:eastAsia="汉仪中黑简" w:cs="汉仪中黑简"/>
        <w:color w:val="FF0000"/>
        <w:sz w:val="17"/>
        <w:szCs w:val="17"/>
      </w:rPr>
      <w:t>内部讲义</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56C4E">
    <w:pP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1069A2"/>
    <w:rsid w:val="0E991A48"/>
    <w:rsid w:val="13575B73"/>
    <w:rsid w:val="1C304772"/>
    <w:rsid w:val="26B66BAE"/>
    <w:rsid w:val="4E2C25A9"/>
    <w:rsid w:val="5B3209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color w:val="000000"/>
      <w:kern w:val="2"/>
      <w:sz w:val="21"/>
      <w:szCs w:val="21"/>
      <w:lang w:val="en-US" w:eastAsia="zh-CN" w:bidi="ar-SA"/>
    </w:rPr>
  </w:style>
  <w:style w:type="paragraph" w:styleId="2">
    <w:name w:val="heading 6"/>
    <w:basedOn w:val="1"/>
    <w:next w:val="1"/>
    <w:semiHidden/>
    <w:unhideWhenUsed/>
    <w:qFormat/>
    <w:uiPriority w:val="0"/>
    <w:pPr>
      <w:keepNext/>
      <w:keepLines/>
      <w:spacing w:before="840" w:beforeLines="0" w:beforeAutospacing="0" w:after="664" w:afterLines="0" w:afterAutospacing="0" w:line="240" w:lineRule="auto"/>
      <w:outlineLvl w:val="5"/>
    </w:pPr>
    <w:rPr>
      <w:rFonts w:ascii="Arial" w:hAnsi="Arial" w:eastAsia="楷体"/>
      <w:b/>
      <w:sz w:val="18"/>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customStyle="1" w:styleId="6">
    <w:name w:val="网格型2"/>
    <w:basedOn w:val="4"/>
    <w:qFormat/>
    <w:uiPriority w:val="0"/>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8142</Words>
  <Characters>8207</Characters>
  <Lines>0</Lines>
  <Paragraphs>0</Paragraphs>
  <TotalTime>0</TotalTime>
  <ScaleCrop>false</ScaleCrop>
  <LinksUpToDate>false</LinksUpToDate>
  <CharactersWithSpaces>8221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2026-07-21T14:27:00Z</dcterms:created>
  <dc:creator>yjx</dc:creator>
  <cp:lastModifiedBy>yjx</cp:lastModifiedBy>
  <dcterms:modified xsi:type="dcterms:W3CDTF">2026-07-23T14:32:03Z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E27B4FD8689C445F85E321334FF1C3C2_13</vt:lpwstr>
  </property>
  <property fmtid="{D5CDD505-2E9C-101B-9397-08002B2CF9AE}" pid="4" name="KSOTemplateDocerSaveRecord">
    <vt:lpwstr>eyJoZGlkIjoiMzU1Yzg5MTNmMDUxMzE3MmE5ZDg2NDI0NjZlNWY3YjMiLCJ1c2VySWQiOiI3MzExMzM3NjgifQ==</vt:lpwstr>
  </property>
</Properties>
</file>