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4BFE7">
      <w:pPr>
        <w:tabs>
          <w:tab w:val="left" w:pos="420"/>
        </w:tabs>
        <w:spacing w:line="384" w:lineRule="exact"/>
        <w:ind w:firstLine="420" w:firstLineChars="200"/>
        <w:rPr>
          <w:rFonts w:hint="eastAsia" w:ascii="宋体" w:hAnsi="宋体" w:eastAsia="宋体" w:cs="宋体"/>
          <w:sz w:val="21"/>
          <w:szCs w:val="21"/>
        </w:rPr>
      </w:pPr>
    </w:p>
    <w:p w14:paraId="0247A424">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cs="宋体"/>
          <w:b/>
          <w:bCs/>
          <w:color w:val="000000" w:themeColor="text1"/>
          <w:sz w:val="24"/>
          <w:szCs w:val="24"/>
          <w:lang w:val="en-US" w:eastAsia="zh-CN"/>
          <w14:textFill>
            <w14:solidFill>
              <w14:schemeClr w14:val="tx1"/>
            </w14:solidFill>
          </w14:textFill>
        </w:rPr>
      </w:pPr>
      <w:bookmarkStart w:id="0" w:name="_Toc230599992"/>
      <w:r>
        <w:rPr>
          <w:rFonts w:hint="eastAsia" w:ascii="宋体" w:hAnsi="宋体" w:eastAsia="宋体" w:cs="宋体"/>
          <w:b/>
          <w:bCs/>
          <w:color w:val="000000" w:themeColor="text1"/>
          <w:sz w:val="24"/>
          <w:szCs w:val="24"/>
          <w:lang w:val="en-US" w:eastAsia="zh-CN"/>
          <w14:textFill>
            <w14:solidFill>
              <w14:schemeClr w14:val="tx1"/>
            </w14:solidFill>
          </w14:textFill>
        </w:rPr>
        <w:t>司法制度和法律职业道德</w:t>
      </w:r>
      <w:bookmarkEnd w:id="0"/>
    </w:p>
    <w:p w14:paraId="23EB4A80">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cs="宋体"/>
          <w:b/>
          <w:bCs/>
          <w:color w:val="000000" w:themeColor="text1"/>
          <w:sz w:val="24"/>
          <w:szCs w:val="24"/>
          <w:lang w:val="en-US" w:eastAsia="zh-CN"/>
          <w14:textFill>
            <w14:solidFill>
              <w14:schemeClr w14:val="tx1"/>
            </w14:solidFill>
          </w14:textFill>
        </w:rPr>
        <w:t>第二讲</w:t>
      </w:r>
    </w:p>
    <w:p w14:paraId="231E2066">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rPr>
      </w:pPr>
      <w:bookmarkStart w:id="1" w:name="_Toc230600002"/>
      <w:bookmarkStart w:id="2" w:name="_Toc27320_WPSOffice_Level1"/>
      <w:bookmarkStart w:id="3" w:name="_Toc9801"/>
      <w:r>
        <w:rPr>
          <w:rFonts w:hint="eastAsia" w:ascii="宋体" w:hAnsi="宋体" w:eastAsia="宋体" w:cs="宋体"/>
          <w:b/>
          <w:bCs/>
          <w:color w:val="000000" w:themeColor="text1"/>
          <w:sz w:val="24"/>
          <w:szCs w:val="24"/>
          <w:lang w:val="en-US" w:eastAsia="zh-CN"/>
          <w14:textFill>
            <w14:solidFill>
              <w14:schemeClr w14:val="tx1"/>
            </w14:solidFill>
          </w14:textFill>
        </w:rPr>
        <w:t>考点10  检察机关</w:t>
      </w:r>
      <w:bookmarkEnd w:id="1"/>
      <w:bookmarkEnd w:id="2"/>
      <w:bookmarkEnd w:id="3"/>
      <w:r>
        <w:rPr>
          <w:rFonts w:hint="eastAsia" w:cs="宋体"/>
          <w:b/>
          <w:bCs/>
          <w:color w:val="000000" w:themeColor="text1"/>
          <w:sz w:val="24"/>
          <w:szCs w:val="24"/>
          <w:lang w:val="en-US" w:eastAsia="zh-CN"/>
          <w14:textFill>
            <w14:solidFill>
              <w14:schemeClr w14:val="tx1"/>
            </w14:solidFill>
          </w14:textFill>
        </w:rPr>
        <w:t>（19:30—19:50）</w:t>
      </w:r>
    </w:p>
    <w:p w14:paraId="55CDB362">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一、检察机关的性质及领导体制</w:t>
      </w:r>
    </w:p>
    <w:p w14:paraId="4F6797A2">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我国检察机关是国家的法律监督机关。</w:t>
      </w:r>
    </w:p>
    <w:p w14:paraId="5431044E">
      <w:pPr>
        <w:tabs>
          <w:tab w:val="left" w:pos="420"/>
        </w:tabs>
        <w:spacing w:line="384" w:lineRule="exact"/>
        <w:ind w:firstLine="420" w:firstLineChars="200"/>
        <w:rPr>
          <w:rFonts w:hint="default" w:ascii="宋体" w:hAnsi="宋体" w:eastAsia="宋体" w:cs="宋体"/>
          <w:sz w:val="21"/>
          <w:szCs w:val="21"/>
          <w:lang w:val="en-US" w:eastAsia="zh-CN"/>
        </w:rPr>
      </w:pPr>
      <w:r>
        <w:rPr>
          <w:rFonts w:hint="eastAsia" w:ascii="宋体" w:hAnsi="宋体" w:eastAsia="宋体" w:cs="宋体"/>
          <w:sz w:val="21"/>
          <w:szCs w:val="21"/>
        </w:rPr>
        <w:t>检察院的领导体制</w:t>
      </w:r>
      <w:r>
        <w:rPr>
          <w:rFonts w:hint="eastAsia" w:cs="宋体"/>
          <w:sz w:val="21"/>
          <w:szCs w:val="21"/>
          <w:lang w:val="en-US" w:eastAsia="zh-CN"/>
        </w:rPr>
        <w:t>对外</w:t>
      </w:r>
      <w:r>
        <w:rPr>
          <w:rFonts w:hint="eastAsia" w:ascii="宋体" w:hAnsi="宋体" w:eastAsia="宋体" w:cs="宋体"/>
          <w:sz w:val="21"/>
          <w:szCs w:val="21"/>
        </w:rPr>
        <w:t>为</w:t>
      </w:r>
      <w:r>
        <w:rPr>
          <w:rFonts w:hint="eastAsia" w:ascii="宋体" w:hAnsi="宋体" w:eastAsia="宋体" w:cs="宋体"/>
          <w:b/>
          <w:bCs/>
          <w:color w:val="FF0000"/>
          <w:sz w:val="21"/>
          <w:szCs w:val="21"/>
        </w:rPr>
        <w:t>双重领导制</w:t>
      </w:r>
      <w:r>
        <w:rPr>
          <w:rFonts w:hint="eastAsia" w:ascii="宋体" w:hAnsi="宋体" w:eastAsia="宋体" w:cs="宋体"/>
          <w:sz w:val="21"/>
          <w:szCs w:val="21"/>
        </w:rPr>
        <w:t>。地方各级人民检察院对产生它的国家权力机关和</w:t>
      </w:r>
      <w:r>
        <w:rPr>
          <w:rFonts w:hint="eastAsia" w:ascii="宋体" w:hAnsi="宋体" w:eastAsia="宋体" w:cs="宋体"/>
          <w:b/>
          <w:bCs/>
          <w:sz w:val="21"/>
          <w:szCs w:val="21"/>
        </w:rPr>
        <w:t>上级人民检察院负责</w:t>
      </w:r>
      <w:r>
        <w:rPr>
          <w:rFonts w:hint="eastAsia" w:ascii="宋体" w:hAnsi="宋体" w:eastAsia="宋体" w:cs="宋体"/>
          <w:sz w:val="21"/>
          <w:szCs w:val="21"/>
        </w:rPr>
        <w:t>。</w:t>
      </w:r>
    </w:p>
    <w:p w14:paraId="777F1819">
      <w:pPr>
        <w:tabs>
          <w:tab w:val="left" w:pos="420"/>
        </w:tabs>
        <w:spacing w:line="384" w:lineRule="exact"/>
        <w:ind w:firstLine="420" w:firstLineChars="200"/>
        <w:rPr>
          <w:rFonts w:hint="eastAsia" w:ascii="宋体" w:hAnsi="宋体" w:eastAsia="宋体" w:cs="宋体"/>
          <w:sz w:val="21"/>
          <w:szCs w:val="21"/>
        </w:rPr>
      </w:pPr>
      <w:r>
        <w:rPr>
          <w:rFonts w:hint="eastAsia" w:cs="宋体"/>
          <w:sz w:val="21"/>
          <w:szCs w:val="21"/>
          <w:lang w:eastAsia="zh-CN"/>
        </w:rPr>
        <w:t>【</w:t>
      </w:r>
      <w:r>
        <w:rPr>
          <w:rFonts w:hint="eastAsia" w:cs="宋体"/>
          <w:sz w:val="21"/>
          <w:szCs w:val="21"/>
          <w:lang w:val="en-US" w:eastAsia="zh-CN"/>
        </w:rPr>
        <w:t>检察一体化原则</w:t>
      </w:r>
      <w:r>
        <w:rPr>
          <w:rFonts w:hint="eastAsia" w:cs="宋体"/>
          <w:sz w:val="21"/>
          <w:szCs w:val="21"/>
          <w:lang w:eastAsia="zh-CN"/>
        </w:rPr>
        <w:t>】</w:t>
      </w:r>
      <w:r>
        <w:rPr>
          <w:rFonts w:hint="eastAsia" w:cs="宋体"/>
          <w:sz w:val="21"/>
          <w:szCs w:val="21"/>
          <w:lang w:val="en-US" w:eastAsia="zh-CN"/>
        </w:rPr>
        <w:t>天下检察本一家，检察院与检察官之间是相互补位、相互承继的。</w:t>
      </w:r>
    </w:p>
    <w:p w14:paraId="79EF755F">
      <w:pPr>
        <w:spacing w:line="384" w:lineRule="exact"/>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二、人民检察院的设置和职权</w:t>
      </w:r>
    </w:p>
    <w:p w14:paraId="7276C0A2">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（一）人民检察院的设置</w:t>
      </w:r>
    </w:p>
    <w:p w14:paraId="4A687E1C">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省级人民检察院和设区的市级人民检察院根据检察工作需要，经</w:t>
      </w:r>
      <w:r>
        <w:rPr>
          <w:rFonts w:hint="eastAsia" w:ascii="宋体" w:hAnsi="宋体" w:eastAsia="宋体" w:cs="宋体"/>
          <w:b/>
          <w:bCs/>
          <w:sz w:val="21"/>
          <w:szCs w:val="21"/>
        </w:rPr>
        <w:t>最高人民检察院和省级有关部门同意</w:t>
      </w:r>
      <w:r>
        <w:rPr>
          <w:rFonts w:hint="eastAsia" w:ascii="宋体" w:hAnsi="宋体" w:eastAsia="宋体" w:cs="宋体"/>
          <w:sz w:val="21"/>
          <w:szCs w:val="21"/>
        </w:rPr>
        <w:t>，并</w:t>
      </w:r>
      <w:r>
        <w:rPr>
          <w:rFonts w:hint="eastAsia" w:ascii="宋体" w:hAnsi="宋体" w:eastAsia="宋体" w:cs="宋体"/>
          <w:b/>
          <w:bCs/>
          <w:sz w:val="21"/>
          <w:szCs w:val="21"/>
        </w:rPr>
        <w:t>提请</w:t>
      </w:r>
      <w:r>
        <w:rPr>
          <w:rFonts w:hint="eastAsia" w:ascii="宋体" w:hAnsi="宋体" w:eastAsia="宋体" w:cs="宋体"/>
          <w:b/>
          <w:bCs/>
          <w:color w:val="FF0000"/>
          <w:sz w:val="21"/>
          <w:szCs w:val="21"/>
        </w:rPr>
        <w:t>本级</w:t>
      </w:r>
      <w:r>
        <w:rPr>
          <w:rFonts w:hint="eastAsia" w:ascii="宋体" w:hAnsi="宋体" w:eastAsia="宋体" w:cs="宋体"/>
          <w:b/>
          <w:bCs/>
          <w:sz w:val="21"/>
          <w:szCs w:val="21"/>
        </w:rPr>
        <w:t>人民代表大会常务委员会批准</w:t>
      </w:r>
      <w:r>
        <w:rPr>
          <w:rFonts w:hint="eastAsia" w:ascii="宋体" w:hAnsi="宋体" w:eastAsia="宋体" w:cs="宋体"/>
          <w:sz w:val="21"/>
          <w:szCs w:val="21"/>
        </w:rPr>
        <w:t>，可以在辖区内特定区域设立人民检察院，作为派出机构</w:t>
      </w:r>
      <w:r>
        <w:rPr>
          <w:rFonts w:hint="eastAsia" w:cs="宋体"/>
          <w:sz w:val="21"/>
          <w:szCs w:val="21"/>
          <w:lang w:eastAsia="zh-CN"/>
        </w:rPr>
        <w:t>（</w:t>
      </w:r>
      <w:r>
        <w:rPr>
          <w:rFonts w:hint="eastAsia" w:ascii="宋体" w:hAnsi="宋体" w:eastAsia="宋体" w:cs="宋体"/>
          <w:sz w:val="21"/>
          <w:szCs w:val="21"/>
        </w:rPr>
        <w:t>基层人民检察院不得设立派出机构</w:t>
      </w:r>
      <w:r>
        <w:rPr>
          <w:rFonts w:hint="eastAsia" w:cs="宋体"/>
          <w:sz w:val="21"/>
          <w:szCs w:val="21"/>
          <w:lang w:eastAsia="zh-CN"/>
        </w:rPr>
        <w:t>）。</w:t>
      </w:r>
    </w:p>
    <w:p w14:paraId="0B59ABCA">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检察院可以在监狱、看守所等场所</w:t>
      </w:r>
      <w:r>
        <w:rPr>
          <w:rFonts w:hint="eastAsia" w:ascii="宋体" w:hAnsi="宋体" w:eastAsia="宋体" w:cs="宋体"/>
          <w:b/>
          <w:bCs/>
          <w:color w:val="FF0000"/>
          <w:sz w:val="21"/>
          <w:szCs w:val="21"/>
        </w:rPr>
        <w:t>设立检察室</w:t>
      </w:r>
      <w:r>
        <w:rPr>
          <w:rFonts w:hint="eastAsia" w:ascii="宋体" w:hAnsi="宋体" w:eastAsia="宋体" w:cs="宋体"/>
          <w:sz w:val="21"/>
          <w:szCs w:val="21"/>
        </w:rPr>
        <w:t>。省级人民检察院设立检察室，应当经</w:t>
      </w:r>
      <w:r>
        <w:rPr>
          <w:rFonts w:hint="eastAsia" w:ascii="宋体" w:hAnsi="宋体" w:eastAsia="宋体" w:cs="宋体"/>
          <w:b/>
          <w:bCs/>
          <w:color w:val="FF0000"/>
          <w:sz w:val="21"/>
          <w:szCs w:val="21"/>
        </w:rPr>
        <w:t>最高人民检察院和省级有关部门</w:t>
      </w:r>
      <w:r>
        <w:rPr>
          <w:rFonts w:hint="eastAsia" w:ascii="宋体" w:hAnsi="宋体" w:eastAsia="宋体" w:cs="宋体"/>
          <w:sz w:val="21"/>
          <w:szCs w:val="21"/>
        </w:rPr>
        <w:t>同意。设区的市级人民检察院、基层人民检察院设立检察室，应当经</w:t>
      </w:r>
      <w:r>
        <w:rPr>
          <w:rFonts w:hint="eastAsia" w:ascii="宋体" w:hAnsi="宋体" w:eastAsia="宋体" w:cs="宋体"/>
          <w:b/>
          <w:bCs/>
          <w:color w:val="FF0000"/>
          <w:sz w:val="21"/>
          <w:szCs w:val="21"/>
        </w:rPr>
        <w:t>省级人民检察院和省级有关部门</w:t>
      </w:r>
      <w:r>
        <w:rPr>
          <w:rFonts w:hint="eastAsia" w:ascii="宋体" w:hAnsi="宋体" w:eastAsia="宋体" w:cs="宋体"/>
          <w:sz w:val="21"/>
          <w:szCs w:val="21"/>
        </w:rPr>
        <w:t>同意。</w:t>
      </w:r>
    </w:p>
    <w:p w14:paraId="3AAC51A2">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（二）人民检察院的职权</w:t>
      </w:r>
      <w:r>
        <w:rPr>
          <w:rFonts w:hint="eastAsia" w:cs="宋体"/>
          <w:b/>
          <w:bCs w:val="0"/>
          <w:color w:val="auto"/>
          <w:sz w:val="21"/>
          <w:szCs w:val="21"/>
          <w:lang w:eastAsia="zh-CN"/>
        </w:rPr>
        <w:t>：</w:t>
      </w:r>
      <w:r>
        <w:rPr>
          <w:rFonts w:hint="eastAsia" w:ascii="宋体" w:hAnsi="宋体" w:eastAsia="宋体" w:cs="宋体"/>
          <w:sz w:val="21"/>
          <w:szCs w:val="21"/>
        </w:rPr>
        <w:t>抗诉、提出纠正意见和检察建议</w:t>
      </w:r>
      <w:r>
        <w:rPr>
          <w:rFonts w:hint="eastAsia" w:cs="宋体"/>
          <w:sz w:val="21"/>
          <w:szCs w:val="21"/>
          <w:lang w:eastAsia="zh-CN"/>
        </w:rPr>
        <w:t>。</w:t>
      </w:r>
      <w:r>
        <w:rPr>
          <w:rFonts w:hint="eastAsia" w:ascii="宋体" w:hAnsi="宋体" w:eastAsia="宋体" w:cs="宋体"/>
          <w:sz w:val="21"/>
          <w:szCs w:val="21"/>
        </w:rPr>
        <w:t>下级人民检察院应当执行上级人民检察院的决定；有不同意见的，可以在执行的同时向上级人民检察院报告。</w:t>
      </w:r>
    </w:p>
    <w:p w14:paraId="73290713">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三、人民检察院的办案组织</w:t>
      </w:r>
    </w:p>
    <w:p w14:paraId="7D3A0AB2">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（一）独任办理或办案组</w:t>
      </w:r>
    </w:p>
    <w:p w14:paraId="36B94739">
      <w:pPr>
        <w:tabs>
          <w:tab w:val="left" w:pos="420"/>
        </w:tabs>
        <w:spacing w:line="384" w:lineRule="exact"/>
        <w:ind w:left="420" w:leftChars="200" w:right="420" w:rightChars="200"/>
        <w:rPr>
          <w:rFonts w:hint="eastAsia" w:ascii="宋体" w:hAnsi="宋体" w:eastAsia="宋体" w:cs="宋体"/>
          <w:spacing w:val="-3"/>
          <w:sz w:val="21"/>
          <w:szCs w:val="21"/>
        </w:rPr>
      </w:pPr>
      <w:r>
        <w:rPr>
          <w:rFonts w:hint="eastAsia" w:ascii="宋体" w:hAnsi="宋体" w:eastAsia="宋体" w:cs="宋体"/>
          <w:spacing w:val="-3"/>
          <w:sz w:val="21"/>
          <w:szCs w:val="21"/>
        </w:rPr>
        <w:t>1．检察院办理案件，可以由检察官独任办理，也可以由两名以上检察官组成办案组办理；</w:t>
      </w:r>
    </w:p>
    <w:p w14:paraId="5A240E33">
      <w:pPr>
        <w:tabs>
          <w:tab w:val="left" w:pos="420"/>
        </w:tabs>
        <w:spacing w:line="384" w:lineRule="exact"/>
        <w:ind w:right="420" w:rightChars="200" w:firstLine="420" w:firstLineChars="200"/>
        <w:rPr>
          <w:rFonts w:hint="eastAsia" w:ascii="宋体" w:hAnsi="宋体" w:eastAsia="宋体" w:cs="宋体"/>
          <w:sz w:val="21"/>
          <w:szCs w:val="21"/>
        </w:rPr>
      </w:pPr>
      <w:r>
        <w:rPr>
          <w:rFonts w:hint="eastAsia" w:ascii="宋体" w:hAnsi="宋体" w:eastAsia="宋体" w:cs="宋体"/>
          <w:sz w:val="21"/>
          <w:szCs w:val="21"/>
        </w:rPr>
        <w:t>2．检察官在检察长领导下开展工作，重大办案事项由检察长决定。检察长可以将部分职权委托检察官行使，可以</w:t>
      </w:r>
      <w:r>
        <w:rPr>
          <w:rFonts w:hint="eastAsia" w:ascii="宋体" w:hAnsi="宋体" w:eastAsia="宋体" w:cs="宋体"/>
          <w:b/>
          <w:bCs/>
          <w:color w:val="FF0000"/>
          <w:sz w:val="21"/>
          <w:szCs w:val="21"/>
        </w:rPr>
        <w:t>授权检察官签发法律文书</w:t>
      </w:r>
      <w:r>
        <w:rPr>
          <w:rFonts w:hint="eastAsia" w:ascii="宋体" w:hAnsi="宋体" w:eastAsia="宋体" w:cs="宋体"/>
          <w:sz w:val="21"/>
          <w:szCs w:val="21"/>
        </w:rPr>
        <w:t>。（不得委托检察官助理行使）</w:t>
      </w:r>
    </w:p>
    <w:p w14:paraId="439B2F71">
      <w:pPr>
        <w:spacing w:line="384" w:lineRule="exact"/>
        <w:ind w:firstLine="253" w:firstLineChars="120"/>
        <w:jc w:val="left"/>
        <w:rPr>
          <w:rFonts w:hint="eastAsia" w:ascii="宋体" w:hAnsi="宋体" w:eastAsia="宋体" w:cs="宋体"/>
          <w:color w:val="FF0000"/>
          <w:sz w:val="21"/>
          <w:szCs w:val="21"/>
        </w:rPr>
      </w:pPr>
      <w:r>
        <w:rPr>
          <w:rFonts w:hint="eastAsia" w:ascii="宋体" w:hAnsi="宋体" w:eastAsia="宋体" w:cs="宋体"/>
          <w:b/>
          <w:bCs w:val="0"/>
          <w:color w:val="auto"/>
          <w:sz w:val="21"/>
          <w:szCs w:val="21"/>
        </w:rPr>
        <w:t>（二）检察委员会</w:t>
      </w:r>
    </w:p>
    <w:p w14:paraId="3377CF14">
      <w:pPr>
        <w:tabs>
          <w:tab w:val="left" w:pos="420"/>
        </w:tabs>
        <w:spacing w:line="384" w:lineRule="exact"/>
        <w:ind w:left="420" w:leftChars="200" w:right="420" w:rightChars="200"/>
        <w:rPr>
          <w:rFonts w:hint="eastAsia" w:ascii="宋体" w:hAnsi="宋体" w:eastAsia="宋体" w:cs="宋体"/>
          <w:sz w:val="21"/>
          <w:szCs w:val="21"/>
        </w:rPr>
      </w:pPr>
      <w:r>
        <w:rPr>
          <w:rFonts w:hint="eastAsia" w:ascii="宋体" w:hAnsi="宋体" w:eastAsia="宋体" w:cs="宋体"/>
          <w:sz w:val="21"/>
          <w:szCs w:val="21"/>
        </w:rPr>
        <w:t>1．最高人民检察院发布司法解释、指导性案例，应当由</w:t>
      </w:r>
      <w:r>
        <w:rPr>
          <w:rFonts w:hint="eastAsia" w:ascii="宋体" w:hAnsi="宋体" w:eastAsia="宋体" w:cs="宋体"/>
          <w:b/>
          <w:bCs/>
          <w:color w:val="FF0000"/>
          <w:sz w:val="21"/>
          <w:szCs w:val="21"/>
        </w:rPr>
        <w:t>检察委员会</w:t>
      </w:r>
      <w:r>
        <w:rPr>
          <w:rFonts w:hint="eastAsia" w:ascii="宋体" w:hAnsi="宋体" w:eastAsia="宋体" w:cs="宋体"/>
          <w:sz w:val="21"/>
          <w:szCs w:val="21"/>
        </w:rPr>
        <w:t>讨论通过。</w:t>
      </w:r>
    </w:p>
    <w:p w14:paraId="1650019E">
      <w:pPr>
        <w:tabs>
          <w:tab w:val="left" w:pos="420"/>
        </w:tabs>
        <w:spacing w:line="384" w:lineRule="exact"/>
        <w:ind w:left="420" w:leftChars="200" w:right="420" w:rightChars="200"/>
        <w:rPr>
          <w:rFonts w:hint="eastAsia" w:ascii="宋体" w:hAnsi="宋体" w:eastAsia="宋体" w:cs="宋体"/>
          <w:sz w:val="21"/>
          <w:szCs w:val="21"/>
        </w:rPr>
      </w:pPr>
      <w:r>
        <w:rPr>
          <w:rFonts w:hint="eastAsia" w:ascii="宋体" w:hAnsi="宋体" w:eastAsia="宋体" w:cs="宋体"/>
          <w:sz w:val="21"/>
          <w:szCs w:val="21"/>
        </w:rPr>
        <w:t>2．检察委员会会议由检察长或者检察长委托的副检察长主持。</w:t>
      </w:r>
    </w:p>
    <w:p w14:paraId="165ACB97">
      <w:pPr>
        <w:tabs>
          <w:tab w:val="left" w:pos="420"/>
        </w:tabs>
        <w:spacing w:line="384" w:lineRule="exact"/>
        <w:ind w:right="420" w:rightChars="200" w:firstLine="420" w:firstLineChars="200"/>
        <w:rPr>
          <w:rFonts w:hint="eastAsia" w:ascii="宋体" w:hAnsi="宋体" w:eastAsia="宋体" w:cs="宋体"/>
          <w:sz w:val="21"/>
          <w:szCs w:val="21"/>
        </w:rPr>
      </w:pPr>
      <w:r>
        <w:rPr>
          <w:rFonts w:hint="eastAsia" w:ascii="宋体" w:hAnsi="宋体" w:eastAsia="宋体" w:cs="宋体"/>
          <w:sz w:val="21"/>
          <w:szCs w:val="21"/>
        </w:rPr>
        <w:t>3．地方各级人民检察院的检察长不同意本院检察委员会多数人的意见，属于</w:t>
      </w:r>
      <w:r>
        <w:rPr>
          <w:rFonts w:hint="eastAsia" w:ascii="宋体" w:hAnsi="宋体" w:eastAsia="宋体" w:cs="宋体"/>
          <w:b/>
          <w:bCs/>
          <w:color w:val="FF0000"/>
          <w:sz w:val="21"/>
          <w:szCs w:val="21"/>
        </w:rPr>
        <w:t>办理案件</w:t>
      </w:r>
      <w:r>
        <w:rPr>
          <w:rFonts w:hint="eastAsia" w:ascii="宋体" w:hAnsi="宋体" w:eastAsia="宋体" w:cs="宋体"/>
          <w:sz w:val="21"/>
          <w:szCs w:val="21"/>
        </w:rPr>
        <w:t>的，可以报请</w:t>
      </w:r>
      <w:r>
        <w:rPr>
          <w:rFonts w:hint="eastAsia" w:ascii="宋体" w:hAnsi="宋体" w:eastAsia="宋体" w:cs="宋体"/>
          <w:b/>
          <w:bCs/>
          <w:color w:val="FF0000"/>
          <w:sz w:val="21"/>
          <w:szCs w:val="21"/>
        </w:rPr>
        <w:t>上一级人民检察院决定</w:t>
      </w:r>
      <w:r>
        <w:rPr>
          <w:rFonts w:hint="eastAsia" w:ascii="宋体" w:hAnsi="宋体" w:eastAsia="宋体" w:cs="宋体"/>
          <w:sz w:val="21"/>
          <w:szCs w:val="21"/>
        </w:rPr>
        <w:t>；属于</w:t>
      </w:r>
      <w:r>
        <w:rPr>
          <w:rFonts w:hint="eastAsia" w:ascii="宋体" w:hAnsi="宋体" w:eastAsia="宋体" w:cs="宋体"/>
          <w:b/>
          <w:bCs/>
          <w:color w:val="FF0000"/>
          <w:sz w:val="21"/>
          <w:szCs w:val="21"/>
        </w:rPr>
        <w:t>重大事项</w:t>
      </w:r>
      <w:r>
        <w:rPr>
          <w:rFonts w:hint="eastAsia" w:ascii="宋体" w:hAnsi="宋体" w:eastAsia="宋体" w:cs="宋体"/>
          <w:sz w:val="21"/>
          <w:szCs w:val="21"/>
        </w:rPr>
        <w:t>的，可以报请</w:t>
      </w:r>
      <w:r>
        <w:rPr>
          <w:rFonts w:hint="eastAsia" w:ascii="宋体" w:hAnsi="宋体" w:eastAsia="宋体" w:cs="宋体"/>
          <w:b/>
          <w:bCs/>
          <w:color w:val="FF0000"/>
          <w:sz w:val="21"/>
          <w:szCs w:val="21"/>
        </w:rPr>
        <w:t>上一级人民检察院或者本级人民代表大会常务委员会决定</w:t>
      </w:r>
      <w:r>
        <w:rPr>
          <w:rFonts w:hint="eastAsia" w:ascii="宋体" w:hAnsi="宋体" w:eastAsia="宋体" w:cs="宋体"/>
          <w:sz w:val="21"/>
          <w:szCs w:val="21"/>
        </w:rPr>
        <w:t>。</w:t>
      </w:r>
    </w:p>
    <w:p w14:paraId="34411462">
      <w:pPr>
        <w:tabs>
          <w:tab w:val="left" w:pos="420"/>
        </w:tabs>
        <w:spacing w:line="384" w:lineRule="exact"/>
        <w:ind w:right="420" w:rightChars="200" w:firstLine="420" w:firstLineChars="200"/>
        <w:rPr>
          <w:rFonts w:hint="eastAsia" w:ascii="宋体" w:hAnsi="宋体" w:eastAsia="宋体" w:cs="宋体"/>
          <w:sz w:val="21"/>
          <w:szCs w:val="21"/>
        </w:rPr>
      </w:pPr>
      <w:r>
        <w:rPr>
          <w:rFonts w:hint="eastAsia" w:ascii="宋体" w:hAnsi="宋体" w:eastAsia="宋体" w:cs="宋体"/>
          <w:sz w:val="21"/>
          <w:szCs w:val="21"/>
        </w:rPr>
        <w:t>4．检察官可以就重大案件和其他重大问题，提请检察长决定。检察长可以根据案件情况，提交检察委员会讨论决定。</w:t>
      </w:r>
    </w:p>
    <w:p w14:paraId="3FB7B3BE">
      <w:pPr>
        <w:tabs>
          <w:tab w:val="left" w:pos="420"/>
        </w:tabs>
        <w:spacing w:line="384" w:lineRule="exact"/>
        <w:ind w:right="420" w:rightChars="200" w:firstLine="420" w:firstLineChars="200"/>
        <w:rPr>
          <w:rFonts w:hint="eastAsia" w:ascii="宋体" w:hAnsi="宋体" w:eastAsia="宋体" w:cs="宋体"/>
          <w:sz w:val="21"/>
          <w:szCs w:val="21"/>
        </w:rPr>
      </w:pPr>
      <w:r>
        <w:rPr>
          <w:rFonts w:hint="eastAsia" w:ascii="宋体" w:hAnsi="宋体" w:eastAsia="宋体" w:cs="宋体"/>
          <w:sz w:val="21"/>
          <w:szCs w:val="21"/>
        </w:rPr>
        <w:t>5．检察委员会讨论案件，检察官对其</w:t>
      </w:r>
      <w:r>
        <w:rPr>
          <w:rFonts w:hint="eastAsia" w:ascii="宋体" w:hAnsi="宋体" w:eastAsia="宋体" w:cs="宋体"/>
          <w:b/>
          <w:bCs/>
          <w:color w:val="FF0000"/>
          <w:sz w:val="21"/>
          <w:szCs w:val="21"/>
        </w:rPr>
        <w:t>汇报的事实</w:t>
      </w:r>
      <w:r>
        <w:rPr>
          <w:rFonts w:hint="eastAsia" w:ascii="宋体" w:hAnsi="宋体" w:eastAsia="宋体" w:cs="宋体"/>
          <w:sz w:val="21"/>
          <w:szCs w:val="21"/>
        </w:rPr>
        <w:t>负责，检察委员会委员对</w:t>
      </w:r>
      <w:r>
        <w:rPr>
          <w:rFonts w:hint="eastAsia" w:ascii="宋体" w:hAnsi="宋体" w:eastAsia="宋体" w:cs="宋体"/>
          <w:b/>
          <w:bCs/>
          <w:color w:val="FF0000"/>
          <w:sz w:val="21"/>
          <w:szCs w:val="21"/>
        </w:rPr>
        <w:t>本人发表的意见和表决</w:t>
      </w:r>
      <w:r>
        <w:rPr>
          <w:rFonts w:hint="eastAsia" w:ascii="宋体" w:hAnsi="宋体" w:eastAsia="宋体" w:cs="宋体"/>
          <w:sz w:val="21"/>
          <w:szCs w:val="21"/>
        </w:rPr>
        <w:t>负责。检察委员会的决定，检察官</w:t>
      </w:r>
      <w:r>
        <w:rPr>
          <w:rFonts w:hint="eastAsia" w:ascii="宋体" w:hAnsi="宋体" w:eastAsia="宋体" w:cs="宋体"/>
          <w:b/>
          <w:bCs/>
          <w:color w:val="FF0000"/>
          <w:sz w:val="21"/>
          <w:szCs w:val="21"/>
        </w:rPr>
        <w:t>应当执行</w:t>
      </w:r>
      <w:r>
        <w:rPr>
          <w:rFonts w:hint="eastAsia" w:ascii="宋体" w:hAnsi="宋体" w:eastAsia="宋体" w:cs="宋体"/>
          <w:sz w:val="21"/>
          <w:szCs w:val="21"/>
        </w:rPr>
        <w:t>。</w:t>
      </w:r>
    </w:p>
    <w:p w14:paraId="05774616">
      <w:pPr>
        <w:tabs>
          <w:tab w:val="left" w:pos="420"/>
        </w:tabs>
        <w:spacing w:line="360" w:lineRule="exact"/>
        <w:ind w:firstLine="420" w:firstLineChars="200"/>
        <w:rPr>
          <w:rFonts w:hint="eastAsia" w:ascii="宋体" w:hAnsi="宋体" w:eastAsia="宋体" w:cs="宋体"/>
          <w:color w:val="FF0000"/>
          <w:sz w:val="21"/>
          <w:szCs w:val="21"/>
        </w:rPr>
      </w:pPr>
    </w:p>
    <w:p w14:paraId="282E7DB6">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bookmarkStart w:id="4" w:name="_Toc22203"/>
      <w:bookmarkStart w:id="5" w:name="_Toc230600003"/>
      <w:bookmarkStart w:id="6" w:name="_Toc12128_WPSOffice_Level1"/>
      <w:r>
        <w:rPr>
          <w:rFonts w:hint="eastAsia" w:ascii="宋体" w:hAnsi="宋体" w:eastAsia="宋体" w:cs="宋体"/>
          <w:b/>
          <w:bCs/>
          <w:color w:val="000000" w:themeColor="text1"/>
          <w:sz w:val="24"/>
          <w:szCs w:val="24"/>
          <w:lang w:val="en-US" w:eastAsia="zh-CN"/>
          <w14:textFill>
            <w14:solidFill>
              <w14:schemeClr w14:val="tx1"/>
            </w14:solidFill>
          </w14:textFill>
        </w:rPr>
        <w:t>考点11  检察官</w:t>
      </w:r>
      <w:bookmarkEnd w:id="4"/>
      <w:bookmarkEnd w:id="5"/>
      <w:bookmarkEnd w:id="6"/>
      <w:r>
        <w:rPr>
          <w:rFonts w:hint="eastAsia" w:cs="宋体"/>
          <w:b/>
          <w:bCs/>
          <w:color w:val="000000" w:themeColor="text1"/>
          <w:sz w:val="24"/>
          <w:szCs w:val="24"/>
          <w:lang w:val="en-US" w:eastAsia="zh-CN"/>
          <w14:textFill>
            <w14:solidFill>
              <w14:schemeClr w14:val="tx1"/>
            </w14:solidFill>
          </w14:textFill>
        </w:rPr>
        <w:t>（19:51—19:53）</w:t>
      </w:r>
    </w:p>
    <w:p w14:paraId="1A99734E">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一、检察官的选任</w:t>
      </w:r>
    </w:p>
    <w:p w14:paraId="0BE9360E">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初任检察官应当由</w:t>
      </w:r>
      <w:r>
        <w:rPr>
          <w:rFonts w:hint="eastAsia" w:ascii="宋体" w:hAnsi="宋体" w:eastAsia="宋体" w:cs="宋体"/>
          <w:b/>
          <w:bCs/>
          <w:color w:val="FF0000"/>
          <w:sz w:val="21"/>
          <w:szCs w:val="21"/>
        </w:rPr>
        <w:t>检察官遴选委员会</w:t>
      </w:r>
      <w:r>
        <w:rPr>
          <w:rFonts w:hint="eastAsia" w:ascii="宋体" w:hAnsi="宋体" w:eastAsia="宋体" w:cs="宋体"/>
          <w:sz w:val="21"/>
          <w:szCs w:val="21"/>
        </w:rPr>
        <w:t>进行专业能力审核。上级人民检察院的检察官一般从下级人民检察院的检察官中择优遴选。</w:t>
      </w:r>
    </w:p>
    <w:p w14:paraId="0CCB6BD7">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检察长应当具有</w:t>
      </w:r>
      <w:r>
        <w:rPr>
          <w:rFonts w:hint="eastAsia" w:ascii="宋体" w:hAnsi="宋体" w:eastAsia="宋体" w:cs="宋体"/>
          <w:b/>
          <w:bCs/>
          <w:color w:val="FF0000"/>
          <w:sz w:val="21"/>
          <w:szCs w:val="21"/>
        </w:rPr>
        <w:t>法学专业知识和法律职业经历</w:t>
      </w:r>
      <w:r>
        <w:rPr>
          <w:rFonts w:hint="eastAsia" w:ascii="宋体" w:hAnsi="宋体" w:eastAsia="宋体" w:cs="宋体"/>
          <w:sz w:val="21"/>
          <w:szCs w:val="21"/>
        </w:rPr>
        <w:t>。副检察长、检察委员会委员应当从</w:t>
      </w:r>
      <w:r>
        <w:rPr>
          <w:rFonts w:hint="eastAsia" w:ascii="宋体" w:hAnsi="宋体" w:eastAsia="宋体" w:cs="宋体"/>
          <w:b/>
          <w:bCs/>
          <w:color w:val="FF0000"/>
          <w:sz w:val="21"/>
          <w:szCs w:val="21"/>
        </w:rPr>
        <w:t>检察官、法官或者其他具备检察官、法官条件的人员</w:t>
      </w:r>
      <w:r>
        <w:rPr>
          <w:rFonts w:hint="eastAsia" w:ascii="宋体" w:hAnsi="宋体" w:eastAsia="宋体" w:cs="宋体"/>
          <w:sz w:val="21"/>
          <w:szCs w:val="21"/>
        </w:rPr>
        <w:t>中产生。</w:t>
      </w:r>
    </w:p>
    <w:p w14:paraId="72F4C5C8">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人民检察院的检察官助理在检察官指导下负责审查案件材料、草拟法律文书等检察辅助事务。符合检察官任职条件的检察官助理，经遴选后可以按照检察官任免程序任命为检察官。</w:t>
      </w:r>
    </w:p>
    <w:p w14:paraId="4126A182">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二、检察院设立的委员会</w:t>
      </w:r>
    </w:p>
    <w:p w14:paraId="020ED36B">
      <w:pPr>
        <w:tabs>
          <w:tab w:val="left" w:pos="420"/>
        </w:tabs>
        <w:spacing w:line="384" w:lineRule="exact"/>
        <w:ind w:firstLine="422" w:firstLineChars="200"/>
        <w:rPr>
          <w:rFonts w:hint="eastAsia" w:ascii="宋体" w:hAnsi="宋体" w:eastAsia="宋体" w:cs="宋体"/>
          <w:sz w:val="21"/>
          <w:szCs w:val="21"/>
          <w:lang w:eastAsia="zh-CN"/>
        </w:rPr>
      </w:pPr>
      <w:r>
        <w:rPr>
          <w:rFonts w:hint="eastAsia" w:ascii="宋体" w:hAnsi="宋体" w:eastAsia="宋体" w:cs="宋体"/>
          <w:b/>
          <w:bCs/>
          <w:sz w:val="21"/>
          <w:szCs w:val="21"/>
          <w:lang w:eastAsia="zh-CN"/>
        </w:rPr>
        <w:t>（</w:t>
      </w:r>
      <w:r>
        <w:rPr>
          <w:rFonts w:hint="eastAsia" w:cs="宋体"/>
          <w:b/>
          <w:bCs/>
          <w:sz w:val="21"/>
          <w:szCs w:val="21"/>
          <w:lang w:val="en-US" w:eastAsia="zh-CN"/>
        </w:rPr>
        <w:t>一</w:t>
      </w:r>
      <w:r>
        <w:rPr>
          <w:rFonts w:hint="eastAsia" w:ascii="宋体" w:hAnsi="宋体" w:eastAsia="宋体" w:cs="宋体"/>
          <w:b/>
          <w:bCs/>
          <w:sz w:val="21"/>
          <w:szCs w:val="21"/>
          <w:lang w:eastAsia="zh-CN"/>
        </w:rPr>
        <w:t>）</w:t>
      </w:r>
      <w:r>
        <w:rPr>
          <w:rFonts w:hint="eastAsia" w:ascii="宋体" w:hAnsi="宋体" w:eastAsia="宋体" w:cs="宋体"/>
          <w:b/>
          <w:bCs/>
          <w:sz w:val="21"/>
          <w:szCs w:val="21"/>
        </w:rPr>
        <w:t>检察官遴选委员会</w:t>
      </w:r>
      <w:r>
        <w:rPr>
          <w:rFonts w:hint="eastAsia" w:cs="宋体"/>
          <w:sz w:val="21"/>
          <w:szCs w:val="21"/>
          <w:lang w:eastAsia="zh-CN"/>
        </w:rPr>
        <w:t>：</w:t>
      </w:r>
      <w:r>
        <w:rPr>
          <w:rFonts w:hint="eastAsia" w:ascii="宋体" w:hAnsi="宋体" w:eastAsia="宋体" w:cs="宋体"/>
          <w:sz w:val="21"/>
          <w:szCs w:val="21"/>
        </w:rPr>
        <w:t>最高检察院和省级检察院</w:t>
      </w:r>
      <w:r>
        <w:rPr>
          <w:rFonts w:hint="eastAsia" w:cs="宋体"/>
          <w:sz w:val="21"/>
          <w:szCs w:val="21"/>
          <w:lang w:eastAsia="zh-CN"/>
        </w:rPr>
        <w:t>（</w:t>
      </w:r>
      <w:r>
        <w:rPr>
          <w:rFonts w:hint="eastAsia" w:ascii="宋体" w:hAnsi="宋体" w:eastAsia="宋体" w:cs="宋体"/>
          <w:sz w:val="21"/>
          <w:szCs w:val="21"/>
        </w:rPr>
        <w:t>省级的组成人员应包括地方各级检察院检察官代表、其他从事法律职业的人员和有关方面代表，其中检察官代表不少于1/3</w:t>
      </w:r>
      <w:r>
        <w:rPr>
          <w:rFonts w:hint="eastAsia" w:cs="宋体"/>
          <w:sz w:val="21"/>
          <w:szCs w:val="21"/>
          <w:lang w:eastAsia="zh-CN"/>
        </w:rPr>
        <w:t>）</w:t>
      </w:r>
    </w:p>
    <w:p w14:paraId="710263A4">
      <w:pPr>
        <w:tabs>
          <w:tab w:val="left" w:pos="420"/>
        </w:tabs>
        <w:spacing w:line="384" w:lineRule="exact"/>
        <w:ind w:firstLine="422" w:firstLineChars="200"/>
        <w:rPr>
          <w:rFonts w:hint="eastAsia" w:eastAsia="宋体" w:cs="宋体"/>
          <w:sz w:val="21"/>
          <w:szCs w:val="21"/>
          <w:lang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二</w:t>
      </w:r>
      <w:r>
        <w:rPr>
          <w:rFonts w:hint="eastAsia" w:ascii="宋体" w:hAnsi="宋体" w:eastAsia="宋体" w:cs="宋体"/>
          <w:b/>
          <w:bCs/>
          <w:sz w:val="21"/>
          <w:szCs w:val="21"/>
          <w:lang w:eastAsia="zh-CN"/>
        </w:rPr>
        <w:t>）检察官考评委员会</w:t>
      </w:r>
      <w:r>
        <w:rPr>
          <w:rFonts w:hint="eastAsia" w:cs="宋体"/>
          <w:sz w:val="21"/>
          <w:szCs w:val="21"/>
          <w:lang w:eastAsia="zh-CN"/>
        </w:rPr>
        <w:t>：</w:t>
      </w:r>
      <w:r>
        <w:rPr>
          <w:rFonts w:hint="eastAsia" w:ascii="宋体" w:hAnsi="宋体" w:eastAsia="宋体" w:cs="宋体"/>
          <w:sz w:val="21"/>
          <w:szCs w:val="21"/>
        </w:rPr>
        <w:t>各级检察院</w:t>
      </w:r>
      <w:r>
        <w:rPr>
          <w:rFonts w:hint="eastAsia" w:cs="宋体"/>
          <w:sz w:val="21"/>
          <w:szCs w:val="21"/>
          <w:lang w:eastAsia="zh-CN"/>
        </w:rPr>
        <w:t>（</w:t>
      </w:r>
      <w:r>
        <w:rPr>
          <w:rFonts w:hint="eastAsia" w:ascii="宋体" w:hAnsi="宋体" w:eastAsia="宋体" w:cs="宋体"/>
          <w:sz w:val="21"/>
          <w:szCs w:val="21"/>
        </w:rPr>
        <w:t>组成人员5-9人，主任由本院检察长担任</w:t>
      </w:r>
      <w:r>
        <w:rPr>
          <w:rFonts w:hint="eastAsia" w:cs="宋体"/>
          <w:sz w:val="21"/>
          <w:szCs w:val="21"/>
          <w:lang w:eastAsia="zh-CN"/>
        </w:rPr>
        <w:t>）</w:t>
      </w:r>
    </w:p>
    <w:p w14:paraId="2AB22311">
      <w:pPr>
        <w:tabs>
          <w:tab w:val="left" w:pos="420"/>
        </w:tabs>
        <w:spacing w:line="384" w:lineRule="exact"/>
        <w:ind w:firstLine="422" w:firstLineChars="200"/>
        <w:rPr>
          <w:rFonts w:hint="eastAsia" w:eastAsia="宋体" w:cs="宋体"/>
          <w:sz w:val="21"/>
          <w:szCs w:val="21"/>
          <w:lang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三</w:t>
      </w:r>
      <w:r>
        <w:rPr>
          <w:rFonts w:hint="eastAsia" w:ascii="宋体" w:hAnsi="宋体" w:eastAsia="宋体" w:cs="宋体"/>
          <w:b/>
          <w:bCs/>
          <w:sz w:val="21"/>
          <w:szCs w:val="21"/>
          <w:lang w:eastAsia="zh-CN"/>
        </w:rPr>
        <w:t>）检察官惩戒委员会</w:t>
      </w:r>
      <w:r>
        <w:rPr>
          <w:rFonts w:hint="eastAsia" w:cs="宋体"/>
          <w:sz w:val="21"/>
          <w:szCs w:val="21"/>
          <w:lang w:eastAsia="zh-CN"/>
        </w:rPr>
        <w:t>：</w:t>
      </w:r>
      <w:r>
        <w:rPr>
          <w:rFonts w:hint="eastAsia" w:ascii="宋体" w:hAnsi="宋体" w:eastAsia="宋体" w:cs="宋体"/>
          <w:sz w:val="21"/>
          <w:szCs w:val="21"/>
        </w:rPr>
        <w:t>最高检察院和省级检察院</w:t>
      </w:r>
      <w:r>
        <w:rPr>
          <w:rFonts w:hint="eastAsia" w:cs="宋体"/>
          <w:sz w:val="21"/>
          <w:szCs w:val="21"/>
          <w:lang w:eastAsia="zh-CN"/>
        </w:rPr>
        <w:t>（</w:t>
      </w:r>
      <w:r>
        <w:rPr>
          <w:rFonts w:hint="eastAsia" w:ascii="宋体" w:hAnsi="宋体" w:eastAsia="宋体" w:cs="宋体"/>
          <w:sz w:val="21"/>
          <w:szCs w:val="21"/>
        </w:rPr>
        <w:t>由检察官代表、其他从事法律职业的人员和有关方面代表组成，其中检察官代表不少于1/2</w:t>
      </w:r>
      <w:r>
        <w:rPr>
          <w:rFonts w:hint="eastAsia" w:cs="宋体"/>
          <w:sz w:val="21"/>
          <w:szCs w:val="21"/>
          <w:lang w:eastAsia="zh-CN"/>
        </w:rPr>
        <w:t>）</w:t>
      </w:r>
    </w:p>
    <w:p w14:paraId="402A8370">
      <w:pPr>
        <w:tabs>
          <w:tab w:val="left" w:pos="420"/>
        </w:tabs>
        <w:spacing w:line="384" w:lineRule="exact"/>
        <w:ind w:firstLine="422" w:firstLineChars="200"/>
        <w:rPr>
          <w:rFonts w:hint="eastAsia" w:eastAsia="宋体" w:cs="宋体"/>
          <w:sz w:val="21"/>
          <w:szCs w:val="21"/>
          <w:lang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lang w:eastAsia="zh-CN"/>
        </w:rPr>
        <w:t>）检察官权益保障委员会</w:t>
      </w:r>
      <w:r>
        <w:rPr>
          <w:rFonts w:hint="eastAsia" w:cs="宋体"/>
          <w:sz w:val="21"/>
          <w:szCs w:val="21"/>
          <w:lang w:eastAsia="zh-CN"/>
        </w:rPr>
        <w:t>：</w:t>
      </w:r>
      <w:r>
        <w:rPr>
          <w:rFonts w:hint="eastAsia" w:ascii="宋体" w:hAnsi="宋体" w:eastAsia="宋体" w:cs="宋体"/>
          <w:sz w:val="21"/>
          <w:szCs w:val="21"/>
        </w:rPr>
        <w:t>各级检察院</w:t>
      </w:r>
    </w:p>
    <w:p w14:paraId="6BD90590">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bookmarkStart w:id="7" w:name="_Toc2335_WPSOffice_Level1"/>
      <w:bookmarkStart w:id="8" w:name="_Toc230600004"/>
      <w:bookmarkStart w:id="9" w:name="_Toc28293"/>
      <w:r>
        <w:rPr>
          <w:rFonts w:hint="eastAsia" w:ascii="宋体" w:hAnsi="宋体" w:eastAsia="宋体" w:cs="宋体"/>
          <w:b/>
          <w:bCs/>
          <w:color w:val="000000" w:themeColor="text1"/>
          <w:sz w:val="24"/>
          <w:szCs w:val="24"/>
          <w:lang w:val="en-US" w:eastAsia="zh-CN"/>
          <w14:textFill>
            <w14:solidFill>
              <w14:schemeClr w14:val="tx1"/>
            </w14:solidFill>
          </w14:textFill>
        </w:rPr>
        <w:t>考点12  律师</w:t>
      </w:r>
      <w:bookmarkEnd w:id="7"/>
      <w:bookmarkEnd w:id="8"/>
      <w:bookmarkEnd w:id="9"/>
      <w:r>
        <w:rPr>
          <w:rFonts w:hint="eastAsia" w:cs="宋体"/>
          <w:b/>
          <w:bCs/>
          <w:color w:val="000000" w:themeColor="text1"/>
          <w:sz w:val="24"/>
          <w:szCs w:val="24"/>
          <w:lang w:val="en-US" w:eastAsia="zh-CN"/>
          <w14:textFill>
            <w14:solidFill>
              <w14:schemeClr w14:val="tx1"/>
            </w14:solidFill>
          </w14:textFill>
        </w:rPr>
        <w:t>（19:55—20:20）</w:t>
      </w:r>
    </w:p>
    <w:p w14:paraId="1C52E1F2">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一、律师执业许可条件</w:t>
      </w:r>
    </w:p>
    <w:p w14:paraId="0C5A4DF1">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（一）禁止条件</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无民事行为能力或者限制民事行为能力的；</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受过刑事处罚的，但过失犯罪的除外；</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被开除公职或者被吊销律师、公证员执业证书的。</w:t>
      </w:r>
    </w:p>
    <w:p w14:paraId="6BA9B5A0">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（二）限制条件</w:t>
      </w:r>
      <w:r>
        <w:rPr>
          <w:rFonts w:hint="eastAsia" w:cs="宋体"/>
          <w:b/>
          <w:bCs w:val="0"/>
          <w:color w:val="auto"/>
          <w:sz w:val="21"/>
          <w:szCs w:val="21"/>
          <w:lang w:eastAsia="zh-CN"/>
        </w:rPr>
        <w:t>：</w:t>
      </w:r>
      <w:r>
        <w:rPr>
          <w:rFonts w:hint="eastAsia" w:ascii="宋体" w:hAnsi="宋体" w:eastAsia="宋体" w:cs="宋体"/>
          <w:sz w:val="21"/>
          <w:szCs w:val="21"/>
        </w:rPr>
        <w:t>公务员不得兼任执业律师。律师担任各级</w:t>
      </w:r>
      <w:r>
        <w:rPr>
          <w:rFonts w:hint="eastAsia" w:ascii="宋体" w:hAnsi="宋体" w:eastAsia="宋体" w:cs="宋体"/>
          <w:b/>
          <w:bCs/>
          <w:sz w:val="21"/>
          <w:szCs w:val="21"/>
        </w:rPr>
        <w:t>人民代表大会常务委员会组成人员</w:t>
      </w:r>
      <w:r>
        <w:rPr>
          <w:rFonts w:hint="eastAsia" w:ascii="宋体" w:hAnsi="宋体" w:eastAsia="宋体" w:cs="宋体"/>
          <w:sz w:val="21"/>
          <w:szCs w:val="21"/>
        </w:rPr>
        <w:t>的，任职期间不得从事诉讼代理或者辩护业务。</w:t>
      </w:r>
    </w:p>
    <w:p w14:paraId="4622A1DD">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二、律师的权利</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接受辩护委托权、代理委托权</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同犯罪嫌疑人、被告人会见权</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阅卷权</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调查取证权</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依法执行职务受法律保障的权利</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sz w:val="21"/>
          <w:szCs w:val="21"/>
        </w:rPr>
        <w:t>律师在法庭上发表的代理、辩护意见不受法律追究。但是，发表危害国家安全、恶意诽谤他人、严重扰乱法庭秩序的言论除外</w:t>
      </w:r>
      <w:r>
        <w:rPr>
          <w:rFonts w:hint="eastAsia" w:cs="宋体"/>
          <w:sz w:val="21"/>
          <w:szCs w:val="21"/>
          <w:lang w:eastAsia="zh-CN"/>
        </w:rPr>
        <w:t>；（</w:t>
      </w:r>
      <w:r>
        <w:rPr>
          <w:rFonts w:hint="eastAsia" w:cs="宋体"/>
          <w:sz w:val="21"/>
          <w:szCs w:val="21"/>
          <w:lang w:val="en-US" w:eastAsia="zh-CN"/>
        </w:rPr>
        <w:t>7</w:t>
      </w:r>
      <w:r>
        <w:rPr>
          <w:rFonts w:hint="eastAsia" w:cs="宋体"/>
          <w:sz w:val="21"/>
          <w:szCs w:val="21"/>
          <w:lang w:eastAsia="zh-CN"/>
        </w:rPr>
        <w:t>）</w:t>
      </w:r>
      <w:r>
        <w:rPr>
          <w:rFonts w:hint="eastAsia" w:ascii="宋体" w:hAnsi="宋体" w:eastAsia="宋体" w:cs="宋体"/>
          <w:sz w:val="21"/>
          <w:szCs w:val="21"/>
        </w:rPr>
        <w:t>拒绝辩护或代理权</w:t>
      </w:r>
      <w:r>
        <w:rPr>
          <w:rFonts w:hint="eastAsia" w:cs="宋体"/>
          <w:sz w:val="21"/>
          <w:szCs w:val="21"/>
          <w:lang w:eastAsia="zh-CN"/>
        </w:rPr>
        <w:t>：</w:t>
      </w:r>
      <w:r>
        <w:rPr>
          <w:rFonts w:hint="eastAsia" w:ascii="宋体" w:hAnsi="宋体" w:eastAsia="宋体" w:cs="宋体"/>
          <w:sz w:val="21"/>
          <w:szCs w:val="21"/>
        </w:rPr>
        <w:t>律师接受委托后，</w:t>
      </w:r>
      <w:r>
        <w:rPr>
          <w:rFonts w:hint="eastAsia" w:ascii="宋体" w:hAnsi="宋体" w:eastAsia="宋体" w:cs="宋体"/>
          <w:b/>
          <w:bCs/>
          <w:color w:val="FF0000"/>
          <w:sz w:val="21"/>
          <w:szCs w:val="21"/>
        </w:rPr>
        <w:t>委托事项违法</w:t>
      </w:r>
      <w:r>
        <w:rPr>
          <w:rFonts w:hint="eastAsia" w:ascii="宋体" w:hAnsi="宋体" w:eastAsia="宋体" w:cs="宋体"/>
          <w:b/>
          <w:bCs/>
          <w:sz w:val="21"/>
          <w:szCs w:val="21"/>
        </w:rPr>
        <w:t>、</w:t>
      </w:r>
      <w:r>
        <w:rPr>
          <w:rFonts w:hint="eastAsia" w:ascii="宋体" w:hAnsi="宋体" w:eastAsia="宋体" w:cs="宋体"/>
          <w:b/>
          <w:bCs/>
          <w:color w:val="FF0000"/>
          <w:sz w:val="21"/>
          <w:szCs w:val="21"/>
        </w:rPr>
        <w:t>委托人利用律师提供的服务从事违法活动</w:t>
      </w:r>
      <w:r>
        <w:rPr>
          <w:rFonts w:hint="eastAsia" w:ascii="宋体" w:hAnsi="宋体" w:eastAsia="宋体" w:cs="宋体"/>
          <w:sz w:val="21"/>
          <w:szCs w:val="21"/>
        </w:rPr>
        <w:t>或者</w:t>
      </w:r>
      <w:r>
        <w:rPr>
          <w:rFonts w:hint="eastAsia" w:ascii="宋体" w:hAnsi="宋体" w:eastAsia="宋体" w:cs="宋体"/>
          <w:b/>
          <w:bCs/>
          <w:color w:val="FF0000"/>
          <w:sz w:val="21"/>
          <w:szCs w:val="21"/>
        </w:rPr>
        <w:t>委托人故意隐瞒与案件有关的重要事实</w:t>
      </w:r>
      <w:r>
        <w:rPr>
          <w:rFonts w:hint="eastAsia" w:ascii="宋体" w:hAnsi="宋体" w:eastAsia="宋体" w:cs="宋体"/>
          <w:sz w:val="21"/>
          <w:szCs w:val="21"/>
        </w:rPr>
        <w:t>的，律师有权拒绝辩护或者代理</w:t>
      </w:r>
      <w:r>
        <w:rPr>
          <w:rFonts w:hint="eastAsia" w:cs="宋体"/>
          <w:sz w:val="21"/>
          <w:szCs w:val="21"/>
          <w:lang w:eastAsia="zh-CN"/>
        </w:rPr>
        <w:t>；（</w:t>
      </w:r>
      <w:r>
        <w:rPr>
          <w:rFonts w:hint="eastAsia" w:cs="宋体"/>
          <w:sz w:val="21"/>
          <w:szCs w:val="21"/>
          <w:lang w:val="en-US" w:eastAsia="zh-CN"/>
        </w:rPr>
        <w:t>8</w:t>
      </w:r>
      <w:r>
        <w:rPr>
          <w:rFonts w:hint="eastAsia" w:cs="宋体"/>
          <w:sz w:val="21"/>
          <w:szCs w:val="21"/>
          <w:lang w:eastAsia="zh-CN"/>
        </w:rPr>
        <w:t>）</w:t>
      </w:r>
      <w:r>
        <w:rPr>
          <w:rFonts w:hint="eastAsia" w:ascii="宋体" w:hAnsi="宋体" w:eastAsia="宋体" w:cs="宋体"/>
          <w:sz w:val="21"/>
          <w:szCs w:val="21"/>
        </w:rPr>
        <w:t>要求回避、申请复议权</w:t>
      </w:r>
      <w:r>
        <w:rPr>
          <w:rFonts w:hint="eastAsia" w:cs="宋体"/>
          <w:sz w:val="21"/>
          <w:szCs w:val="21"/>
          <w:lang w:eastAsia="zh-CN"/>
        </w:rPr>
        <w:t>；（</w:t>
      </w:r>
      <w:r>
        <w:rPr>
          <w:rFonts w:hint="eastAsia" w:cs="宋体"/>
          <w:sz w:val="21"/>
          <w:szCs w:val="21"/>
          <w:lang w:val="en-US" w:eastAsia="zh-CN"/>
        </w:rPr>
        <w:t>9</w:t>
      </w:r>
      <w:r>
        <w:rPr>
          <w:rFonts w:hint="eastAsia" w:cs="宋体"/>
          <w:sz w:val="21"/>
          <w:szCs w:val="21"/>
          <w:lang w:eastAsia="zh-CN"/>
        </w:rPr>
        <w:t>）</w:t>
      </w:r>
      <w:r>
        <w:rPr>
          <w:rFonts w:hint="eastAsia" w:ascii="宋体" w:hAnsi="宋体" w:eastAsia="宋体" w:cs="宋体"/>
          <w:sz w:val="21"/>
          <w:szCs w:val="21"/>
        </w:rPr>
        <w:t>得到人民法院开庭通知权</w:t>
      </w:r>
      <w:r>
        <w:rPr>
          <w:rFonts w:hint="eastAsia" w:cs="宋体"/>
          <w:sz w:val="21"/>
          <w:szCs w:val="21"/>
          <w:lang w:eastAsia="zh-CN"/>
        </w:rPr>
        <w:t>；（</w:t>
      </w:r>
      <w:r>
        <w:rPr>
          <w:rFonts w:hint="eastAsia" w:cs="宋体"/>
          <w:sz w:val="21"/>
          <w:szCs w:val="21"/>
          <w:lang w:val="en-US" w:eastAsia="zh-CN"/>
        </w:rPr>
        <w:t>10</w:t>
      </w:r>
      <w:r>
        <w:rPr>
          <w:rFonts w:hint="eastAsia" w:cs="宋体"/>
          <w:sz w:val="21"/>
          <w:szCs w:val="21"/>
          <w:lang w:eastAsia="zh-CN"/>
        </w:rPr>
        <w:t>）</w:t>
      </w:r>
      <w:r>
        <w:rPr>
          <w:rFonts w:hint="eastAsia" w:ascii="宋体" w:hAnsi="宋体" w:eastAsia="宋体" w:cs="宋体"/>
          <w:sz w:val="21"/>
          <w:szCs w:val="21"/>
        </w:rPr>
        <w:t>在法庭审理阶段的权利</w:t>
      </w:r>
      <w:r>
        <w:rPr>
          <w:rFonts w:hint="eastAsia" w:cs="宋体"/>
          <w:sz w:val="21"/>
          <w:szCs w:val="21"/>
          <w:lang w:eastAsia="zh-CN"/>
        </w:rPr>
        <w:t>；（</w:t>
      </w:r>
      <w:r>
        <w:rPr>
          <w:rFonts w:hint="eastAsia" w:cs="宋体"/>
          <w:sz w:val="21"/>
          <w:szCs w:val="21"/>
          <w:lang w:val="en-US" w:eastAsia="zh-CN"/>
        </w:rPr>
        <w:t>11</w:t>
      </w:r>
      <w:r>
        <w:rPr>
          <w:rFonts w:hint="eastAsia" w:cs="宋体"/>
          <w:sz w:val="21"/>
          <w:szCs w:val="21"/>
          <w:lang w:eastAsia="zh-CN"/>
        </w:rPr>
        <w:t>）</w:t>
      </w:r>
      <w:r>
        <w:rPr>
          <w:rFonts w:hint="eastAsia" w:ascii="宋体" w:hAnsi="宋体" w:eastAsia="宋体" w:cs="宋体"/>
          <w:sz w:val="21"/>
          <w:szCs w:val="21"/>
        </w:rPr>
        <w:t>代为上诉的权利</w:t>
      </w:r>
      <w:r>
        <w:rPr>
          <w:rFonts w:hint="eastAsia" w:cs="宋体"/>
          <w:sz w:val="21"/>
          <w:szCs w:val="21"/>
          <w:lang w:eastAsia="zh-CN"/>
        </w:rPr>
        <w:t>；（</w:t>
      </w:r>
      <w:r>
        <w:rPr>
          <w:rFonts w:hint="eastAsia" w:cs="宋体"/>
          <w:sz w:val="21"/>
          <w:szCs w:val="21"/>
          <w:lang w:val="en-US" w:eastAsia="zh-CN"/>
        </w:rPr>
        <w:t>12</w:t>
      </w:r>
      <w:r>
        <w:rPr>
          <w:rFonts w:hint="eastAsia" w:cs="宋体"/>
          <w:sz w:val="21"/>
          <w:szCs w:val="21"/>
          <w:lang w:eastAsia="zh-CN"/>
        </w:rPr>
        <w:t>）</w:t>
      </w:r>
      <w:r>
        <w:rPr>
          <w:rFonts w:hint="eastAsia" w:ascii="宋体" w:hAnsi="宋体" w:eastAsia="宋体" w:cs="宋体"/>
          <w:sz w:val="21"/>
          <w:szCs w:val="21"/>
        </w:rPr>
        <w:t>代理申诉或控告权</w:t>
      </w:r>
      <w:r>
        <w:rPr>
          <w:rFonts w:hint="eastAsia" w:cs="宋体"/>
          <w:sz w:val="21"/>
          <w:szCs w:val="21"/>
          <w:lang w:eastAsia="zh-CN"/>
        </w:rPr>
        <w:t>；（</w:t>
      </w:r>
      <w:r>
        <w:rPr>
          <w:rFonts w:hint="eastAsia" w:cs="宋体"/>
          <w:sz w:val="21"/>
          <w:szCs w:val="21"/>
          <w:lang w:val="en-US" w:eastAsia="zh-CN"/>
        </w:rPr>
        <w:t>13</w:t>
      </w:r>
      <w:r>
        <w:rPr>
          <w:rFonts w:hint="eastAsia" w:cs="宋体"/>
          <w:sz w:val="21"/>
          <w:szCs w:val="21"/>
          <w:lang w:eastAsia="zh-CN"/>
        </w:rPr>
        <w:t>）</w:t>
      </w:r>
      <w:r>
        <w:rPr>
          <w:rFonts w:hint="eastAsia" w:ascii="宋体" w:hAnsi="宋体" w:eastAsia="宋体" w:cs="宋体"/>
          <w:sz w:val="21"/>
          <w:szCs w:val="21"/>
        </w:rPr>
        <w:t>获取本案诉讼文书副本的权利</w:t>
      </w:r>
      <w:r>
        <w:rPr>
          <w:rFonts w:hint="eastAsia" w:cs="宋体"/>
          <w:sz w:val="21"/>
          <w:szCs w:val="21"/>
          <w:lang w:eastAsia="zh-CN"/>
        </w:rPr>
        <w:t>；（</w:t>
      </w:r>
      <w:r>
        <w:rPr>
          <w:rFonts w:hint="eastAsia" w:cs="宋体"/>
          <w:sz w:val="21"/>
          <w:szCs w:val="21"/>
          <w:lang w:val="en-US" w:eastAsia="zh-CN"/>
        </w:rPr>
        <w:t>14</w:t>
      </w:r>
      <w:r>
        <w:rPr>
          <w:rFonts w:hint="eastAsia" w:cs="宋体"/>
          <w:sz w:val="21"/>
          <w:szCs w:val="21"/>
          <w:lang w:eastAsia="zh-CN"/>
        </w:rPr>
        <w:t>）</w:t>
      </w:r>
      <w:r>
        <w:rPr>
          <w:rFonts w:hint="eastAsia" w:ascii="宋体" w:hAnsi="宋体" w:eastAsia="宋体" w:cs="宋体"/>
          <w:sz w:val="21"/>
          <w:szCs w:val="21"/>
        </w:rPr>
        <w:t>为犯罪嫌疑人、被告人申请变更和要求解除强制措施的权利</w:t>
      </w:r>
      <w:r>
        <w:rPr>
          <w:rFonts w:hint="eastAsia" w:cs="宋体"/>
          <w:sz w:val="21"/>
          <w:szCs w:val="21"/>
          <w:lang w:eastAsia="zh-CN"/>
        </w:rPr>
        <w:t>。</w:t>
      </w:r>
    </w:p>
    <w:p w14:paraId="4AF75EEC">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三、律师的义务</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只能在一个律师事务所执业</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不得私自接受委托、收取费用</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不得利用提供法律服务的便当牟取当事人争议的权益，或者接受对方当事人的财物</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不得在同一案件中，为双方当事人担任代理人</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律师接受委托后，无正当理由的，不得拒绝辩护或代理</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sz w:val="21"/>
          <w:szCs w:val="21"/>
        </w:rPr>
        <w:t>不得违反规定会见法官、检察官、仲裁员以及其他有关工作人员；不得向法官、检察官、仲裁员以及其他工作人员行贿、介绍贿赂或者指使、诱导当事人行贿</w:t>
      </w:r>
      <w:r>
        <w:rPr>
          <w:rFonts w:hint="eastAsia" w:cs="宋体"/>
          <w:sz w:val="21"/>
          <w:szCs w:val="21"/>
          <w:lang w:eastAsia="zh-CN"/>
        </w:rPr>
        <w:t>；（</w:t>
      </w:r>
      <w:r>
        <w:rPr>
          <w:rFonts w:hint="eastAsia" w:cs="宋体"/>
          <w:sz w:val="21"/>
          <w:szCs w:val="21"/>
          <w:lang w:val="en-US" w:eastAsia="zh-CN"/>
        </w:rPr>
        <w:t>7</w:t>
      </w:r>
      <w:r>
        <w:rPr>
          <w:rFonts w:hint="eastAsia" w:cs="宋体"/>
          <w:sz w:val="21"/>
          <w:szCs w:val="21"/>
          <w:lang w:eastAsia="zh-CN"/>
        </w:rPr>
        <w:t>）</w:t>
      </w:r>
      <w:r>
        <w:rPr>
          <w:rFonts w:hint="eastAsia" w:ascii="宋体" w:hAnsi="宋体" w:eastAsia="宋体" w:cs="宋体"/>
          <w:sz w:val="21"/>
          <w:szCs w:val="21"/>
        </w:rPr>
        <w:t>不得提供虚假证据，隐瞒事实或者威胁、利诱他人提供虚假证据、隐瞒事实以及妨碍对方当事人合法取得证据</w:t>
      </w:r>
      <w:r>
        <w:rPr>
          <w:rFonts w:hint="eastAsia" w:cs="宋体"/>
          <w:sz w:val="21"/>
          <w:szCs w:val="21"/>
          <w:lang w:eastAsia="zh-CN"/>
        </w:rPr>
        <w:t>；（</w:t>
      </w:r>
      <w:r>
        <w:rPr>
          <w:rFonts w:hint="eastAsia" w:cs="宋体"/>
          <w:sz w:val="21"/>
          <w:szCs w:val="21"/>
          <w:lang w:val="en-US" w:eastAsia="zh-CN"/>
        </w:rPr>
        <w:t>8）</w:t>
      </w:r>
      <w:r>
        <w:rPr>
          <w:rFonts w:hint="eastAsia" w:ascii="宋体" w:hAnsi="宋体" w:eastAsia="宋体" w:cs="宋体"/>
          <w:sz w:val="21"/>
          <w:szCs w:val="21"/>
        </w:rPr>
        <w:t>不得以不正当方式影响依法办理案件</w:t>
      </w:r>
      <w:r>
        <w:rPr>
          <w:rFonts w:hint="eastAsia" w:cs="宋体"/>
          <w:sz w:val="21"/>
          <w:szCs w:val="21"/>
          <w:lang w:eastAsia="zh-CN"/>
        </w:rPr>
        <w:t>；（</w:t>
      </w:r>
      <w:r>
        <w:rPr>
          <w:rFonts w:hint="eastAsia" w:cs="宋体"/>
          <w:sz w:val="21"/>
          <w:szCs w:val="21"/>
          <w:lang w:val="en-US" w:eastAsia="zh-CN"/>
        </w:rPr>
        <w:t>9</w:t>
      </w:r>
      <w:r>
        <w:rPr>
          <w:rFonts w:hint="eastAsia" w:cs="宋体"/>
          <w:sz w:val="21"/>
          <w:szCs w:val="21"/>
          <w:lang w:eastAsia="zh-CN"/>
        </w:rPr>
        <w:t>）</w:t>
      </w:r>
      <w:r>
        <w:rPr>
          <w:rFonts w:hint="eastAsia" w:ascii="宋体" w:hAnsi="宋体" w:eastAsia="宋体" w:cs="宋体"/>
          <w:sz w:val="21"/>
          <w:szCs w:val="21"/>
        </w:rPr>
        <w:t>不得扰乱法庭、仲裁庭秩序，干扰诉讼、仲裁活动的正常进行</w:t>
      </w:r>
      <w:r>
        <w:rPr>
          <w:rFonts w:hint="eastAsia" w:cs="宋体"/>
          <w:sz w:val="21"/>
          <w:szCs w:val="21"/>
          <w:lang w:eastAsia="zh-CN"/>
        </w:rPr>
        <w:t>；（</w:t>
      </w:r>
      <w:r>
        <w:rPr>
          <w:rFonts w:hint="eastAsia" w:ascii="宋体" w:hAnsi="宋体" w:eastAsia="宋体" w:cs="宋体"/>
          <w:sz w:val="21"/>
          <w:szCs w:val="21"/>
        </w:rPr>
        <w:t>1</w:t>
      </w:r>
      <w:r>
        <w:rPr>
          <w:rFonts w:hint="eastAsia" w:cs="宋体"/>
          <w:sz w:val="21"/>
          <w:szCs w:val="21"/>
          <w:lang w:val="en-US" w:eastAsia="zh-CN"/>
        </w:rPr>
        <w:t>0）</w:t>
      </w:r>
      <w:r>
        <w:rPr>
          <w:rFonts w:hint="eastAsia" w:ascii="宋体" w:hAnsi="宋体" w:eastAsia="宋体" w:cs="宋体"/>
          <w:sz w:val="21"/>
          <w:szCs w:val="21"/>
        </w:rPr>
        <w:t>不得煽动、教唆当事人采取扰乱公共秩序、危害公共安全等非法手段解决争议</w:t>
      </w:r>
      <w:r>
        <w:rPr>
          <w:rFonts w:hint="eastAsia" w:cs="宋体"/>
          <w:sz w:val="21"/>
          <w:szCs w:val="21"/>
          <w:lang w:eastAsia="zh-CN"/>
        </w:rPr>
        <w:t>；（</w:t>
      </w:r>
      <w:r>
        <w:rPr>
          <w:rFonts w:hint="eastAsia" w:cs="宋体"/>
          <w:sz w:val="21"/>
          <w:szCs w:val="21"/>
          <w:lang w:val="en-US" w:eastAsia="zh-CN"/>
        </w:rPr>
        <w:t>11</w:t>
      </w:r>
      <w:r>
        <w:rPr>
          <w:rFonts w:hint="eastAsia" w:cs="宋体"/>
          <w:sz w:val="21"/>
          <w:szCs w:val="21"/>
          <w:lang w:eastAsia="zh-CN"/>
        </w:rPr>
        <w:t>）</w:t>
      </w:r>
      <w:r>
        <w:rPr>
          <w:rFonts w:hint="eastAsia" w:ascii="宋体" w:hAnsi="宋体" w:eastAsia="宋体" w:cs="宋体"/>
          <w:sz w:val="21"/>
          <w:szCs w:val="21"/>
        </w:rPr>
        <w:t>不得发表危害国家安全、恶意诽谤他人、严重扰乱法庭秩序的言论</w:t>
      </w:r>
      <w:r>
        <w:rPr>
          <w:rFonts w:hint="eastAsia" w:cs="宋体"/>
          <w:sz w:val="21"/>
          <w:szCs w:val="21"/>
          <w:lang w:eastAsia="zh-CN"/>
        </w:rPr>
        <w:t>；（</w:t>
      </w:r>
      <w:r>
        <w:rPr>
          <w:rFonts w:hint="eastAsia" w:cs="宋体"/>
          <w:sz w:val="21"/>
          <w:szCs w:val="21"/>
          <w:lang w:val="en-US" w:eastAsia="zh-CN"/>
        </w:rPr>
        <w:t>12</w:t>
      </w:r>
      <w:r>
        <w:rPr>
          <w:rFonts w:hint="eastAsia" w:cs="宋体"/>
          <w:sz w:val="21"/>
          <w:szCs w:val="21"/>
          <w:lang w:eastAsia="zh-CN"/>
        </w:rPr>
        <w:t>）</w:t>
      </w:r>
      <w:r>
        <w:rPr>
          <w:rFonts w:hint="eastAsia" w:ascii="宋体" w:hAnsi="宋体" w:eastAsia="宋体" w:cs="宋体"/>
          <w:spacing w:val="-3"/>
          <w:sz w:val="21"/>
          <w:szCs w:val="21"/>
        </w:rPr>
        <w:t>应当保守在执业活动中知悉的国家秘密和当事人的商业秘密，不得泄露当事人的隐私</w:t>
      </w:r>
      <w:r>
        <w:rPr>
          <w:rFonts w:hint="eastAsia" w:cs="宋体"/>
          <w:spacing w:val="-3"/>
          <w:sz w:val="21"/>
          <w:szCs w:val="21"/>
          <w:lang w:eastAsia="zh-CN"/>
        </w:rPr>
        <w:t>，</w:t>
      </w:r>
      <w:r>
        <w:rPr>
          <w:rFonts w:hint="eastAsia" w:ascii="宋体" w:hAnsi="宋体" w:eastAsia="宋体" w:cs="宋体"/>
          <w:sz w:val="21"/>
          <w:szCs w:val="21"/>
        </w:rPr>
        <w:t>律师对在执业活动中知悉的委托人和其他人不愿泄露的有关情况和信息，应当予以保密。但是，委托人或者其他人</w:t>
      </w:r>
      <w:r>
        <w:rPr>
          <w:rFonts w:hint="eastAsia" w:ascii="宋体" w:hAnsi="宋体" w:eastAsia="宋体" w:cs="宋体"/>
          <w:b/>
          <w:bCs/>
          <w:color w:val="FF0000"/>
          <w:sz w:val="21"/>
          <w:szCs w:val="21"/>
        </w:rPr>
        <w:t>准备或者正在实施危害国家安全、公共安全以及严重危害他人人身安全的犯罪事实和信息</w:t>
      </w:r>
      <w:r>
        <w:rPr>
          <w:rFonts w:hint="eastAsia" w:ascii="宋体" w:hAnsi="宋体" w:eastAsia="宋体" w:cs="宋体"/>
          <w:sz w:val="21"/>
          <w:szCs w:val="21"/>
        </w:rPr>
        <w:t>除外</w:t>
      </w:r>
      <w:r>
        <w:rPr>
          <w:rFonts w:hint="eastAsia" w:cs="宋体"/>
          <w:sz w:val="21"/>
          <w:szCs w:val="21"/>
          <w:lang w:eastAsia="zh-CN"/>
        </w:rPr>
        <w:t>；（</w:t>
      </w:r>
      <w:r>
        <w:rPr>
          <w:rFonts w:hint="eastAsia" w:cs="宋体"/>
          <w:sz w:val="21"/>
          <w:szCs w:val="21"/>
          <w:lang w:val="en-US" w:eastAsia="zh-CN"/>
        </w:rPr>
        <w:t>13</w:t>
      </w:r>
      <w:r>
        <w:rPr>
          <w:rFonts w:hint="eastAsia" w:cs="宋体"/>
          <w:sz w:val="21"/>
          <w:szCs w:val="21"/>
          <w:lang w:eastAsia="zh-CN"/>
        </w:rPr>
        <w:t>）</w:t>
      </w:r>
      <w:r>
        <w:rPr>
          <w:rFonts w:hint="eastAsia" w:ascii="宋体" w:hAnsi="宋体" w:eastAsia="宋体" w:cs="宋体"/>
          <w:sz w:val="21"/>
          <w:szCs w:val="21"/>
        </w:rPr>
        <w:t>曾担任法官、检察官的律师，从人民法院，人民检察院离职后</w:t>
      </w:r>
      <w:r>
        <w:rPr>
          <w:rFonts w:hint="eastAsia" w:ascii="宋体" w:hAnsi="宋体" w:eastAsia="宋体" w:cs="宋体"/>
          <w:b/>
          <w:bCs/>
          <w:sz w:val="21"/>
          <w:szCs w:val="21"/>
        </w:rPr>
        <w:t>2年内</w:t>
      </w:r>
      <w:r>
        <w:rPr>
          <w:rFonts w:hint="eastAsia" w:ascii="宋体" w:hAnsi="宋体" w:eastAsia="宋体" w:cs="宋体"/>
          <w:sz w:val="21"/>
          <w:szCs w:val="21"/>
        </w:rPr>
        <w:t>，不得担任诉讼代理人或者辩护人</w:t>
      </w:r>
      <w:r>
        <w:rPr>
          <w:rFonts w:hint="eastAsia" w:cs="宋体"/>
          <w:sz w:val="21"/>
          <w:szCs w:val="21"/>
          <w:lang w:eastAsia="zh-CN"/>
        </w:rPr>
        <w:t>；（</w:t>
      </w:r>
      <w:r>
        <w:rPr>
          <w:rFonts w:hint="eastAsia" w:cs="宋体"/>
          <w:sz w:val="21"/>
          <w:szCs w:val="21"/>
          <w:lang w:val="en-US" w:eastAsia="zh-CN"/>
        </w:rPr>
        <w:t>14</w:t>
      </w:r>
      <w:r>
        <w:rPr>
          <w:rFonts w:hint="eastAsia" w:cs="宋体"/>
          <w:sz w:val="21"/>
          <w:szCs w:val="21"/>
          <w:lang w:eastAsia="zh-CN"/>
        </w:rPr>
        <w:t>）</w:t>
      </w:r>
      <w:r>
        <w:rPr>
          <w:rFonts w:hint="eastAsia" w:ascii="宋体" w:hAnsi="宋体" w:eastAsia="宋体" w:cs="宋体"/>
          <w:sz w:val="21"/>
          <w:szCs w:val="21"/>
        </w:rPr>
        <w:t>按照国家规定承担法律援助义务。</w:t>
      </w:r>
    </w:p>
    <w:p w14:paraId="5DB47761">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bookmarkStart w:id="10" w:name="_Toc5176"/>
      <w:bookmarkStart w:id="11" w:name="_Toc5038_WPSOffice_Level1"/>
      <w:bookmarkStart w:id="12" w:name="_Toc230600005"/>
      <w:r>
        <w:rPr>
          <w:rFonts w:hint="eastAsia" w:ascii="宋体" w:hAnsi="宋体" w:eastAsia="宋体" w:cs="宋体"/>
          <w:b/>
          <w:bCs/>
          <w:color w:val="000000" w:themeColor="text1"/>
          <w:sz w:val="24"/>
          <w:szCs w:val="24"/>
          <w:lang w:val="en-US" w:eastAsia="zh-CN"/>
          <w14:textFill>
            <w14:solidFill>
              <w14:schemeClr w14:val="tx1"/>
            </w14:solidFill>
          </w14:textFill>
        </w:rPr>
        <w:t>考点13  律师事务所</w:t>
      </w:r>
      <w:bookmarkEnd w:id="10"/>
      <w:bookmarkEnd w:id="11"/>
      <w:bookmarkEnd w:id="12"/>
      <w:r>
        <w:rPr>
          <w:rFonts w:hint="eastAsia" w:cs="宋体"/>
          <w:b/>
          <w:bCs/>
          <w:color w:val="000000" w:themeColor="text1"/>
          <w:sz w:val="24"/>
          <w:szCs w:val="24"/>
          <w:lang w:val="en-US" w:eastAsia="zh-CN"/>
          <w14:textFill>
            <w14:solidFill>
              <w14:schemeClr w14:val="tx1"/>
            </w14:solidFill>
          </w14:textFill>
        </w:rPr>
        <w:t>（20:21—20:54）</w:t>
      </w:r>
    </w:p>
    <w:p w14:paraId="6F54AB7D">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一、律师事务所的分类及设立条件</w:t>
      </w:r>
    </w:p>
    <w:p w14:paraId="1E43BFCA">
      <w:pPr>
        <w:tabs>
          <w:tab w:val="left" w:pos="420"/>
        </w:tabs>
        <w:spacing w:line="384" w:lineRule="exact"/>
        <w:ind w:firstLine="420" w:firstLineChars="200"/>
        <w:rPr>
          <w:rFonts w:hint="default" w:ascii="宋体" w:hAnsi="宋体" w:eastAsia="宋体" w:cs="宋体"/>
          <w:sz w:val="21"/>
          <w:szCs w:val="21"/>
          <w:lang w:val="en-US" w:eastAsia="zh-CN"/>
        </w:rPr>
      </w:pPr>
      <w:r>
        <w:rPr>
          <w:rFonts w:hint="eastAsia" w:cs="宋体"/>
          <w:sz w:val="21"/>
          <w:szCs w:val="21"/>
          <w:lang w:eastAsia="zh-CN"/>
        </w:rPr>
        <w:t>（</w:t>
      </w:r>
      <w:r>
        <w:rPr>
          <w:rFonts w:hint="eastAsia" w:cs="宋体"/>
          <w:sz w:val="21"/>
          <w:szCs w:val="21"/>
          <w:lang w:val="en-US" w:eastAsia="zh-CN"/>
        </w:rPr>
        <w:t>一</w:t>
      </w:r>
      <w:r>
        <w:rPr>
          <w:rFonts w:hint="eastAsia" w:cs="宋体"/>
          <w:sz w:val="21"/>
          <w:szCs w:val="21"/>
          <w:lang w:eastAsia="zh-CN"/>
        </w:rPr>
        <w:t>）</w:t>
      </w:r>
      <w:r>
        <w:rPr>
          <w:rFonts w:hint="eastAsia" w:ascii="宋体" w:hAnsi="宋体" w:eastAsia="宋体" w:cs="宋体"/>
          <w:sz w:val="21"/>
          <w:szCs w:val="21"/>
        </w:rPr>
        <w:t>国资律师事务所</w:t>
      </w:r>
    </w:p>
    <w:p w14:paraId="389CC519">
      <w:pPr>
        <w:tabs>
          <w:tab w:val="left" w:pos="420"/>
        </w:tabs>
        <w:spacing w:line="384" w:lineRule="exact"/>
        <w:ind w:firstLine="420" w:firstLineChars="200"/>
        <w:rPr>
          <w:rFonts w:hint="eastAsia" w:ascii="宋体" w:hAnsi="宋体" w:eastAsia="宋体" w:cs="宋体"/>
          <w:sz w:val="21"/>
          <w:szCs w:val="21"/>
        </w:rPr>
      </w:pPr>
      <w:r>
        <w:rPr>
          <w:rFonts w:hint="eastAsia" w:cs="宋体"/>
          <w:sz w:val="21"/>
          <w:szCs w:val="21"/>
          <w:lang w:eastAsia="zh-CN"/>
        </w:rPr>
        <w:t>（</w:t>
      </w:r>
      <w:r>
        <w:rPr>
          <w:rFonts w:hint="eastAsia" w:cs="宋体"/>
          <w:sz w:val="21"/>
          <w:szCs w:val="21"/>
          <w:lang w:val="en-US" w:eastAsia="zh-CN"/>
        </w:rPr>
        <w:t>二</w:t>
      </w:r>
      <w:r>
        <w:rPr>
          <w:rFonts w:hint="eastAsia" w:cs="宋体"/>
          <w:sz w:val="21"/>
          <w:szCs w:val="21"/>
          <w:lang w:eastAsia="zh-CN"/>
        </w:rPr>
        <w:t>）</w:t>
      </w:r>
      <w:r>
        <w:rPr>
          <w:rFonts w:hint="eastAsia" w:ascii="宋体" w:hAnsi="宋体" w:eastAsia="宋体" w:cs="宋体"/>
          <w:sz w:val="21"/>
          <w:szCs w:val="21"/>
        </w:rPr>
        <w:t>个人律师事务所</w:t>
      </w:r>
    </w:p>
    <w:p w14:paraId="77C92791">
      <w:pPr>
        <w:tabs>
          <w:tab w:val="left" w:pos="420"/>
        </w:tabs>
        <w:spacing w:line="384" w:lineRule="exact"/>
        <w:ind w:firstLine="420" w:firstLineChars="200"/>
        <w:rPr>
          <w:rFonts w:hint="default" w:ascii="宋体" w:hAnsi="宋体" w:eastAsia="宋体" w:cs="宋体"/>
          <w:sz w:val="21"/>
          <w:szCs w:val="21"/>
          <w:lang w:val="en-US" w:eastAsia="zh-CN"/>
        </w:rPr>
      </w:pPr>
      <w:r>
        <w:rPr>
          <w:rFonts w:hint="eastAsia" w:cs="宋体"/>
          <w:sz w:val="21"/>
          <w:szCs w:val="21"/>
          <w:lang w:eastAsia="zh-CN"/>
        </w:rPr>
        <w:t>（</w:t>
      </w:r>
      <w:r>
        <w:rPr>
          <w:rFonts w:hint="eastAsia" w:cs="宋体"/>
          <w:sz w:val="21"/>
          <w:szCs w:val="21"/>
          <w:lang w:val="en-US" w:eastAsia="zh-CN"/>
        </w:rPr>
        <w:t>三</w:t>
      </w:r>
      <w:r>
        <w:rPr>
          <w:rFonts w:hint="eastAsia" w:cs="宋体"/>
          <w:sz w:val="21"/>
          <w:szCs w:val="21"/>
          <w:lang w:eastAsia="zh-CN"/>
        </w:rPr>
        <w:t>）</w:t>
      </w:r>
      <w:r>
        <w:rPr>
          <w:rFonts w:hint="eastAsia" w:cs="宋体"/>
          <w:sz w:val="21"/>
          <w:szCs w:val="21"/>
          <w:lang w:val="en-US" w:eastAsia="zh-CN"/>
        </w:rPr>
        <w:t>合伙制律师事务所：普通合伙制律师事务所、特殊的普通合伙制律师事务所</w:t>
      </w:r>
    </w:p>
    <w:p w14:paraId="26E0467F">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二、律所设立、变更、终止程序</w:t>
      </w:r>
    </w:p>
    <w:p w14:paraId="01BB766E">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（一）律所设立程序</w:t>
      </w:r>
      <w:r>
        <w:rPr>
          <w:rFonts w:hint="eastAsia" w:cs="宋体"/>
          <w:b/>
          <w:bCs w:val="0"/>
          <w:color w:val="auto"/>
          <w:sz w:val="21"/>
          <w:szCs w:val="21"/>
          <w:lang w:eastAsia="zh-CN"/>
        </w:rPr>
        <w:t>：</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应当向</w:t>
      </w:r>
      <w:r>
        <w:rPr>
          <w:rFonts w:hint="eastAsia" w:ascii="宋体" w:hAnsi="宋体" w:eastAsia="宋体" w:cs="宋体"/>
          <w:b/>
          <w:bCs/>
          <w:color w:val="FF0000"/>
          <w:sz w:val="21"/>
          <w:szCs w:val="21"/>
        </w:rPr>
        <w:t>设区的市级或者直辖市的区</w:t>
      </w:r>
      <w:r>
        <w:rPr>
          <w:rFonts w:hint="eastAsia" w:ascii="宋体" w:hAnsi="宋体" w:eastAsia="宋体" w:cs="宋体"/>
          <w:sz w:val="21"/>
          <w:szCs w:val="21"/>
        </w:rPr>
        <w:t>人民政府司法行政部门提出申请；</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由</w:t>
      </w:r>
      <w:r>
        <w:rPr>
          <w:rFonts w:hint="eastAsia" w:ascii="宋体" w:hAnsi="宋体" w:eastAsia="宋体" w:cs="宋体"/>
          <w:b/>
          <w:bCs/>
          <w:color w:val="FF0000"/>
          <w:sz w:val="21"/>
          <w:szCs w:val="21"/>
        </w:rPr>
        <w:t>省级</w:t>
      </w:r>
      <w:r>
        <w:rPr>
          <w:rFonts w:hint="eastAsia" w:ascii="宋体" w:hAnsi="宋体" w:eastAsia="宋体" w:cs="宋体"/>
          <w:b/>
          <w:bCs/>
          <w:sz w:val="21"/>
          <w:szCs w:val="21"/>
        </w:rPr>
        <w:t>司法行政机关</w:t>
      </w:r>
      <w:r>
        <w:rPr>
          <w:rFonts w:hint="eastAsia" w:ascii="宋体" w:hAnsi="宋体" w:eastAsia="宋体" w:cs="宋体"/>
          <w:sz w:val="21"/>
          <w:szCs w:val="21"/>
        </w:rPr>
        <w:t>审核后，作出是否准予设立律师事务所的决定；</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准许设立，应当由</w:t>
      </w:r>
      <w:r>
        <w:rPr>
          <w:rFonts w:hint="eastAsia" w:ascii="宋体" w:hAnsi="宋体" w:eastAsia="宋体" w:cs="宋体"/>
          <w:b/>
          <w:bCs/>
          <w:color w:val="FF0000"/>
          <w:sz w:val="21"/>
          <w:szCs w:val="21"/>
        </w:rPr>
        <w:t>省级</w:t>
      </w:r>
      <w:r>
        <w:rPr>
          <w:rFonts w:hint="eastAsia" w:ascii="宋体" w:hAnsi="宋体" w:eastAsia="宋体" w:cs="宋体"/>
          <w:sz w:val="21"/>
          <w:szCs w:val="21"/>
        </w:rPr>
        <w:t>司法行政机关向申请人颁发律师事务所执业许可证。</w:t>
      </w:r>
    </w:p>
    <w:p w14:paraId="68C29C1C">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（二）律所变更、终止</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律师事务所变更</w:t>
      </w:r>
      <w:r>
        <w:rPr>
          <w:rFonts w:hint="eastAsia" w:ascii="宋体" w:hAnsi="宋体" w:eastAsia="宋体" w:cs="宋体"/>
          <w:b/>
          <w:bCs/>
          <w:color w:val="FF0000"/>
          <w:sz w:val="21"/>
          <w:szCs w:val="21"/>
        </w:rPr>
        <w:t>名称、负责人、章程、合伙协议</w:t>
      </w:r>
      <w:r>
        <w:rPr>
          <w:rFonts w:hint="eastAsia" w:ascii="宋体" w:hAnsi="宋体" w:eastAsia="宋体" w:cs="宋体"/>
          <w:sz w:val="21"/>
          <w:szCs w:val="21"/>
        </w:rPr>
        <w:t>的，应当经所在地设区的市级或者直辖市的区（县）司法行政机关审查后报原审核机关</w:t>
      </w:r>
      <w:r>
        <w:rPr>
          <w:rFonts w:hint="eastAsia" w:ascii="宋体" w:hAnsi="宋体" w:eastAsia="宋体" w:cs="宋体"/>
          <w:b/>
          <w:bCs/>
          <w:color w:val="FF0000"/>
          <w:sz w:val="21"/>
          <w:szCs w:val="21"/>
        </w:rPr>
        <w:t>批准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律所变更</w:t>
      </w:r>
      <w:r>
        <w:rPr>
          <w:rFonts w:hint="eastAsia" w:ascii="宋体" w:hAnsi="宋体" w:eastAsia="宋体" w:cs="宋体"/>
          <w:b/>
          <w:bCs/>
          <w:color w:val="FF0000"/>
          <w:sz w:val="21"/>
          <w:szCs w:val="21"/>
        </w:rPr>
        <w:t>住所、合伙人</w:t>
      </w:r>
      <w:r>
        <w:rPr>
          <w:rFonts w:hint="eastAsia" w:ascii="宋体" w:hAnsi="宋体" w:eastAsia="宋体" w:cs="宋体"/>
          <w:sz w:val="21"/>
          <w:szCs w:val="21"/>
        </w:rPr>
        <w:t>，应当经所在地设区的市级或者直辖市的区（县）司法行政机关报原审核机关</w:t>
      </w:r>
      <w:r>
        <w:rPr>
          <w:rFonts w:hint="eastAsia" w:ascii="宋体" w:hAnsi="宋体" w:eastAsia="宋体" w:cs="宋体"/>
          <w:b/>
          <w:bCs/>
          <w:color w:val="FF0000"/>
          <w:sz w:val="21"/>
          <w:szCs w:val="21"/>
        </w:rPr>
        <w:t>备案</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已担任合伙人的律师受到6个月以上停止执业处罚的，自处罚决定生效之日起至处罚期满后3年内，不得担任合伙人。</w:t>
      </w:r>
    </w:p>
    <w:p w14:paraId="4EADC6D5">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三、分所</w:t>
      </w:r>
    </w:p>
    <w:p w14:paraId="32575FB7">
      <w:pPr>
        <w:spacing w:line="384" w:lineRule="exact"/>
        <w:ind w:firstLine="253" w:firstLineChars="120"/>
        <w:jc w:val="left"/>
        <w:rPr>
          <w:rFonts w:hint="eastAsia" w:ascii="宋体" w:hAnsi="宋体" w:eastAsia="宋体" w:cs="宋体"/>
          <w:bCs/>
          <w:color w:val="auto"/>
          <w:sz w:val="21"/>
          <w:szCs w:val="21"/>
        </w:rPr>
      </w:pPr>
      <w:r>
        <w:rPr>
          <w:rFonts w:hint="eastAsia" w:ascii="宋体" w:hAnsi="宋体" w:eastAsia="宋体" w:cs="宋体"/>
          <w:b/>
          <w:bCs w:val="0"/>
          <w:color w:val="auto"/>
          <w:sz w:val="21"/>
          <w:szCs w:val="21"/>
        </w:rPr>
        <w:t>（一）设立分所的条件</w:t>
      </w:r>
      <w:r>
        <w:rPr>
          <w:rFonts w:hint="eastAsia" w:cs="宋体"/>
          <w:bCs/>
          <w:color w:val="auto"/>
          <w:sz w:val="21"/>
          <w:szCs w:val="21"/>
          <w:lang w:eastAsia="zh-CN"/>
        </w:rPr>
        <w:t>：</w:t>
      </w:r>
      <w:r>
        <w:rPr>
          <w:rFonts w:hint="eastAsia" w:ascii="宋体" w:hAnsi="宋体" w:eastAsia="宋体" w:cs="宋体"/>
          <w:sz w:val="21"/>
          <w:szCs w:val="21"/>
        </w:rPr>
        <w:t>成立3年以上并具有20名以上执业律师的</w:t>
      </w:r>
      <w:r>
        <w:rPr>
          <w:rFonts w:hint="eastAsia" w:ascii="宋体" w:hAnsi="宋体" w:eastAsia="宋体" w:cs="宋体"/>
          <w:b/>
          <w:bCs/>
          <w:color w:val="FF0000"/>
          <w:sz w:val="21"/>
          <w:szCs w:val="21"/>
        </w:rPr>
        <w:t>合伙律师事务所</w:t>
      </w:r>
      <w:r>
        <w:rPr>
          <w:rFonts w:hint="eastAsia" w:ascii="宋体" w:hAnsi="宋体" w:eastAsia="宋体" w:cs="宋体"/>
          <w:sz w:val="21"/>
          <w:szCs w:val="21"/>
        </w:rPr>
        <w:t>，可以在本所所在地的市、县以外的地方设立分所。设在直辖市、设区的市的合伙律师事务所也可以在本所所在城区以外的区、县设立分所。</w:t>
      </w:r>
    </w:p>
    <w:p w14:paraId="3FE922AA">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（二）禁止设立情形</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律所及其分所受到停业整顿处罚期限未满，该所不得申请设立分所；</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律所的分所受到吊销执业许可证处罚的，该所自分所受到处罚之日起2年内不得申请设立分所。</w:t>
      </w:r>
    </w:p>
    <w:p w14:paraId="70309065">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（三）批准程序</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设立分所应由拟设立分所所在地而非律师事务所所在地司法行政机关初审；</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设立分所应由省级司法行政机关审核决定。</w:t>
      </w:r>
    </w:p>
    <w:p w14:paraId="0246488C">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四、律师事务所的管理制度</w:t>
      </w:r>
    </w:p>
    <w:p w14:paraId="26D54069">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（一）建立违规律师辞退和除名制度</w:t>
      </w:r>
      <w:r>
        <w:rPr>
          <w:rFonts w:hint="eastAsia" w:cs="宋体"/>
          <w:bCs/>
          <w:color w:val="auto"/>
          <w:sz w:val="21"/>
          <w:szCs w:val="21"/>
          <w:lang w:eastAsia="zh-CN"/>
        </w:rPr>
        <w:t>：</w:t>
      </w:r>
      <w:r>
        <w:rPr>
          <w:rFonts w:hint="eastAsia" w:ascii="宋体" w:hAnsi="宋体" w:eastAsia="宋体" w:cs="宋体"/>
          <w:sz w:val="21"/>
          <w:szCs w:val="21"/>
        </w:rPr>
        <w:t>律师事务所可以将违规、不称职律师辞退或者</w:t>
      </w:r>
      <w:r>
        <w:rPr>
          <w:rFonts w:hint="eastAsia" w:ascii="宋体" w:hAnsi="宋体" w:eastAsia="宋体" w:cs="宋体"/>
          <w:b/>
          <w:bCs/>
          <w:color w:val="FF0000"/>
          <w:sz w:val="21"/>
          <w:szCs w:val="21"/>
        </w:rPr>
        <w:t>经合伙人会议通过将其除名</w:t>
      </w:r>
      <w:r>
        <w:rPr>
          <w:rFonts w:hint="eastAsia" w:ascii="宋体" w:hAnsi="宋体" w:eastAsia="宋体" w:cs="宋体"/>
          <w:sz w:val="21"/>
          <w:szCs w:val="21"/>
        </w:rPr>
        <w:t>，有关处理结果报所在地县级司法行政机关和律师协会</w:t>
      </w:r>
      <w:r>
        <w:rPr>
          <w:rFonts w:hint="eastAsia" w:ascii="宋体" w:hAnsi="宋体" w:eastAsia="宋体" w:cs="宋体"/>
          <w:color w:val="FF0000"/>
          <w:sz w:val="21"/>
          <w:szCs w:val="21"/>
        </w:rPr>
        <w:t>备案</w:t>
      </w:r>
      <w:r>
        <w:rPr>
          <w:rFonts w:hint="eastAsia" w:ascii="宋体" w:hAnsi="宋体" w:eastAsia="宋体" w:cs="宋体"/>
          <w:sz w:val="21"/>
          <w:szCs w:val="21"/>
        </w:rPr>
        <w:t>。</w:t>
      </w:r>
    </w:p>
    <w:p w14:paraId="613C2AFB">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（二）严禁律师事务所投资入股兴办企业</w:t>
      </w:r>
      <w:r>
        <w:rPr>
          <w:rFonts w:hint="eastAsia" w:cs="宋体"/>
          <w:bCs/>
          <w:color w:val="auto"/>
          <w:sz w:val="21"/>
          <w:szCs w:val="21"/>
          <w:lang w:eastAsia="zh-CN"/>
        </w:rPr>
        <w:t>：</w:t>
      </w:r>
      <w:r>
        <w:rPr>
          <w:rFonts w:hint="eastAsia" w:ascii="宋体" w:hAnsi="宋体" w:eastAsia="宋体" w:cs="宋体"/>
          <w:sz w:val="21"/>
          <w:szCs w:val="21"/>
        </w:rPr>
        <w:t>律师事务所应当在法定业务范围内开展业务活动，不得以独资、与他人合资或者委托持股方式兴办企业，并委派律师担任企业法定代表人、总经理职务，不得从事与法律服务无关的其他经营性活动。</w:t>
      </w:r>
    </w:p>
    <w:p w14:paraId="7689D7DD">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（三）严禁不正当手段承揽业务</w:t>
      </w:r>
      <w:r>
        <w:rPr>
          <w:rFonts w:hint="eastAsia" w:cs="宋体"/>
          <w:bCs/>
          <w:color w:val="auto"/>
          <w:sz w:val="21"/>
          <w:szCs w:val="21"/>
          <w:lang w:eastAsia="zh-CN"/>
        </w:rPr>
        <w:t>：</w:t>
      </w:r>
      <w:r>
        <w:rPr>
          <w:rFonts w:hint="eastAsia" w:ascii="宋体" w:hAnsi="宋体" w:eastAsia="宋体" w:cs="宋体"/>
          <w:sz w:val="21"/>
          <w:szCs w:val="21"/>
        </w:rPr>
        <w:t>律师事务所应当与其他律师事务所公平竞争，不得以诋毁其他律师事务所、律师或者支付介绍费等不正当手段承揽业务。</w:t>
      </w:r>
    </w:p>
    <w:p w14:paraId="3D9A901C">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（四）依法承担赔偿责任</w:t>
      </w:r>
      <w:r>
        <w:rPr>
          <w:rFonts w:hint="eastAsia" w:cs="宋体"/>
          <w:bCs/>
          <w:color w:val="auto"/>
          <w:sz w:val="21"/>
          <w:szCs w:val="21"/>
          <w:lang w:eastAsia="zh-CN"/>
        </w:rPr>
        <w:t>：</w:t>
      </w:r>
      <w:r>
        <w:rPr>
          <w:rFonts w:hint="eastAsia" w:ascii="宋体" w:hAnsi="宋体" w:eastAsia="宋体" w:cs="宋体"/>
          <w:sz w:val="21"/>
          <w:szCs w:val="21"/>
        </w:rPr>
        <w:t>律师违法执业或者因过错给当事人造成损失的，由其所在的律师事务所承担赔偿责任。律师事务所赔偿后，可以向有故意或者重大过失行为的律师追偿。</w:t>
      </w:r>
    </w:p>
    <w:p w14:paraId="6EC5CC27">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（五）表彰制度</w:t>
      </w:r>
      <w:r>
        <w:rPr>
          <w:rFonts w:hint="eastAsia" w:cs="宋体"/>
          <w:bCs/>
          <w:color w:val="auto"/>
          <w:sz w:val="21"/>
          <w:szCs w:val="21"/>
          <w:lang w:eastAsia="zh-CN"/>
        </w:rPr>
        <w:t>：</w:t>
      </w:r>
      <w:r>
        <w:rPr>
          <w:rFonts w:hint="eastAsia" w:ascii="宋体" w:hAnsi="宋体" w:eastAsia="宋体" w:cs="宋体"/>
          <w:sz w:val="21"/>
          <w:szCs w:val="21"/>
        </w:rPr>
        <w:t>律师事务所表彰律师，无须报请司法行政机关批准。</w:t>
      </w:r>
    </w:p>
    <w:p w14:paraId="3535F293">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bookmarkStart w:id="13" w:name="_Toc16334_WPSOffice_Level1"/>
      <w:bookmarkStart w:id="14" w:name="_Toc25242"/>
      <w:bookmarkStart w:id="15" w:name="_Toc230600006"/>
      <w:r>
        <w:rPr>
          <w:rFonts w:hint="eastAsia" w:ascii="宋体" w:hAnsi="宋体" w:eastAsia="宋体" w:cs="宋体"/>
          <w:b/>
          <w:bCs/>
          <w:color w:val="000000" w:themeColor="text1"/>
          <w:sz w:val="24"/>
          <w:szCs w:val="24"/>
          <w:lang w:val="en-US" w:eastAsia="zh-CN"/>
          <w14:textFill>
            <w14:solidFill>
              <w14:schemeClr w14:val="tx1"/>
            </w14:solidFill>
          </w14:textFill>
        </w:rPr>
        <w:t>考点14  法律援助制度</w:t>
      </w:r>
      <w:bookmarkEnd w:id="13"/>
      <w:bookmarkEnd w:id="14"/>
      <w:bookmarkEnd w:id="15"/>
      <w:r>
        <w:rPr>
          <w:rFonts w:hint="eastAsia" w:cs="宋体"/>
          <w:b/>
          <w:bCs/>
          <w:color w:val="000000" w:themeColor="text1"/>
          <w:sz w:val="24"/>
          <w:szCs w:val="24"/>
          <w:lang w:val="en-US" w:eastAsia="zh-CN"/>
          <w14:textFill>
            <w14:solidFill>
              <w14:schemeClr w14:val="tx1"/>
            </w14:solidFill>
          </w14:textFill>
        </w:rPr>
        <w:t>（20:55—21:18）</w:t>
      </w:r>
    </w:p>
    <w:p w14:paraId="04911EA2">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一、法律援助的机构和人员</w:t>
      </w:r>
    </w:p>
    <w:p w14:paraId="4E50E858">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县级以上人民政府司法行政部门应当设立法律援助机构。法律援助机构负责</w:t>
      </w:r>
      <w:r>
        <w:rPr>
          <w:rFonts w:hint="eastAsia" w:ascii="宋体" w:hAnsi="宋体" w:eastAsia="宋体" w:cs="宋体"/>
          <w:b/>
          <w:bCs/>
          <w:sz w:val="21"/>
          <w:szCs w:val="21"/>
        </w:rPr>
        <w:t>组织实施</w:t>
      </w:r>
      <w:r>
        <w:rPr>
          <w:rFonts w:hint="eastAsia" w:ascii="宋体" w:hAnsi="宋体" w:eastAsia="宋体" w:cs="宋体"/>
          <w:sz w:val="21"/>
          <w:szCs w:val="21"/>
        </w:rPr>
        <w:t>法律援助工作，</w:t>
      </w:r>
      <w:r>
        <w:rPr>
          <w:rFonts w:hint="eastAsia" w:ascii="宋体" w:hAnsi="宋体" w:eastAsia="宋体" w:cs="宋体"/>
          <w:b/>
          <w:bCs/>
          <w:sz w:val="21"/>
          <w:szCs w:val="21"/>
        </w:rPr>
        <w:t>受理、审查</w:t>
      </w:r>
      <w:r>
        <w:rPr>
          <w:rFonts w:hint="eastAsia" w:ascii="宋体" w:hAnsi="宋体" w:eastAsia="宋体" w:cs="宋体"/>
          <w:sz w:val="21"/>
          <w:szCs w:val="21"/>
        </w:rPr>
        <w:t>法律援助申请，指派律师、</w:t>
      </w:r>
      <w:r>
        <w:rPr>
          <w:rFonts w:hint="eastAsia" w:ascii="宋体" w:hAnsi="宋体" w:eastAsia="宋体" w:cs="宋体"/>
          <w:b/>
          <w:bCs/>
          <w:sz w:val="21"/>
          <w:szCs w:val="21"/>
        </w:rPr>
        <w:t>基层法律服务工作者</w:t>
      </w:r>
      <w:r>
        <w:rPr>
          <w:rFonts w:hint="eastAsia" w:ascii="宋体" w:hAnsi="宋体" w:eastAsia="宋体" w:cs="宋体"/>
          <w:sz w:val="21"/>
          <w:szCs w:val="21"/>
        </w:rPr>
        <w:t>、法律援助志愿者等法律援助人员提供法律援助，支付法律援助补贴。</w:t>
      </w:r>
    </w:p>
    <w:p w14:paraId="10EE5A5A">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法律援助机构根据工作需要，可以安排本机构</w:t>
      </w:r>
      <w:r>
        <w:rPr>
          <w:rFonts w:hint="eastAsia" w:ascii="宋体" w:hAnsi="宋体" w:eastAsia="宋体" w:cs="宋体"/>
          <w:b/>
          <w:bCs/>
          <w:sz w:val="21"/>
          <w:szCs w:val="21"/>
        </w:rPr>
        <w:t>具有律师资格</w:t>
      </w:r>
      <w:r>
        <w:rPr>
          <w:rFonts w:hint="eastAsia" w:ascii="宋体" w:hAnsi="宋体" w:eastAsia="宋体" w:cs="宋体"/>
          <w:sz w:val="21"/>
          <w:szCs w:val="21"/>
        </w:rPr>
        <w:t>或者</w:t>
      </w:r>
      <w:r>
        <w:rPr>
          <w:rFonts w:hint="eastAsia" w:ascii="宋体" w:hAnsi="宋体" w:eastAsia="宋体" w:cs="宋体"/>
          <w:b/>
          <w:bCs/>
          <w:sz w:val="21"/>
          <w:szCs w:val="21"/>
        </w:rPr>
        <w:t>法律职业资格</w:t>
      </w:r>
      <w:r>
        <w:rPr>
          <w:rFonts w:hint="eastAsia" w:ascii="宋体" w:hAnsi="宋体" w:eastAsia="宋体" w:cs="宋体"/>
          <w:sz w:val="21"/>
          <w:szCs w:val="21"/>
        </w:rPr>
        <w:t>的工作人员提供法律援助；可以在法院、检察院和看守所等场所派驻</w:t>
      </w:r>
      <w:r>
        <w:rPr>
          <w:rFonts w:hint="eastAsia" w:ascii="宋体" w:hAnsi="宋体" w:eastAsia="宋体" w:cs="宋体"/>
          <w:b/>
          <w:bCs/>
          <w:sz w:val="21"/>
          <w:szCs w:val="21"/>
        </w:rPr>
        <w:t>值班律师</w:t>
      </w:r>
      <w:r>
        <w:rPr>
          <w:rFonts w:hint="eastAsia" w:ascii="宋体" w:hAnsi="宋体" w:eastAsia="宋体" w:cs="宋体"/>
          <w:sz w:val="21"/>
          <w:szCs w:val="21"/>
        </w:rPr>
        <w:t>；可以通过政府采购等方式，择优选择律师事务所等法律服务机构为受援人提供法律援助。</w:t>
      </w:r>
    </w:p>
    <w:p w14:paraId="4324C2F0">
      <w:pPr>
        <w:tabs>
          <w:tab w:val="left" w:pos="420"/>
        </w:tabs>
        <w:spacing w:line="384" w:lineRule="exact"/>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高等院校、科研机构可以组织从事法学教育、研究工作的人员和法学专业学生作为法律援助志愿者，在司法行政部门指导下，为当事人提供法律咨询、代拟法律文书等法律援助。</w:t>
      </w:r>
    </w:p>
    <w:p w14:paraId="52CF49C2">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二、</w:t>
      </w:r>
      <w:bookmarkStart w:id="16" w:name="_Hlk104931994"/>
      <w:r>
        <w:rPr>
          <w:rFonts w:hint="eastAsia" w:ascii="宋体" w:hAnsi="宋体" w:eastAsia="宋体" w:cs="宋体"/>
          <w:b/>
          <w:bCs w:val="0"/>
          <w:color w:val="auto"/>
          <w:sz w:val="21"/>
          <w:szCs w:val="21"/>
        </w:rPr>
        <w:t>法律援助的形式</w:t>
      </w:r>
      <w:bookmarkEnd w:id="16"/>
      <w:r>
        <w:rPr>
          <w:rFonts w:hint="eastAsia" w:ascii="宋体" w:hAnsi="宋体" w:eastAsia="宋体" w:cs="宋体"/>
          <w:b/>
          <w:bCs w:val="0"/>
          <w:color w:val="auto"/>
          <w:sz w:val="21"/>
          <w:szCs w:val="21"/>
        </w:rPr>
        <w:t>和范围</w:t>
      </w:r>
    </w:p>
    <w:p w14:paraId="3EC53CCE">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（一）法律援助的形式</w:t>
      </w:r>
      <w:r>
        <w:rPr>
          <w:rFonts w:hint="eastAsia" w:cs="宋体"/>
          <w:b/>
          <w:bCs w:val="0"/>
          <w:color w:val="auto"/>
          <w:sz w:val="21"/>
          <w:szCs w:val="21"/>
          <w:lang w:eastAsia="zh-CN"/>
        </w:rPr>
        <w:t>：</w:t>
      </w:r>
      <w:r>
        <w:rPr>
          <w:rFonts w:hint="eastAsia" w:cs="宋体"/>
          <w:bCs/>
          <w:color w:val="auto"/>
          <w:sz w:val="21"/>
          <w:szCs w:val="21"/>
          <w:lang w:eastAsia="zh-CN"/>
        </w:rPr>
        <w:t>（</w:t>
      </w:r>
      <w:r>
        <w:rPr>
          <w:rFonts w:hint="eastAsia" w:cs="宋体"/>
          <w:bCs/>
          <w:color w:val="auto"/>
          <w:sz w:val="21"/>
          <w:szCs w:val="21"/>
          <w:lang w:val="en-US" w:eastAsia="zh-CN"/>
        </w:rPr>
        <w:t>1</w:t>
      </w:r>
      <w:r>
        <w:rPr>
          <w:rFonts w:hint="eastAsia" w:cs="宋体"/>
          <w:bCs/>
          <w:color w:val="auto"/>
          <w:sz w:val="21"/>
          <w:szCs w:val="21"/>
          <w:lang w:eastAsia="zh-CN"/>
        </w:rPr>
        <w:t>）</w:t>
      </w:r>
      <w:r>
        <w:rPr>
          <w:rFonts w:hint="eastAsia" w:ascii="宋体" w:hAnsi="宋体" w:eastAsia="宋体" w:cs="宋体"/>
          <w:sz w:val="21"/>
          <w:szCs w:val="21"/>
        </w:rPr>
        <w:t>法律咨询</w:t>
      </w:r>
      <w:r>
        <w:rPr>
          <w:rFonts w:hint="eastAsia" w:cs="宋体"/>
          <w:sz w:val="21"/>
          <w:szCs w:val="21"/>
          <w:lang w:eastAsia="zh-CN"/>
        </w:rPr>
        <w:t>（</w:t>
      </w:r>
      <w:r>
        <w:rPr>
          <w:rFonts w:hint="eastAsia" w:ascii="宋体" w:hAnsi="宋体" w:eastAsia="宋体" w:cs="宋体"/>
          <w:sz w:val="21"/>
          <w:szCs w:val="21"/>
        </w:rPr>
        <w:t>法律咨询不需要审查经济条件</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代拟法律文书</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刑事辩护与代理；</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民事案件、行政案件、国家赔偿案件的诉讼代理及非诉讼代理；</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值班律师法律帮助（包括提供法律咨询、程序选择建议、申请变更强制措施、对案件处理提出意见等）；</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sz w:val="21"/>
          <w:szCs w:val="21"/>
        </w:rPr>
        <w:t>劳动争议调解与仲裁代理。</w:t>
      </w:r>
    </w:p>
    <w:p w14:paraId="2FBA7F22">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（二）刑事案件</w:t>
      </w:r>
    </w:p>
    <w:p w14:paraId="20ABFC18">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1．申请法律援助</w:t>
      </w:r>
    </w:p>
    <w:p w14:paraId="00F2D5CD">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（1）刑事案件的犯罪嫌疑人、被告人因经济困难或者其他原因</w:t>
      </w:r>
      <w:r>
        <w:rPr>
          <w:rFonts w:hint="eastAsia" w:ascii="宋体" w:hAnsi="宋体" w:eastAsia="宋体" w:cs="宋体"/>
          <w:b/>
          <w:bCs/>
          <w:sz w:val="21"/>
          <w:szCs w:val="21"/>
        </w:rPr>
        <w:t>没有委托辩护人</w:t>
      </w:r>
      <w:r>
        <w:rPr>
          <w:rFonts w:hint="eastAsia" w:ascii="宋体" w:hAnsi="宋体" w:eastAsia="宋体" w:cs="宋体"/>
          <w:sz w:val="21"/>
          <w:szCs w:val="21"/>
        </w:rPr>
        <w:t>的，本人及其近亲属可以向法律援助机构申请法律援助。</w:t>
      </w:r>
    </w:p>
    <w:p w14:paraId="7F00CBF9">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（2）刑事公诉案件的被害人及其法定代理人或者近亲属，刑事自诉案件的自诉人及其法定代理人，刑事附带民事诉讼案件的原告人及其法定代理人，</w:t>
      </w:r>
      <w:r>
        <w:rPr>
          <w:rFonts w:hint="eastAsia" w:ascii="宋体" w:hAnsi="宋体" w:eastAsia="宋体" w:cs="宋体"/>
          <w:b/>
          <w:bCs/>
          <w:sz w:val="21"/>
          <w:szCs w:val="21"/>
        </w:rPr>
        <w:t>因经济困难没有委托诉讼代理人</w:t>
      </w:r>
      <w:r>
        <w:rPr>
          <w:rFonts w:hint="eastAsia" w:ascii="宋体" w:hAnsi="宋体" w:eastAsia="宋体" w:cs="宋体"/>
          <w:sz w:val="21"/>
          <w:szCs w:val="21"/>
        </w:rPr>
        <w:t>的，可以向法律援助机构申请法律援助。</w:t>
      </w:r>
    </w:p>
    <w:p w14:paraId="5C9DF9A1">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2．通知法律援助（无须当事人提出申请）</w:t>
      </w:r>
    </w:p>
    <w:p w14:paraId="70CC5DD1">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刑事案件的犯罪嫌疑人、被告人属于下列人员之一，没有委托辩护人的，法院、检察院、公安机关</w:t>
      </w:r>
      <w:r>
        <w:rPr>
          <w:rFonts w:hint="eastAsia" w:ascii="宋体" w:hAnsi="宋体" w:eastAsia="宋体" w:cs="宋体"/>
          <w:b/>
          <w:bCs/>
          <w:color w:val="FF0000"/>
          <w:sz w:val="21"/>
          <w:szCs w:val="21"/>
        </w:rPr>
        <w:t>应当通知</w:t>
      </w:r>
      <w:r>
        <w:rPr>
          <w:rFonts w:hint="eastAsia" w:ascii="宋体" w:hAnsi="宋体" w:eastAsia="宋体" w:cs="宋体"/>
          <w:sz w:val="21"/>
          <w:szCs w:val="21"/>
        </w:rPr>
        <w:t>法律援助机构指派律师担任辩护人：（1）未成年人；（2）视力、听力、言语残疾人；（3）不能完全辨认自己行为的成年人；（4）可能被判处无期徒刑、死刑的人；（5）申请法律援助的死刑复核案件被告人；（6）缺席审判案件的被告人。</w:t>
      </w:r>
    </w:p>
    <w:p w14:paraId="6B38004D">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其他</w:t>
      </w:r>
      <w:r>
        <w:rPr>
          <w:rFonts w:hint="eastAsia" w:ascii="宋体" w:hAnsi="宋体" w:eastAsia="宋体" w:cs="宋体"/>
          <w:b/>
          <w:bCs/>
          <w:color w:val="FF0000"/>
          <w:sz w:val="21"/>
          <w:szCs w:val="21"/>
        </w:rPr>
        <w:t>适用普通程序审理的刑事案件</w:t>
      </w:r>
      <w:r>
        <w:rPr>
          <w:rFonts w:hint="eastAsia" w:ascii="宋体" w:hAnsi="宋体" w:eastAsia="宋体" w:cs="宋体"/>
          <w:sz w:val="21"/>
          <w:szCs w:val="21"/>
        </w:rPr>
        <w:t>，被告人没有委托辩护人的，法院</w:t>
      </w:r>
      <w:r>
        <w:rPr>
          <w:rFonts w:hint="eastAsia" w:ascii="宋体" w:hAnsi="宋体" w:eastAsia="宋体" w:cs="宋体"/>
          <w:b/>
          <w:bCs/>
          <w:color w:val="FF0000"/>
          <w:sz w:val="21"/>
          <w:szCs w:val="21"/>
        </w:rPr>
        <w:t>可以通知</w:t>
      </w:r>
      <w:r>
        <w:rPr>
          <w:rFonts w:hint="eastAsia" w:ascii="宋体" w:hAnsi="宋体" w:eastAsia="宋体" w:cs="宋体"/>
          <w:sz w:val="21"/>
          <w:szCs w:val="21"/>
        </w:rPr>
        <w:t>法律援助机构指派律师担任辩护人。</w:t>
      </w:r>
    </w:p>
    <w:p w14:paraId="1D1301E0">
      <w:pPr>
        <w:tabs>
          <w:tab w:val="left" w:pos="420"/>
        </w:tabs>
        <w:spacing w:line="384" w:lineRule="exact"/>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rPr>
        <w:t>强制医疗案件</w:t>
      </w:r>
      <w:r>
        <w:rPr>
          <w:rFonts w:hint="eastAsia" w:ascii="宋体" w:hAnsi="宋体" w:eastAsia="宋体" w:cs="宋体"/>
          <w:sz w:val="21"/>
          <w:szCs w:val="21"/>
        </w:rPr>
        <w:t>的被申请人或者被告人没有委托诉讼代理人的，法院</w:t>
      </w:r>
      <w:r>
        <w:rPr>
          <w:rFonts w:hint="eastAsia" w:ascii="宋体" w:hAnsi="宋体" w:eastAsia="宋体" w:cs="宋体"/>
          <w:b/>
          <w:bCs/>
          <w:color w:val="FF0000"/>
          <w:sz w:val="21"/>
          <w:szCs w:val="21"/>
        </w:rPr>
        <w:t>应当通知</w:t>
      </w:r>
      <w:r>
        <w:rPr>
          <w:rFonts w:hint="eastAsia" w:ascii="宋体" w:hAnsi="宋体" w:eastAsia="宋体" w:cs="宋体"/>
          <w:sz w:val="21"/>
          <w:szCs w:val="21"/>
        </w:rPr>
        <w:t>法律援助机构指派律师为其提供法律援助。</w:t>
      </w:r>
    </w:p>
    <w:p w14:paraId="7D3BAC6A">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（三）民事、行政案件</w:t>
      </w:r>
    </w:p>
    <w:p w14:paraId="755247A1">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1．申请法律援助</w:t>
      </w:r>
    </w:p>
    <w:p w14:paraId="39F3F3FE">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下列事项的当事人，因经济困难没有委托代理人的，可以向法律援助机构申请法律援助：（1）依法请求国家赔偿；（2）请求给予社会保险待遇或者社会救助；（3）请求发给抚恤金；（4）请求给付赡养费、抚养费、扶养费；（5）请求确认劳动关系或者支付劳动报酬；（6）请求认定公民无民事行为能力或者限制民事行为能力；（7）请求工伤事故、交通事故、食品药品安全事故、医疗事故人身损害赔偿；（8）请求环境污染、生态破坏损害赔偿。</w:t>
      </w:r>
    </w:p>
    <w:p w14:paraId="5EE42EDD">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当事人不服司法机关生效裁判或者决定提出申诉或者申请再审，法院决定、裁定再审或者检察院提出抗诉，因经济困难没有委托辩护人或者诉讼代理人的，本人及其近亲属可以向法律援助机构</w:t>
      </w:r>
      <w:r>
        <w:rPr>
          <w:rFonts w:hint="eastAsia" w:ascii="宋体" w:hAnsi="宋体" w:eastAsia="宋体" w:cs="宋体"/>
          <w:b/>
          <w:bCs/>
          <w:sz w:val="21"/>
          <w:szCs w:val="21"/>
        </w:rPr>
        <w:t>申请法律援助</w:t>
      </w:r>
      <w:r>
        <w:rPr>
          <w:rFonts w:hint="eastAsia" w:ascii="宋体" w:hAnsi="宋体" w:eastAsia="宋体" w:cs="宋体"/>
          <w:sz w:val="21"/>
          <w:szCs w:val="21"/>
        </w:rPr>
        <w:t>。</w:t>
      </w:r>
    </w:p>
    <w:p w14:paraId="0EF7EF64">
      <w:pPr>
        <w:spacing w:line="384" w:lineRule="exact"/>
        <w:ind w:firstLine="422" w:firstLineChars="200"/>
        <w:rPr>
          <w:rFonts w:hint="eastAsia" w:ascii="宋体" w:hAnsi="宋体" w:eastAsia="宋体" w:cs="宋体"/>
          <w:color w:val="FF0000"/>
          <w:sz w:val="21"/>
          <w:szCs w:val="21"/>
        </w:rPr>
      </w:pPr>
      <w:r>
        <w:rPr>
          <w:rFonts w:hint="eastAsia" w:ascii="宋体" w:hAnsi="宋体" w:eastAsia="宋体" w:cs="宋体"/>
          <w:b/>
          <w:bCs w:val="0"/>
          <w:kern w:val="44"/>
          <w:sz w:val="21"/>
          <w:szCs w:val="21"/>
        </w:rPr>
        <w:t>2．申请法律援助（无须审查经济状况）</w:t>
      </w:r>
      <w:r>
        <w:rPr>
          <w:rFonts w:hint="eastAsia" w:cs="宋体"/>
          <w:b/>
          <w:bCs w:val="0"/>
          <w:kern w:val="44"/>
          <w:sz w:val="21"/>
          <w:szCs w:val="21"/>
          <w:lang w:eastAsia="zh-CN"/>
        </w:rPr>
        <w:t>：</w:t>
      </w:r>
      <w:r>
        <w:rPr>
          <w:rFonts w:hint="eastAsia" w:ascii="宋体" w:hAnsi="宋体" w:eastAsia="宋体" w:cs="宋体"/>
          <w:sz w:val="21"/>
          <w:szCs w:val="21"/>
        </w:rPr>
        <w:t>（1）英雄烈士近亲属为维护英雄烈士的人格权益；（2）因见义勇为行为主张相关民事权益；（3）再审改判无罪请求国家赔偿；（4）遭受虐待、遗弃或者家庭暴力的受害人主张相关权益。</w:t>
      </w:r>
    </w:p>
    <w:p w14:paraId="2F34D4C8">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三、法律援助的程序和实施</w:t>
      </w:r>
    </w:p>
    <w:p w14:paraId="18D3D440">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（一）法律援助程序</w:t>
      </w:r>
    </w:p>
    <w:p w14:paraId="11825BB1">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对诉讼事项的法律援助，由申请人向</w:t>
      </w:r>
      <w:r>
        <w:rPr>
          <w:rFonts w:hint="eastAsia" w:ascii="宋体" w:hAnsi="宋体" w:eastAsia="宋体" w:cs="宋体"/>
          <w:b/>
          <w:bCs/>
          <w:color w:val="FF0000"/>
          <w:sz w:val="21"/>
          <w:szCs w:val="21"/>
        </w:rPr>
        <w:t>办案机关所在地</w:t>
      </w:r>
      <w:r>
        <w:rPr>
          <w:rFonts w:hint="eastAsia" w:ascii="宋体" w:hAnsi="宋体" w:eastAsia="宋体" w:cs="宋体"/>
          <w:sz w:val="21"/>
          <w:szCs w:val="21"/>
        </w:rPr>
        <w:t>的法律援助机构提出申请；</w:t>
      </w:r>
    </w:p>
    <w:p w14:paraId="2D9F3E00">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对非诉讼事项的法律援助，由申请人向</w:t>
      </w:r>
      <w:r>
        <w:rPr>
          <w:rFonts w:hint="eastAsia" w:ascii="宋体" w:hAnsi="宋体" w:eastAsia="宋体" w:cs="宋体"/>
          <w:b/>
          <w:bCs/>
          <w:color w:val="FF0000"/>
          <w:sz w:val="21"/>
          <w:szCs w:val="21"/>
        </w:rPr>
        <w:t>争议处理机关所在地</w:t>
      </w:r>
      <w:r>
        <w:rPr>
          <w:rFonts w:hint="eastAsia" w:ascii="宋体" w:hAnsi="宋体" w:eastAsia="宋体" w:cs="宋体"/>
          <w:sz w:val="21"/>
          <w:szCs w:val="21"/>
        </w:rPr>
        <w:t>或者</w:t>
      </w:r>
      <w:r>
        <w:rPr>
          <w:rFonts w:hint="eastAsia" w:ascii="宋体" w:hAnsi="宋体" w:eastAsia="宋体" w:cs="宋体"/>
          <w:b/>
          <w:bCs/>
          <w:color w:val="FF0000"/>
          <w:sz w:val="21"/>
          <w:szCs w:val="21"/>
        </w:rPr>
        <w:t>事由发生地</w:t>
      </w:r>
      <w:r>
        <w:rPr>
          <w:rFonts w:hint="eastAsia" w:ascii="宋体" w:hAnsi="宋体" w:eastAsia="宋体" w:cs="宋体"/>
          <w:sz w:val="21"/>
          <w:szCs w:val="21"/>
        </w:rPr>
        <w:t>的法律援助机构提出申请。</w:t>
      </w:r>
    </w:p>
    <w:p w14:paraId="511A4850">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（二）法律援助的实施</w:t>
      </w:r>
    </w:p>
    <w:p w14:paraId="6E56A603">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1．法律援助人员的指派</w:t>
      </w:r>
      <w:r>
        <w:rPr>
          <w:rFonts w:hint="eastAsia" w:cs="宋体"/>
          <w:bCs/>
          <w:kern w:val="44"/>
          <w:sz w:val="21"/>
          <w:szCs w:val="21"/>
          <w:lang w:eastAsia="zh-CN"/>
        </w:rPr>
        <w:t>：</w:t>
      </w:r>
      <w:r>
        <w:rPr>
          <w:rFonts w:hint="eastAsia" w:ascii="宋体" w:hAnsi="宋体" w:eastAsia="宋体" w:cs="宋体"/>
          <w:sz w:val="21"/>
          <w:szCs w:val="21"/>
        </w:rPr>
        <w:t>对可能被判处无期徒刑、死刑的人，以及死刑复核案件的被告人，法律援助机构收到法院、检察院、公安机关通知后，应当指派</w:t>
      </w:r>
      <w:r>
        <w:rPr>
          <w:rFonts w:hint="eastAsia" w:ascii="宋体" w:hAnsi="宋体" w:eastAsia="宋体" w:cs="宋体"/>
          <w:b/>
          <w:bCs/>
          <w:sz w:val="21"/>
          <w:szCs w:val="21"/>
        </w:rPr>
        <w:t>具有三年以上相关执业经历</w:t>
      </w:r>
      <w:r>
        <w:rPr>
          <w:rFonts w:hint="eastAsia" w:ascii="宋体" w:hAnsi="宋体" w:eastAsia="宋体" w:cs="宋体"/>
          <w:sz w:val="21"/>
          <w:szCs w:val="21"/>
        </w:rPr>
        <w:t>的律师担任辩护人。</w:t>
      </w:r>
    </w:p>
    <w:p w14:paraId="7341D01D">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2．终止法律援助的情形</w:t>
      </w:r>
      <w:r>
        <w:rPr>
          <w:rFonts w:hint="eastAsia" w:cs="宋体"/>
          <w:b/>
          <w:bCs w:val="0"/>
          <w:kern w:val="44"/>
          <w:sz w:val="21"/>
          <w:szCs w:val="21"/>
          <w:lang w:eastAsia="zh-CN"/>
        </w:rPr>
        <w:t>：</w:t>
      </w:r>
      <w:r>
        <w:rPr>
          <w:rFonts w:hint="eastAsia" w:ascii="宋体" w:hAnsi="宋体" w:eastAsia="宋体" w:cs="宋体"/>
          <w:sz w:val="21"/>
          <w:szCs w:val="21"/>
        </w:rPr>
        <w:t>（1）受援人以欺骗或者其他不正当手段获得法律援助；（2）受援人故意隐瞒与案件有关的重要事实或者提供虚假证据；（3）受援人利用法律援助从事违法活动；（4）受援人的经济状况发生变化，不再符合法律援助条件；（5）案件终止审理或者已经被撤销；（6）受援人自行委托律师或者其他代理人；（7）受援人有正当理由要求终止法律援助。</w:t>
      </w:r>
    </w:p>
    <w:p w14:paraId="453EB4F6">
      <w:pPr>
        <w:spacing w:line="384" w:lineRule="exact"/>
        <w:ind w:firstLine="422" w:firstLineChars="200"/>
        <w:rPr>
          <w:rFonts w:hint="eastAsia" w:ascii="宋体" w:hAnsi="宋体" w:eastAsia="宋体" w:cs="宋体"/>
          <w:color w:val="FF0000"/>
          <w:sz w:val="21"/>
          <w:szCs w:val="21"/>
        </w:rPr>
      </w:pPr>
      <w:r>
        <w:rPr>
          <w:rFonts w:hint="eastAsia" w:ascii="宋体" w:hAnsi="宋体" w:eastAsia="宋体" w:cs="宋体"/>
          <w:b/>
          <w:bCs w:val="0"/>
          <w:kern w:val="44"/>
          <w:sz w:val="21"/>
          <w:szCs w:val="21"/>
        </w:rPr>
        <w:t>3．救济方式</w:t>
      </w:r>
      <w:r>
        <w:rPr>
          <w:rFonts w:hint="eastAsia" w:cs="宋体"/>
          <w:b/>
          <w:bCs w:val="0"/>
          <w:kern w:val="44"/>
          <w:sz w:val="21"/>
          <w:szCs w:val="21"/>
          <w:lang w:eastAsia="zh-CN"/>
        </w:rPr>
        <w:t>：</w:t>
      </w:r>
      <w:r>
        <w:rPr>
          <w:rFonts w:hint="eastAsia" w:ascii="宋体" w:hAnsi="宋体" w:eastAsia="宋体" w:cs="宋体"/>
          <w:sz w:val="21"/>
          <w:szCs w:val="21"/>
        </w:rPr>
        <w:t>申请人、受援人对法律援助机构不予法律援助、终止法律援助的决定有异议的，可以向</w:t>
      </w:r>
      <w:r>
        <w:rPr>
          <w:rFonts w:hint="eastAsia" w:ascii="宋体" w:hAnsi="宋体" w:eastAsia="宋体" w:cs="宋体"/>
          <w:b/>
          <w:bCs/>
          <w:color w:val="FF0000"/>
          <w:sz w:val="21"/>
          <w:szCs w:val="21"/>
        </w:rPr>
        <w:t>设立该法律援助机构的司法行政部门</w:t>
      </w:r>
      <w:r>
        <w:rPr>
          <w:rFonts w:hint="eastAsia" w:ascii="宋体" w:hAnsi="宋体" w:eastAsia="宋体" w:cs="宋体"/>
          <w:sz w:val="21"/>
          <w:szCs w:val="21"/>
        </w:rPr>
        <w:t>提出。司法行政部门应当自收到异议之日起5日内进行审查，作出维持法律援助机构决定或者责令法律援助机构改正的决定。申请人、受援人对司法行政部门维持法律援助机构决定不服的，可以依法</w:t>
      </w:r>
      <w:r>
        <w:rPr>
          <w:rFonts w:hint="eastAsia" w:ascii="宋体" w:hAnsi="宋体" w:eastAsia="宋体" w:cs="宋体"/>
          <w:b/>
          <w:bCs/>
          <w:color w:val="FF0000"/>
          <w:sz w:val="21"/>
          <w:szCs w:val="21"/>
        </w:rPr>
        <w:t>申请行政复议</w:t>
      </w:r>
      <w:r>
        <w:rPr>
          <w:rFonts w:hint="eastAsia" w:ascii="宋体" w:hAnsi="宋体" w:eastAsia="宋体" w:cs="宋体"/>
          <w:sz w:val="21"/>
          <w:szCs w:val="21"/>
        </w:rPr>
        <w:t>或者</w:t>
      </w:r>
      <w:r>
        <w:rPr>
          <w:rFonts w:hint="eastAsia" w:ascii="宋体" w:hAnsi="宋体" w:eastAsia="宋体" w:cs="宋体"/>
          <w:b/>
          <w:bCs/>
          <w:color w:val="FF0000"/>
          <w:sz w:val="21"/>
          <w:szCs w:val="21"/>
        </w:rPr>
        <w:t>提起行政诉讼</w:t>
      </w:r>
      <w:r>
        <w:rPr>
          <w:rFonts w:hint="eastAsia" w:ascii="宋体" w:hAnsi="宋体" w:eastAsia="宋体" w:cs="宋体"/>
          <w:sz w:val="21"/>
          <w:szCs w:val="21"/>
        </w:rPr>
        <w:t>。</w:t>
      </w:r>
    </w:p>
    <w:p w14:paraId="6AB4FE7C">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FF0000"/>
          <w:sz w:val="21"/>
          <w:szCs w:val="21"/>
        </w:rPr>
      </w:pPr>
      <w:bookmarkStart w:id="17" w:name="_Toc24177_WPSOffice_Level1"/>
      <w:bookmarkStart w:id="18" w:name="_Toc230600007"/>
      <w:bookmarkStart w:id="19" w:name="_Toc25845"/>
      <w:r>
        <w:rPr>
          <w:rFonts w:hint="eastAsia" w:ascii="宋体" w:hAnsi="宋体" w:eastAsia="宋体" w:cs="宋体"/>
          <w:b/>
          <w:bCs/>
          <w:color w:val="000000" w:themeColor="text1"/>
          <w:sz w:val="24"/>
          <w:szCs w:val="24"/>
          <w:lang w:val="en-US" w:eastAsia="zh-CN"/>
          <w14:textFill>
            <w14:solidFill>
              <w14:schemeClr w14:val="tx1"/>
            </w14:solidFill>
          </w14:textFill>
        </w:rPr>
        <w:t>考点15  公证机构和公证员</w:t>
      </w:r>
      <w:bookmarkEnd w:id="17"/>
      <w:bookmarkEnd w:id="18"/>
      <w:bookmarkEnd w:id="19"/>
      <w:r>
        <w:rPr>
          <w:rFonts w:hint="eastAsia" w:cs="宋体"/>
          <w:b/>
          <w:bCs/>
          <w:color w:val="000000" w:themeColor="text1"/>
          <w:sz w:val="24"/>
          <w:szCs w:val="24"/>
          <w:lang w:val="en-US" w:eastAsia="zh-CN"/>
          <w14:textFill>
            <w14:solidFill>
              <w14:schemeClr w14:val="tx1"/>
            </w14:solidFill>
          </w14:textFill>
        </w:rPr>
        <w:t>（21:19—21:45）</w:t>
      </w:r>
    </w:p>
    <w:p w14:paraId="3C93DBA0">
      <w:pPr>
        <w:spacing w:line="384" w:lineRule="exact"/>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一、公证机构的设立</w:t>
      </w:r>
    </w:p>
    <w:p w14:paraId="0F5D5747">
      <w:pPr>
        <w:tabs>
          <w:tab w:val="left" w:pos="420"/>
        </w:tabs>
        <w:spacing w:line="384"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设立公证机构，由所在地的司法行政部门逐级报</w:t>
      </w:r>
      <w:r>
        <w:rPr>
          <w:rFonts w:hint="eastAsia" w:ascii="宋体" w:hAnsi="宋体" w:eastAsia="宋体" w:cs="宋体"/>
          <w:b/>
          <w:bCs w:val="0"/>
          <w:color w:val="FF0000"/>
          <w:sz w:val="21"/>
          <w:szCs w:val="21"/>
        </w:rPr>
        <w:t>省级人民政府司法行政部门</w:t>
      </w:r>
      <w:r>
        <w:rPr>
          <w:rFonts w:hint="eastAsia" w:ascii="宋体" w:hAnsi="宋体" w:eastAsia="宋体" w:cs="宋体"/>
          <w:bCs/>
          <w:sz w:val="21"/>
          <w:szCs w:val="21"/>
        </w:rPr>
        <w:t>按照规定程序批准后，颁发公证机构执业证书。批准设立公证机构的决定，应当报</w:t>
      </w:r>
      <w:r>
        <w:rPr>
          <w:rFonts w:hint="eastAsia" w:ascii="宋体" w:hAnsi="宋体" w:eastAsia="宋体" w:cs="宋体"/>
          <w:b/>
          <w:bCs w:val="0"/>
          <w:color w:val="FF0000"/>
          <w:sz w:val="21"/>
          <w:szCs w:val="21"/>
        </w:rPr>
        <w:t>司法部备案</w:t>
      </w:r>
      <w:r>
        <w:rPr>
          <w:rFonts w:hint="eastAsia" w:ascii="宋体" w:hAnsi="宋体" w:eastAsia="宋体" w:cs="宋体"/>
          <w:bCs/>
          <w:sz w:val="21"/>
          <w:szCs w:val="21"/>
        </w:rPr>
        <w:t>。</w:t>
      </w:r>
    </w:p>
    <w:p w14:paraId="0AEA0395">
      <w:pPr>
        <w:tabs>
          <w:tab w:val="left" w:pos="420"/>
        </w:tabs>
        <w:spacing w:line="384"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rPr>
        <w:t>公证机构的负责人应当在有</w:t>
      </w:r>
      <w:r>
        <w:rPr>
          <w:rFonts w:hint="eastAsia" w:ascii="宋体" w:hAnsi="宋体" w:eastAsia="宋体" w:cs="宋体"/>
          <w:b/>
          <w:bCs/>
          <w:color w:val="FF0000"/>
          <w:sz w:val="21"/>
          <w:szCs w:val="21"/>
        </w:rPr>
        <w:t>3年以上执业经历的公证员</w:t>
      </w:r>
      <w:r>
        <w:rPr>
          <w:rFonts w:hint="eastAsia" w:ascii="宋体" w:hAnsi="宋体" w:eastAsia="宋体" w:cs="宋体"/>
          <w:bCs/>
          <w:sz w:val="21"/>
          <w:szCs w:val="21"/>
        </w:rPr>
        <w:t>中推选产生，由</w:t>
      </w:r>
      <w:r>
        <w:rPr>
          <w:rFonts w:hint="eastAsia" w:ascii="宋体" w:hAnsi="宋体" w:eastAsia="宋体" w:cs="宋体"/>
          <w:b/>
          <w:bCs w:val="0"/>
          <w:color w:val="FF0000"/>
          <w:sz w:val="21"/>
          <w:szCs w:val="21"/>
        </w:rPr>
        <w:t>所在地的司法行政部门</w:t>
      </w:r>
      <w:r>
        <w:rPr>
          <w:rFonts w:hint="eastAsia" w:ascii="宋体" w:hAnsi="宋体" w:eastAsia="宋体" w:cs="宋体"/>
          <w:bCs/>
          <w:sz w:val="21"/>
          <w:szCs w:val="21"/>
        </w:rPr>
        <w:t>核准，报省、自治区、直辖市人民政府司法行政部门</w:t>
      </w:r>
      <w:r>
        <w:rPr>
          <w:rFonts w:hint="eastAsia" w:ascii="宋体" w:hAnsi="宋体" w:eastAsia="宋体" w:cs="宋体"/>
          <w:b/>
          <w:bCs w:val="0"/>
          <w:color w:val="FF0000"/>
          <w:sz w:val="21"/>
          <w:szCs w:val="21"/>
        </w:rPr>
        <w:t>备案</w:t>
      </w:r>
      <w:r>
        <w:rPr>
          <w:rFonts w:hint="eastAsia" w:ascii="宋体" w:hAnsi="宋体" w:eastAsia="宋体" w:cs="宋体"/>
          <w:bCs/>
          <w:sz w:val="21"/>
          <w:szCs w:val="21"/>
        </w:rPr>
        <w:t>。</w:t>
      </w:r>
    </w:p>
    <w:p w14:paraId="36C03DCA">
      <w:pPr>
        <w:spacing w:line="384" w:lineRule="exact"/>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二、公证业务范围</w:t>
      </w:r>
    </w:p>
    <w:p w14:paraId="3B1624AA">
      <w:pPr>
        <w:spacing w:line="384" w:lineRule="exact"/>
        <w:ind w:firstLine="253" w:firstLineChars="120"/>
        <w:jc w:val="left"/>
        <w:rPr>
          <w:rFonts w:hint="eastAsia" w:ascii="宋体" w:hAnsi="宋体" w:eastAsia="宋体" w:cs="宋体"/>
          <w:bCs/>
          <w:sz w:val="21"/>
          <w:szCs w:val="21"/>
        </w:rPr>
      </w:pPr>
      <w:r>
        <w:rPr>
          <w:rFonts w:hint="eastAsia" w:ascii="宋体" w:hAnsi="宋体" w:eastAsia="宋体" w:cs="宋体"/>
          <w:b/>
          <w:bCs w:val="0"/>
          <w:color w:val="auto"/>
          <w:sz w:val="21"/>
          <w:szCs w:val="21"/>
        </w:rPr>
        <w:t>（一）证明民事法律行为</w:t>
      </w:r>
      <w:r>
        <w:rPr>
          <w:rFonts w:hint="eastAsia" w:cs="宋体"/>
          <w:b/>
          <w:bCs w:val="0"/>
          <w:color w:val="auto"/>
          <w:sz w:val="21"/>
          <w:szCs w:val="21"/>
          <w:lang w:eastAsia="zh-CN"/>
        </w:rPr>
        <w:t>：</w:t>
      </w:r>
      <w:r>
        <w:rPr>
          <w:rFonts w:hint="eastAsia" w:ascii="宋体" w:hAnsi="宋体" w:eastAsia="宋体" w:cs="宋体"/>
          <w:sz w:val="21"/>
          <w:szCs w:val="21"/>
        </w:rPr>
        <w:t>这是我国公证机构的主要公证业务，包括合同、继承、委托、声明、赠与、遗嘱、财产分割、招标投标、拍卖等。</w:t>
      </w:r>
    </w:p>
    <w:p w14:paraId="3F3F1A30">
      <w:pPr>
        <w:spacing w:line="384" w:lineRule="exact"/>
        <w:ind w:firstLine="253" w:firstLineChars="120"/>
        <w:jc w:val="left"/>
        <w:rPr>
          <w:rFonts w:hint="eastAsia" w:ascii="宋体" w:hAnsi="宋体" w:eastAsia="宋体" w:cs="宋体"/>
          <w:bCs/>
          <w:sz w:val="21"/>
          <w:szCs w:val="21"/>
        </w:rPr>
      </w:pPr>
      <w:r>
        <w:rPr>
          <w:rFonts w:hint="eastAsia" w:ascii="宋体" w:hAnsi="宋体" w:eastAsia="宋体" w:cs="宋体"/>
          <w:b/>
          <w:bCs w:val="0"/>
          <w:color w:val="auto"/>
          <w:sz w:val="21"/>
          <w:szCs w:val="21"/>
        </w:rPr>
        <w:t>（二）证明有法律意义的事实</w:t>
      </w:r>
      <w:r>
        <w:rPr>
          <w:rFonts w:hint="eastAsia" w:cs="宋体"/>
          <w:b/>
          <w:bCs w:val="0"/>
          <w:color w:val="auto"/>
          <w:sz w:val="21"/>
          <w:szCs w:val="21"/>
          <w:lang w:eastAsia="zh-CN"/>
        </w:rPr>
        <w:t>：</w:t>
      </w:r>
      <w:r>
        <w:rPr>
          <w:rFonts w:hint="eastAsia" w:ascii="宋体" w:hAnsi="宋体" w:eastAsia="宋体" w:cs="宋体"/>
          <w:sz w:val="21"/>
          <w:szCs w:val="21"/>
        </w:rPr>
        <w:t>包括婚姻状况公证、亲属关系公证、收养关系公证、出生公证、生存公证、死亡公证、身份公证、经历公证、学历和学位公证、职务和职称公证、有无犯罪违法记录公证、保全证据等事项。</w:t>
      </w:r>
    </w:p>
    <w:p w14:paraId="05154596">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（三）证明有法律意义的文书</w:t>
      </w:r>
      <w:r>
        <w:rPr>
          <w:rFonts w:hint="eastAsia" w:cs="宋体"/>
          <w:b/>
          <w:bCs w:val="0"/>
          <w:color w:val="auto"/>
          <w:sz w:val="21"/>
          <w:szCs w:val="21"/>
          <w:lang w:eastAsia="zh-CN"/>
        </w:rPr>
        <w:t>：</w:t>
      </w:r>
      <w:r>
        <w:rPr>
          <w:rFonts w:hint="eastAsia" w:ascii="宋体" w:hAnsi="宋体" w:eastAsia="宋体" w:cs="宋体"/>
          <w:sz w:val="21"/>
          <w:szCs w:val="21"/>
        </w:rPr>
        <w:t>包括公司章程公证、文书的签名、印鉴、日期公证、文书的副本、影印本与原本相符公证等事项。</w:t>
      </w:r>
    </w:p>
    <w:p w14:paraId="5DCF904E">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（四）其他公证事务</w:t>
      </w:r>
      <w:r>
        <w:rPr>
          <w:rFonts w:hint="eastAsia" w:cs="宋体"/>
          <w:b/>
          <w:bCs w:val="0"/>
          <w:color w:val="auto"/>
          <w:sz w:val="21"/>
          <w:szCs w:val="21"/>
          <w:lang w:eastAsia="zh-CN"/>
        </w:rPr>
        <w:t>：</w:t>
      </w:r>
      <w:r>
        <w:rPr>
          <w:rFonts w:hint="eastAsia" w:ascii="宋体" w:hAnsi="宋体" w:eastAsia="宋体" w:cs="宋体"/>
          <w:sz w:val="21"/>
          <w:szCs w:val="21"/>
        </w:rPr>
        <w:t>包括法律、行政法规规定由公证机构登记的事务；提存；保管遗嘱、遗产或者其他与公证事项有关的财产、物品、文书；代书与公证事项有关的法律事务文书；提供公证法律咨询。</w:t>
      </w:r>
    </w:p>
    <w:p w14:paraId="73674239">
      <w:pPr>
        <w:spacing w:line="384" w:lineRule="exact"/>
        <w:jc w:val="left"/>
        <w:rPr>
          <w:rFonts w:hint="eastAsia" w:ascii="宋体" w:hAnsi="宋体" w:eastAsia="宋体" w:cs="宋体"/>
          <w:b/>
          <w:bCs w:val="0"/>
          <w:sz w:val="21"/>
          <w:szCs w:val="21"/>
        </w:rPr>
      </w:pPr>
      <w:r>
        <w:rPr>
          <w:rFonts w:hint="eastAsia" w:ascii="宋体" w:hAnsi="宋体" w:eastAsia="宋体" w:cs="宋体"/>
          <w:b/>
          <w:bCs w:val="0"/>
          <w:color w:val="auto"/>
          <w:sz w:val="21"/>
          <w:szCs w:val="21"/>
        </w:rPr>
        <w:t>三、公证员的条件与任免</w:t>
      </w:r>
    </w:p>
    <w:p w14:paraId="5B647972">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（一）公证员的任职条件</w:t>
      </w:r>
    </w:p>
    <w:p w14:paraId="3893E441">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1．特殊条件（考核任职）</w:t>
      </w:r>
    </w:p>
    <w:p w14:paraId="28F678DF">
      <w:pPr>
        <w:tabs>
          <w:tab w:val="left" w:pos="420"/>
        </w:tabs>
        <w:spacing w:line="384" w:lineRule="exact"/>
        <w:ind w:firstLine="420" w:firstLineChars="200"/>
        <w:rPr>
          <w:rFonts w:hint="eastAsia" w:ascii="宋体" w:hAnsi="宋体" w:eastAsia="宋体" w:cs="宋体"/>
          <w:spacing w:val="-3"/>
          <w:sz w:val="21"/>
          <w:szCs w:val="21"/>
        </w:rPr>
      </w:pPr>
      <w:r>
        <w:rPr>
          <w:rFonts w:hint="eastAsia" w:ascii="宋体" w:hAnsi="宋体" w:eastAsia="宋体" w:cs="宋体"/>
          <w:sz w:val="21"/>
          <w:szCs w:val="21"/>
        </w:rPr>
        <w:t>在满足国籍条件、年龄条件和品行条件基础上，符合下列条件，</w:t>
      </w:r>
      <w:r>
        <w:rPr>
          <w:rFonts w:hint="eastAsia" w:ascii="宋体" w:hAnsi="宋体" w:eastAsia="宋体" w:cs="宋体"/>
          <w:b/>
          <w:bCs/>
          <w:color w:val="FF0000"/>
          <w:sz w:val="21"/>
          <w:szCs w:val="21"/>
        </w:rPr>
        <w:t>已经离开原工作岗位</w:t>
      </w:r>
      <w:r>
        <w:rPr>
          <w:rFonts w:hint="eastAsia" w:ascii="宋体" w:hAnsi="宋体" w:eastAsia="宋体" w:cs="宋体"/>
          <w:sz w:val="21"/>
          <w:szCs w:val="21"/>
        </w:rPr>
        <w:t>，经考核合格可以担任公证员</w:t>
      </w:r>
      <w:r>
        <w:rPr>
          <w:rFonts w:hint="eastAsia" w:cs="宋体"/>
          <w:sz w:val="21"/>
          <w:szCs w:val="21"/>
          <w:lang w:eastAsia="zh-CN"/>
        </w:rPr>
        <w:t>：</w:t>
      </w:r>
      <w:r>
        <w:rPr>
          <w:rFonts w:hint="eastAsia" w:ascii="宋体" w:hAnsi="宋体" w:eastAsia="宋体" w:cs="宋体"/>
          <w:sz w:val="21"/>
          <w:szCs w:val="21"/>
        </w:rPr>
        <w:t>（1）从事法学教学、研究工作，具有高级职称的人员；</w:t>
      </w:r>
      <w:r>
        <w:rPr>
          <w:rFonts w:hint="eastAsia" w:ascii="宋体" w:hAnsi="宋体" w:eastAsia="宋体" w:cs="宋体"/>
          <w:spacing w:val="-3"/>
          <w:sz w:val="21"/>
          <w:szCs w:val="21"/>
        </w:rPr>
        <w:t>（2）具有本科以上学历，从事审判、检察、法制工作、法律服务</w:t>
      </w:r>
      <w:r>
        <w:rPr>
          <w:rFonts w:hint="eastAsia" w:ascii="宋体" w:hAnsi="宋体" w:eastAsia="宋体" w:cs="宋体"/>
          <w:b/>
          <w:bCs/>
          <w:spacing w:val="-3"/>
          <w:sz w:val="21"/>
          <w:szCs w:val="21"/>
        </w:rPr>
        <w:t>满10年</w:t>
      </w:r>
      <w:r>
        <w:rPr>
          <w:rFonts w:hint="eastAsia" w:ascii="宋体" w:hAnsi="宋体" w:eastAsia="宋体" w:cs="宋体"/>
          <w:spacing w:val="-3"/>
          <w:sz w:val="21"/>
          <w:szCs w:val="21"/>
        </w:rPr>
        <w:t>的公务员、律师。</w:t>
      </w:r>
    </w:p>
    <w:p w14:paraId="0948A6B3">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2．禁止条件</w:t>
      </w:r>
      <w:r>
        <w:rPr>
          <w:rFonts w:hint="eastAsia" w:cs="宋体"/>
          <w:b/>
          <w:bCs w:val="0"/>
          <w:kern w:val="44"/>
          <w:sz w:val="21"/>
          <w:szCs w:val="21"/>
          <w:lang w:eastAsia="zh-CN"/>
        </w:rPr>
        <w:t>：</w:t>
      </w:r>
      <w:r>
        <w:rPr>
          <w:rFonts w:hint="eastAsia" w:ascii="宋体" w:hAnsi="宋体" w:eastAsia="宋体" w:cs="宋体"/>
          <w:sz w:val="21"/>
          <w:szCs w:val="21"/>
        </w:rPr>
        <w:t>（1）无民事行为能力或者限制民事行为能力的；（2）因故意犯罪或者职务过失犯罪受过刑事处罚的；（3）被开除公职的；（4）被吊销公证员、律师执业证书的。</w:t>
      </w:r>
    </w:p>
    <w:p w14:paraId="6E23D8CD">
      <w:pPr>
        <w:spacing w:line="384" w:lineRule="exact"/>
        <w:ind w:firstLine="422" w:firstLineChars="200"/>
        <w:jc w:val="left"/>
        <w:rPr>
          <w:rFonts w:hint="eastAsia" w:ascii="宋体" w:hAnsi="宋体" w:eastAsia="宋体" w:cs="宋体"/>
          <w:b/>
          <w:bCs/>
          <w:color w:val="FF0000"/>
          <w:sz w:val="21"/>
          <w:szCs w:val="21"/>
          <w:lang w:eastAsia="zh-CN"/>
        </w:rPr>
      </w:pPr>
      <w:r>
        <w:rPr>
          <w:rFonts w:hint="eastAsia" w:ascii="宋体" w:hAnsi="宋体" w:eastAsia="宋体" w:cs="宋体"/>
          <w:b/>
          <w:bCs w:val="0"/>
          <w:color w:val="auto"/>
          <w:sz w:val="21"/>
          <w:szCs w:val="21"/>
        </w:rPr>
        <w:t>（二）公证员的任命与免职</w:t>
      </w:r>
      <w:r>
        <w:rPr>
          <w:rFonts w:hint="eastAsia" w:cs="宋体"/>
          <w:b/>
          <w:bCs w:val="0"/>
          <w:color w:val="auto"/>
          <w:sz w:val="21"/>
          <w:szCs w:val="21"/>
          <w:lang w:eastAsia="zh-CN"/>
        </w:rPr>
        <w:t>：</w:t>
      </w:r>
      <w:r>
        <w:rPr>
          <w:rFonts w:hint="eastAsia" w:ascii="宋体" w:hAnsi="宋体" w:eastAsia="宋体" w:cs="宋体"/>
          <w:b/>
          <w:bCs/>
          <w:color w:val="FF0000"/>
          <w:sz w:val="21"/>
          <w:szCs w:val="21"/>
        </w:rPr>
        <w:t>谁任命，谁免职；谁发证，谁吊证</w:t>
      </w:r>
    </w:p>
    <w:p w14:paraId="104E4AAA">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1．任命程序</w:t>
      </w:r>
      <w:r>
        <w:rPr>
          <w:rFonts w:hint="eastAsia" w:cs="宋体"/>
          <w:b/>
          <w:bCs w:val="0"/>
          <w:kern w:val="44"/>
          <w:sz w:val="21"/>
          <w:szCs w:val="21"/>
          <w:lang w:eastAsia="zh-CN"/>
        </w:rPr>
        <w:t>：</w:t>
      </w:r>
      <w:r>
        <w:rPr>
          <w:rFonts w:hint="eastAsia" w:ascii="宋体" w:hAnsi="宋体" w:eastAsia="宋体" w:cs="宋体"/>
          <w:sz w:val="21"/>
          <w:szCs w:val="21"/>
        </w:rPr>
        <w:t>应当由符合公证员条件的人员提出申请，经公证机构推荐，由所在地的司法行政部门报省、自治区、直辖市人民政府司法行政部门审核同意后，报请</w:t>
      </w:r>
      <w:r>
        <w:rPr>
          <w:rFonts w:hint="eastAsia" w:ascii="宋体" w:hAnsi="宋体" w:eastAsia="宋体" w:cs="宋体"/>
          <w:b/>
          <w:bCs/>
          <w:color w:val="FF0000"/>
          <w:sz w:val="21"/>
          <w:szCs w:val="21"/>
        </w:rPr>
        <w:t>国务院司法行政部门任命</w:t>
      </w:r>
      <w:r>
        <w:rPr>
          <w:rFonts w:hint="eastAsia" w:ascii="宋体" w:hAnsi="宋体" w:eastAsia="宋体" w:cs="宋体"/>
          <w:sz w:val="21"/>
          <w:szCs w:val="21"/>
        </w:rPr>
        <w:t>，并由</w:t>
      </w:r>
      <w:r>
        <w:rPr>
          <w:rFonts w:hint="eastAsia" w:ascii="宋体" w:hAnsi="宋体" w:eastAsia="宋体" w:cs="宋体"/>
          <w:b/>
          <w:bCs/>
          <w:color w:val="FF0000"/>
          <w:sz w:val="21"/>
          <w:szCs w:val="21"/>
        </w:rPr>
        <w:t>省、自治区、直辖市人民政府司法行政部门颁发公证员执业证书</w:t>
      </w:r>
      <w:r>
        <w:rPr>
          <w:rFonts w:hint="eastAsia" w:ascii="宋体" w:hAnsi="宋体" w:eastAsia="宋体" w:cs="宋体"/>
          <w:sz w:val="21"/>
          <w:szCs w:val="21"/>
        </w:rPr>
        <w:t>。</w:t>
      </w:r>
    </w:p>
    <w:p w14:paraId="26931022">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color w:val="FF0000"/>
          <w:sz w:val="21"/>
          <w:szCs w:val="21"/>
          <w:lang w:val="zh-CN"/>
        </w:rPr>
        <w:drawing>
          <wp:anchor distT="0" distB="0" distL="114300" distR="114300" simplePos="0" relativeHeight="251662336" behindDoc="0" locked="0" layoutInCell="1" allowOverlap="1">
            <wp:simplePos x="0" y="0"/>
            <wp:positionH relativeFrom="column">
              <wp:posOffset>0</wp:posOffset>
            </wp:positionH>
            <wp:positionV relativeFrom="paragraph">
              <wp:posOffset>24765</wp:posOffset>
            </wp:positionV>
            <wp:extent cx="215900" cy="215900"/>
            <wp:effectExtent l="0" t="0" r="0" b="0"/>
            <wp:wrapNone/>
            <wp:docPr id="945558776" name="图形 945558776" descr="指向右边的反手食指 纯色填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58776" name="图形 945558776" descr="指向右边的反手食指 纯色填充"/>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15900" cy="215900"/>
                    </a:xfrm>
                    <a:prstGeom prst="rect">
                      <a:avLst/>
                    </a:prstGeom>
                  </pic:spPr>
                </pic:pic>
              </a:graphicData>
            </a:graphic>
          </wp:anchor>
        </w:drawing>
      </w:r>
      <w:r>
        <w:rPr>
          <w:rFonts w:hint="eastAsia" w:ascii="宋体" w:hAnsi="宋体" w:eastAsia="宋体" w:cs="宋体"/>
          <w:color w:val="FF0000"/>
          <w:sz w:val="21"/>
          <w:szCs w:val="21"/>
        </w:rPr>
        <w:t>特别提醒：</w:t>
      </w:r>
      <w:r>
        <w:rPr>
          <w:rFonts w:hint="eastAsia" w:ascii="宋体" w:hAnsi="宋体" w:eastAsia="宋体" w:cs="宋体"/>
          <w:sz w:val="21"/>
          <w:szCs w:val="21"/>
        </w:rPr>
        <w:t>公证机构由省级司法行政机构批准设立，而公证员由司法部任命。</w:t>
      </w:r>
    </w:p>
    <w:p w14:paraId="7C8AAC51">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2．免职情形</w:t>
      </w:r>
      <w:r>
        <w:rPr>
          <w:rFonts w:hint="eastAsia" w:cs="宋体"/>
          <w:b/>
          <w:bCs w:val="0"/>
          <w:kern w:val="44"/>
          <w:sz w:val="21"/>
          <w:szCs w:val="21"/>
          <w:lang w:eastAsia="zh-CN"/>
        </w:rPr>
        <w:t>：</w:t>
      </w:r>
      <w:r>
        <w:rPr>
          <w:rFonts w:hint="eastAsia" w:cs="宋体"/>
          <w:b w:val="0"/>
          <w:bCs/>
          <w:kern w:val="44"/>
          <w:sz w:val="21"/>
          <w:szCs w:val="21"/>
          <w:lang w:eastAsia="zh-CN"/>
        </w:rPr>
        <w:t>（</w:t>
      </w:r>
      <w:r>
        <w:rPr>
          <w:rFonts w:hint="eastAsia" w:cs="宋体"/>
          <w:b w:val="0"/>
          <w:bCs/>
          <w:kern w:val="44"/>
          <w:sz w:val="21"/>
          <w:szCs w:val="21"/>
          <w:lang w:val="en-US" w:eastAsia="zh-CN"/>
        </w:rPr>
        <w:t>1</w:t>
      </w:r>
      <w:r>
        <w:rPr>
          <w:rFonts w:hint="eastAsia" w:cs="宋体"/>
          <w:b w:val="0"/>
          <w:bCs/>
          <w:kern w:val="44"/>
          <w:sz w:val="21"/>
          <w:szCs w:val="21"/>
          <w:lang w:eastAsia="zh-CN"/>
        </w:rPr>
        <w:t>）</w:t>
      </w:r>
      <w:r>
        <w:rPr>
          <w:rFonts w:hint="eastAsia" w:ascii="宋体" w:hAnsi="宋体" w:eastAsia="宋体" w:cs="宋体"/>
          <w:sz w:val="21"/>
          <w:szCs w:val="21"/>
        </w:rPr>
        <w:t>丧失中华人民共和国国籍的；（2）年满65周岁或者因健康原因不能继续履行职务的；（3）自愿辞去公证员职务的；（4）被吊销公证员执业证书的。</w:t>
      </w:r>
    </w:p>
    <w:p w14:paraId="6F01A29F">
      <w:pPr>
        <w:tabs>
          <w:tab w:val="left" w:pos="420"/>
        </w:tabs>
        <w:spacing w:line="384"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被吊销公证员执业证书的，由</w:t>
      </w:r>
      <w:r>
        <w:rPr>
          <w:rFonts w:hint="eastAsia" w:ascii="宋体" w:hAnsi="宋体" w:eastAsia="宋体" w:cs="宋体"/>
          <w:b/>
          <w:bCs/>
          <w:color w:val="FF0000"/>
          <w:sz w:val="21"/>
          <w:szCs w:val="21"/>
        </w:rPr>
        <w:t>省级司法行政机关</w:t>
      </w:r>
      <w:r>
        <w:rPr>
          <w:rFonts w:hint="eastAsia" w:ascii="宋体" w:hAnsi="宋体" w:eastAsia="宋体" w:cs="宋体"/>
          <w:sz w:val="21"/>
          <w:szCs w:val="21"/>
        </w:rPr>
        <w:t>提请司法部予以免职。</w:t>
      </w:r>
    </w:p>
    <w:p w14:paraId="2F6155AC">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bookmarkStart w:id="20" w:name="_Toc230600008"/>
      <w:bookmarkStart w:id="21" w:name="_Toc20879"/>
      <w:bookmarkStart w:id="22" w:name="_Toc17966_WPSOffice_Level1"/>
      <w:r>
        <w:rPr>
          <w:rFonts w:hint="eastAsia" w:ascii="宋体" w:hAnsi="宋体" w:eastAsia="宋体" w:cs="宋体"/>
          <w:b/>
          <w:bCs/>
          <w:color w:val="000000" w:themeColor="text1"/>
          <w:sz w:val="24"/>
          <w:szCs w:val="24"/>
          <w:lang w:val="en-US" w:eastAsia="zh-CN"/>
          <w14:textFill>
            <w14:solidFill>
              <w14:schemeClr w14:val="tx1"/>
            </w14:solidFill>
          </w14:textFill>
        </w:rPr>
        <w:t>考点16  公证程序与公证效力</w:t>
      </w:r>
      <w:bookmarkEnd w:id="20"/>
      <w:bookmarkEnd w:id="21"/>
      <w:bookmarkEnd w:id="22"/>
      <w:r>
        <w:rPr>
          <w:rFonts w:hint="eastAsia" w:cs="宋体"/>
          <w:b/>
          <w:bCs/>
          <w:color w:val="000000" w:themeColor="text1"/>
          <w:sz w:val="24"/>
          <w:szCs w:val="24"/>
          <w:lang w:val="en-US" w:eastAsia="zh-CN"/>
          <w14:textFill>
            <w14:solidFill>
              <w14:schemeClr w14:val="tx1"/>
            </w14:solidFill>
          </w14:textFill>
        </w:rPr>
        <w:t>（21:46—22:06）</w:t>
      </w:r>
    </w:p>
    <w:p w14:paraId="29AA3164">
      <w:pPr>
        <w:spacing w:line="384" w:lineRule="exact"/>
        <w:jc w:val="left"/>
        <w:rPr>
          <w:rFonts w:hint="eastAsia" w:ascii="宋体" w:hAnsi="宋体" w:eastAsia="宋体" w:cs="宋体"/>
          <w:b/>
          <w:bCs w:val="0"/>
          <w:color w:val="FF0000"/>
          <w:kern w:val="0"/>
          <w:sz w:val="21"/>
          <w:szCs w:val="21"/>
        </w:rPr>
      </w:pPr>
      <w:r>
        <w:rPr>
          <w:rFonts w:hint="eastAsia" w:ascii="宋体" w:hAnsi="宋体" w:eastAsia="宋体" w:cs="宋体"/>
          <w:b/>
          <w:bCs w:val="0"/>
          <w:color w:val="auto"/>
          <w:sz w:val="21"/>
          <w:szCs w:val="21"/>
        </w:rPr>
        <w:t>一、公证程序</w:t>
      </w:r>
    </w:p>
    <w:p w14:paraId="0135A2CC">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（一）公证申请</w:t>
      </w:r>
    </w:p>
    <w:p w14:paraId="1539C225">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1．公证申请的提出</w:t>
      </w:r>
      <w:r>
        <w:rPr>
          <w:rFonts w:hint="eastAsia" w:cs="宋体"/>
          <w:bCs/>
          <w:kern w:val="44"/>
          <w:sz w:val="21"/>
          <w:szCs w:val="21"/>
          <w:lang w:eastAsia="zh-CN"/>
        </w:rPr>
        <w:t>：（</w:t>
      </w:r>
      <w:r>
        <w:rPr>
          <w:rFonts w:hint="eastAsia" w:cs="宋体"/>
          <w:bCs/>
          <w:kern w:val="44"/>
          <w:sz w:val="21"/>
          <w:szCs w:val="21"/>
          <w:lang w:val="en-US" w:eastAsia="zh-CN"/>
        </w:rPr>
        <w:t>1</w:t>
      </w:r>
      <w:r>
        <w:rPr>
          <w:rFonts w:hint="eastAsia" w:cs="宋体"/>
          <w:bCs/>
          <w:kern w:val="44"/>
          <w:sz w:val="21"/>
          <w:szCs w:val="21"/>
          <w:lang w:eastAsia="zh-CN"/>
        </w:rPr>
        <w:t>）</w:t>
      </w:r>
      <w:r>
        <w:rPr>
          <w:rFonts w:hint="eastAsia" w:ascii="宋体" w:hAnsi="宋体" w:eastAsia="宋体" w:cs="宋体"/>
          <w:sz w:val="21"/>
          <w:szCs w:val="21"/>
        </w:rPr>
        <w:t>自然人、法人或者其他组织申请办理公证，可以向</w:t>
      </w:r>
      <w:r>
        <w:rPr>
          <w:rFonts w:hint="eastAsia" w:ascii="宋体" w:hAnsi="宋体" w:eastAsia="宋体" w:cs="宋体"/>
          <w:b/>
          <w:bCs/>
          <w:color w:val="FF0000"/>
          <w:sz w:val="21"/>
          <w:szCs w:val="21"/>
        </w:rPr>
        <w:t>住所地、经常居住地、行为地或者事实发生地的公证机构</w:t>
      </w:r>
      <w:r>
        <w:rPr>
          <w:rFonts w:hint="eastAsia" w:ascii="宋体" w:hAnsi="宋体" w:eastAsia="宋体" w:cs="宋体"/>
          <w:sz w:val="21"/>
          <w:szCs w:val="21"/>
        </w:rPr>
        <w:t>提出</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申请办理涉及不动产的公证，应当向</w:t>
      </w:r>
      <w:r>
        <w:rPr>
          <w:rFonts w:hint="eastAsia" w:ascii="宋体" w:hAnsi="宋体" w:eastAsia="宋体" w:cs="宋体"/>
          <w:b/>
          <w:bCs/>
          <w:color w:val="FF0000"/>
          <w:sz w:val="21"/>
          <w:szCs w:val="21"/>
        </w:rPr>
        <w:t>不动产所在地的公证机构</w:t>
      </w:r>
      <w:r>
        <w:rPr>
          <w:rFonts w:hint="eastAsia" w:ascii="宋体" w:hAnsi="宋体" w:eastAsia="宋体" w:cs="宋体"/>
          <w:sz w:val="21"/>
          <w:szCs w:val="21"/>
        </w:rPr>
        <w:t>提出；</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申请办理涉及</w:t>
      </w:r>
      <w:r>
        <w:rPr>
          <w:rFonts w:hint="eastAsia" w:ascii="宋体" w:hAnsi="宋体" w:eastAsia="宋体" w:cs="宋体"/>
          <w:b/>
          <w:bCs/>
          <w:color w:val="FF0000"/>
          <w:sz w:val="21"/>
          <w:szCs w:val="21"/>
        </w:rPr>
        <w:t>不动产的委托、声明、赠与、遗嘱</w:t>
      </w:r>
      <w:r>
        <w:rPr>
          <w:rFonts w:hint="eastAsia" w:ascii="宋体" w:hAnsi="宋体" w:eastAsia="宋体" w:cs="宋体"/>
          <w:sz w:val="21"/>
          <w:szCs w:val="21"/>
        </w:rPr>
        <w:t>的公证，可以向住所地、经常居住地、行为地或者事实发生地的公证机构提出。</w:t>
      </w:r>
    </w:p>
    <w:p w14:paraId="10265418">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2．公证代理</w:t>
      </w:r>
      <w:r>
        <w:rPr>
          <w:rFonts w:hint="eastAsia" w:cs="宋体"/>
          <w:b/>
          <w:bCs w:val="0"/>
          <w:kern w:val="44"/>
          <w:sz w:val="21"/>
          <w:szCs w:val="21"/>
          <w:lang w:eastAsia="zh-CN"/>
        </w:rPr>
        <w:t>：</w:t>
      </w:r>
      <w:r>
        <w:rPr>
          <w:rFonts w:hint="eastAsia" w:ascii="宋体" w:hAnsi="宋体" w:eastAsia="宋体" w:cs="宋体"/>
          <w:sz w:val="21"/>
          <w:szCs w:val="21"/>
        </w:rPr>
        <w:t>（1）当事人申请办理公证，原则上可以委托他人代理</w:t>
      </w:r>
      <w:r>
        <w:rPr>
          <w:rFonts w:hint="eastAsia" w:cs="宋体"/>
          <w:sz w:val="21"/>
          <w:szCs w:val="21"/>
          <w:lang w:eastAsia="zh-CN"/>
        </w:rPr>
        <w:t>；</w:t>
      </w:r>
      <w:r>
        <w:rPr>
          <w:rFonts w:hint="eastAsia" w:ascii="宋体" w:hAnsi="宋体" w:eastAsia="宋体" w:cs="宋体"/>
          <w:sz w:val="21"/>
          <w:szCs w:val="21"/>
        </w:rPr>
        <w:t>（2）申办</w:t>
      </w:r>
      <w:r>
        <w:rPr>
          <w:rFonts w:hint="eastAsia" w:ascii="宋体" w:hAnsi="宋体" w:eastAsia="宋体" w:cs="宋体"/>
          <w:b/>
          <w:bCs/>
          <w:color w:val="FF0000"/>
          <w:sz w:val="21"/>
          <w:szCs w:val="21"/>
        </w:rPr>
        <w:t>遗嘱</w:t>
      </w:r>
      <w:r>
        <w:rPr>
          <w:rFonts w:hint="eastAsia" w:ascii="宋体" w:hAnsi="宋体" w:eastAsia="宋体" w:cs="宋体"/>
          <w:sz w:val="21"/>
          <w:szCs w:val="21"/>
        </w:rPr>
        <w:t>、遗赠扶养协议、赠与、认领亲子、收养关系、解除收养关系、生存状况、委托、声明、保证及其他</w:t>
      </w:r>
      <w:r>
        <w:rPr>
          <w:rFonts w:hint="eastAsia" w:ascii="宋体" w:hAnsi="宋体" w:eastAsia="宋体" w:cs="宋体"/>
          <w:b/>
          <w:bCs/>
          <w:color w:val="FF0000"/>
          <w:sz w:val="21"/>
          <w:szCs w:val="21"/>
        </w:rPr>
        <w:t>与自然人人身有密切关系的公证事项</w:t>
      </w:r>
      <w:r>
        <w:rPr>
          <w:rFonts w:hint="eastAsia" w:ascii="宋体" w:hAnsi="宋体" w:eastAsia="宋体" w:cs="宋体"/>
          <w:sz w:val="21"/>
          <w:szCs w:val="21"/>
        </w:rPr>
        <w:t>，应当由其本人亲自申办</w:t>
      </w:r>
      <w:r>
        <w:rPr>
          <w:rFonts w:hint="eastAsia" w:cs="宋体"/>
          <w:sz w:val="21"/>
          <w:szCs w:val="21"/>
          <w:lang w:eastAsia="zh-CN"/>
        </w:rPr>
        <w:t>；</w:t>
      </w:r>
      <w:r>
        <w:rPr>
          <w:rFonts w:hint="eastAsia" w:ascii="宋体" w:hAnsi="宋体" w:eastAsia="宋体" w:cs="宋体"/>
          <w:sz w:val="21"/>
          <w:szCs w:val="21"/>
        </w:rPr>
        <w:t>（3）公证员、公证机构的其他工作人员不得代理当事人在本公证机构申办公证。</w:t>
      </w:r>
    </w:p>
    <w:p w14:paraId="14BFBA06">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（二）公证的审查</w:t>
      </w:r>
      <w:r>
        <w:rPr>
          <w:rFonts w:hint="eastAsia" w:cs="宋体"/>
          <w:b/>
          <w:bCs w:val="0"/>
          <w:color w:val="auto"/>
          <w:sz w:val="21"/>
          <w:szCs w:val="21"/>
          <w:lang w:eastAsia="zh-CN"/>
        </w:rPr>
        <w:t>：</w:t>
      </w:r>
      <w:r>
        <w:rPr>
          <w:rFonts w:hint="eastAsia" w:cs="宋体"/>
          <w:b w:val="0"/>
          <w:bCs/>
          <w:color w:val="auto"/>
          <w:sz w:val="21"/>
          <w:szCs w:val="21"/>
          <w:lang w:eastAsia="zh-CN"/>
        </w:rPr>
        <w:t>（</w:t>
      </w:r>
      <w:r>
        <w:rPr>
          <w:rFonts w:hint="eastAsia" w:cs="宋体"/>
          <w:b w:val="0"/>
          <w:bCs/>
          <w:color w:val="auto"/>
          <w:sz w:val="21"/>
          <w:szCs w:val="21"/>
          <w:lang w:val="en-US" w:eastAsia="zh-CN"/>
        </w:rPr>
        <w:t>1</w:t>
      </w:r>
      <w:r>
        <w:rPr>
          <w:rFonts w:hint="eastAsia" w:cs="宋体"/>
          <w:b w:val="0"/>
          <w:bCs/>
          <w:color w:val="auto"/>
          <w:sz w:val="21"/>
          <w:szCs w:val="21"/>
          <w:lang w:eastAsia="zh-CN"/>
        </w:rPr>
        <w:t>）</w:t>
      </w:r>
      <w:r>
        <w:rPr>
          <w:rFonts w:hint="eastAsia" w:ascii="宋体" w:hAnsi="宋体" w:eastAsia="宋体" w:cs="宋体"/>
          <w:sz w:val="21"/>
          <w:szCs w:val="21"/>
        </w:rPr>
        <w:t>公证机构对当事人的公证申请并非仅作形式审查；</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公证机构审查时发现有重大、复杂情形，应当由公证机构集体讨论。</w:t>
      </w:r>
    </w:p>
    <w:p w14:paraId="60AAB2B6">
      <w:pPr>
        <w:spacing w:line="384" w:lineRule="exact"/>
        <w:ind w:firstLine="211" w:firstLineChars="100"/>
        <w:jc w:val="left"/>
        <w:rPr>
          <w:rFonts w:hint="eastAsia" w:ascii="宋体" w:hAnsi="宋体" w:eastAsia="宋体" w:cs="宋体"/>
          <w:sz w:val="21"/>
          <w:szCs w:val="21"/>
        </w:rPr>
      </w:pPr>
      <w:r>
        <w:rPr>
          <w:rFonts w:hint="eastAsia" w:ascii="宋体" w:hAnsi="宋体" w:eastAsia="宋体" w:cs="宋体"/>
          <w:b/>
          <w:bCs w:val="0"/>
          <w:color w:val="auto"/>
          <w:sz w:val="21"/>
          <w:szCs w:val="21"/>
        </w:rPr>
        <w:t>（三）不予办理公证</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无民事行为能力人或者限制民事行为能力人没有监护人代理申请办理公证的；</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当事人与申请公证的事项没有利害关系的；</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申请公证的事项</w:t>
      </w:r>
      <w:bookmarkStart w:id="23" w:name="_Hlk536571426"/>
      <w:r>
        <w:rPr>
          <w:rFonts w:hint="eastAsia" w:ascii="宋体" w:hAnsi="宋体" w:eastAsia="宋体" w:cs="宋体"/>
          <w:sz w:val="21"/>
          <w:szCs w:val="21"/>
        </w:rPr>
        <w:t>属专业技术鉴定</w:t>
      </w:r>
      <w:bookmarkEnd w:id="23"/>
      <w:r>
        <w:rPr>
          <w:rFonts w:hint="eastAsia" w:ascii="宋体" w:hAnsi="宋体" w:eastAsia="宋体" w:cs="宋体"/>
          <w:sz w:val="21"/>
          <w:szCs w:val="21"/>
        </w:rPr>
        <w:t>、评估事项的；</w:t>
      </w:r>
      <w:r>
        <w:rPr>
          <w:rFonts w:hint="eastAsia" w:cs="宋体"/>
          <w:sz w:val="21"/>
          <w:szCs w:val="21"/>
          <w:lang w:eastAsia="zh-CN"/>
        </w:rPr>
        <w:t>（</w:t>
      </w:r>
      <w:r>
        <w:rPr>
          <w:rFonts w:hint="eastAsia" w:cs="宋体"/>
          <w:sz w:val="21"/>
          <w:szCs w:val="21"/>
          <w:lang w:val="en-US" w:eastAsia="zh-CN"/>
        </w:rPr>
        <w:t>4</w:t>
      </w:r>
      <w:r>
        <w:rPr>
          <w:rFonts w:hint="eastAsia" w:cs="宋体"/>
          <w:sz w:val="21"/>
          <w:szCs w:val="21"/>
          <w:lang w:eastAsia="zh-CN"/>
        </w:rPr>
        <w:t>）</w:t>
      </w:r>
      <w:r>
        <w:rPr>
          <w:rFonts w:hint="eastAsia" w:ascii="宋体" w:hAnsi="宋体" w:eastAsia="宋体" w:cs="宋体"/>
          <w:sz w:val="21"/>
          <w:szCs w:val="21"/>
        </w:rPr>
        <w:t>当事人之间对申请公证的事项有争议的；</w:t>
      </w:r>
      <w:r>
        <w:rPr>
          <w:rFonts w:hint="eastAsia" w:cs="宋体"/>
          <w:sz w:val="21"/>
          <w:szCs w:val="21"/>
          <w:lang w:eastAsia="zh-CN"/>
        </w:rPr>
        <w:t>（</w:t>
      </w:r>
      <w:r>
        <w:rPr>
          <w:rFonts w:hint="eastAsia" w:cs="宋体"/>
          <w:sz w:val="21"/>
          <w:szCs w:val="21"/>
          <w:lang w:val="en-US" w:eastAsia="zh-CN"/>
        </w:rPr>
        <w:t>5</w:t>
      </w:r>
      <w:r>
        <w:rPr>
          <w:rFonts w:hint="eastAsia" w:cs="宋体"/>
          <w:sz w:val="21"/>
          <w:szCs w:val="21"/>
          <w:lang w:eastAsia="zh-CN"/>
        </w:rPr>
        <w:t>）</w:t>
      </w:r>
      <w:r>
        <w:rPr>
          <w:rFonts w:hint="eastAsia" w:ascii="宋体" w:hAnsi="宋体" w:eastAsia="宋体" w:cs="宋体"/>
          <w:sz w:val="21"/>
          <w:szCs w:val="21"/>
        </w:rPr>
        <w:t>当事人虚构、隐瞒事实，或者提供虚假证明材料的；</w:t>
      </w:r>
      <w:r>
        <w:rPr>
          <w:rFonts w:hint="eastAsia" w:cs="宋体"/>
          <w:sz w:val="21"/>
          <w:szCs w:val="21"/>
          <w:lang w:eastAsia="zh-CN"/>
        </w:rPr>
        <w:t>（</w:t>
      </w:r>
      <w:r>
        <w:rPr>
          <w:rFonts w:hint="eastAsia" w:cs="宋体"/>
          <w:sz w:val="21"/>
          <w:szCs w:val="21"/>
          <w:lang w:val="en-US" w:eastAsia="zh-CN"/>
        </w:rPr>
        <w:t>6</w:t>
      </w:r>
      <w:r>
        <w:rPr>
          <w:rFonts w:hint="eastAsia" w:cs="宋体"/>
          <w:sz w:val="21"/>
          <w:szCs w:val="21"/>
          <w:lang w:eastAsia="zh-CN"/>
        </w:rPr>
        <w:t>）</w:t>
      </w:r>
      <w:r>
        <w:rPr>
          <w:rFonts w:hint="eastAsia" w:ascii="宋体" w:hAnsi="宋体" w:eastAsia="宋体" w:cs="宋体"/>
          <w:sz w:val="21"/>
          <w:szCs w:val="21"/>
        </w:rPr>
        <w:t>当事人提供的证明材料不充分或者拒绝补充证明材料的；</w:t>
      </w:r>
      <w:r>
        <w:rPr>
          <w:rFonts w:hint="eastAsia" w:cs="宋体"/>
          <w:sz w:val="21"/>
          <w:szCs w:val="21"/>
          <w:lang w:eastAsia="zh-CN"/>
        </w:rPr>
        <w:t>（</w:t>
      </w:r>
      <w:r>
        <w:rPr>
          <w:rFonts w:hint="eastAsia" w:cs="宋体"/>
          <w:sz w:val="21"/>
          <w:szCs w:val="21"/>
          <w:lang w:val="en-US" w:eastAsia="zh-CN"/>
        </w:rPr>
        <w:t>7</w:t>
      </w:r>
      <w:r>
        <w:rPr>
          <w:rFonts w:hint="eastAsia" w:cs="宋体"/>
          <w:sz w:val="21"/>
          <w:szCs w:val="21"/>
          <w:lang w:eastAsia="zh-CN"/>
        </w:rPr>
        <w:t>）</w:t>
      </w:r>
      <w:r>
        <w:rPr>
          <w:rFonts w:hint="eastAsia" w:ascii="宋体" w:hAnsi="宋体" w:eastAsia="宋体" w:cs="宋体"/>
          <w:sz w:val="21"/>
          <w:szCs w:val="21"/>
        </w:rPr>
        <w:t>申请公证的事项不真实、不合法的；</w:t>
      </w:r>
      <w:r>
        <w:rPr>
          <w:rFonts w:hint="eastAsia" w:cs="宋体"/>
          <w:sz w:val="21"/>
          <w:szCs w:val="21"/>
          <w:lang w:eastAsia="zh-CN"/>
        </w:rPr>
        <w:t>（</w:t>
      </w:r>
      <w:r>
        <w:rPr>
          <w:rFonts w:hint="eastAsia" w:cs="宋体"/>
          <w:sz w:val="21"/>
          <w:szCs w:val="21"/>
          <w:lang w:val="en-US" w:eastAsia="zh-CN"/>
        </w:rPr>
        <w:t>8</w:t>
      </w:r>
      <w:r>
        <w:rPr>
          <w:rFonts w:hint="eastAsia" w:cs="宋体"/>
          <w:sz w:val="21"/>
          <w:szCs w:val="21"/>
          <w:lang w:eastAsia="zh-CN"/>
        </w:rPr>
        <w:t>）</w:t>
      </w:r>
      <w:r>
        <w:rPr>
          <w:rFonts w:hint="eastAsia" w:ascii="宋体" w:hAnsi="宋体" w:eastAsia="宋体" w:cs="宋体"/>
          <w:sz w:val="21"/>
          <w:szCs w:val="21"/>
        </w:rPr>
        <w:t>申请公证的事项违背社会公德的；</w:t>
      </w:r>
      <w:r>
        <w:rPr>
          <w:rFonts w:hint="eastAsia" w:cs="宋体"/>
          <w:sz w:val="21"/>
          <w:szCs w:val="21"/>
          <w:lang w:eastAsia="zh-CN"/>
        </w:rPr>
        <w:t>（</w:t>
      </w:r>
      <w:r>
        <w:rPr>
          <w:rFonts w:hint="eastAsia" w:cs="宋体"/>
          <w:sz w:val="21"/>
          <w:szCs w:val="21"/>
          <w:lang w:val="en-US" w:eastAsia="zh-CN"/>
        </w:rPr>
        <w:t>9</w:t>
      </w:r>
      <w:r>
        <w:rPr>
          <w:rFonts w:hint="eastAsia" w:cs="宋体"/>
          <w:sz w:val="21"/>
          <w:szCs w:val="21"/>
          <w:lang w:eastAsia="zh-CN"/>
        </w:rPr>
        <w:t>）</w:t>
      </w:r>
      <w:r>
        <w:rPr>
          <w:rFonts w:hint="eastAsia" w:ascii="宋体" w:hAnsi="宋体" w:eastAsia="宋体" w:cs="宋体"/>
          <w:sz w:val="21"/>
          <w:szCs w:val="21"/>
        </w:rPr>
        <w:t>当事人拒绝按照规定支付公证费的。</w:t>
      </w:r>
    </w:p>
    <w:p w14:paraId="71B55491">
      <w:pPr>
        <w:spacing w:line="384" w:lineRule="exact"/>
        <w:ind w:firstLine="253" w:firstLineChars="120"/>
        <w:jc w:val="left"/>
        <w:rPr>
          <w:rFonts w:hint="eastAsia" w:ascii="宋体" w:hAnsi="宋体" w:eastAsia="宋体" w:cs="宋体"/>
          <w:bCs/>
          <w:color w:val="auto"/>
          <w:sz w:val="21"/>
          <w:szCs w:val="21"/>
        </w:rPr>
      </w:pPr>
      <w:r>
        <w:rPr>
          <w:rFonts w:hint="eastAsia" w:ascii="宋体" w:hAnsi="宋体" w:eastAsia="宋体" w:cs="宋体"/>
          <w:b/>
          <w:bCs w:val="0"/>
          <w:color w:val="auto"/>
          <w:sz w:val="21"/>
          <w:szCs w:val="21"/>
        </w:rPr>
        <w:t>（四）公证程序的特别规定</w:t>
      </w:r>
      <w:r>
        <w:rPr>
          <w:rFonts w:hint="eastAsia" w:cs="宋体"/>
          <w:b/>
          <w:bCs w:val="0"/>
          <w:color w:val="auto"/>
          <w:sz w:val="21"/>
          <w:szCs w:val="21"/>
          <w:lang w:eastAsia="zh-CN"/>
        </w:rPr>
        <w:t>：</w:t>
      </w:r>
      <w:r>
        <w:rPr>
          <w:rFonts w:hint="eastAsia" w:cs="宋体"/>
          <w:b w:val="0"/>
          <w:bCs/>
          <w:color w:val="auto"/>
          <w:sz w:val="21"/>
          <w:szCs w:val="21"/>
          <w:lang w:eastAsia="zh-CN"/>
        </w:rPr>
        <w:t>（</w:t>
      </w:r>
      <w:r>
        <w:rPr>
          <w:rFonts w:hint="eastAsia" w:cs="宋体"/>
          <w:b w:val="0"/>
          <w:bCs/>
          <w:color w:val="auto"/>
          <w:sz w:val="21"/>
          <w:szCs w:val="21"/>
          <w:lang w:val="en-US" w:eastAsia="zh-CN"/>
        </w:rPr>
        <w:t>1</w:t>
      </w:r>
      <w:r>
        <w:rPr>
          <w:rFonts w:hint="eastAsia" w:cs="宋体"/>
          <w:b w:val="0"/>
          <w:bCs/>
          <w:color w:val="auto"/>
          <w:sz w:val="21"/>
          <w:szCs w:val="21"/>
          <w:lang w:eastAsia="zh-CN"/>
        </w:rPr>
        <w:t>）</w:t>
      </w:r>
      <w:r>
        <w:rPr>
          <w:rFonts w:hint="eastAsia" w:ascii="宋体" w:hAnsi="宋体" w:eastAsia="宋体" w:cs="宋体"/>
          <w:sz w:val="21"/>
          <w:szCs w:val="21"/>
        </w:rPr>
        <w:t>办理保全证据、现场监督类公证，应当由2人共同办理</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办理遗嘱公证，原则上应当由2人共同办理。特殊情况下只能由1名公证员办理时，应当请1名见证人在场</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债务人不履行或者不适当履行经公证的具有强制执行效力的债权文书，公证机构可以根据债权人的申请出具执行证书。</w:t>
      </w:r>
    </w:p>
    <w:p w14:paraId="03E13838">
      <w:pPr>
        <w:spacing w:line="384" w:lineRule="exact"/>
        <w:jc w:val="left"/>
        <w:rPr>
          <w:rFonts w:hint="eastAsia" w:ascii="宋体" w:hAnsi="宋体" w:eastAsia="宋体" w:cs="宋体"/>
          <w:sz w:val="21"/>
          <w:szCs w:val="21"/>
        </w:rPr>
      </w:pPr>
      <w:r>
        <w:rPr>
          <w:rFonts w:hint="eastAsia" w:ascii="宋体" w:hAnsi="宋体" w:eastAsia="宋体" w:cs="宋体"/>
          <w:b/>
          <w:bCs w:val="0"/>
          <w:color w:val="auto"/>
          <w:sz w:val="21"/>
          <w:szCs w:val="21"/>
        </w:rPr>
        <w:t>二、公证的救济</w:t>
      </w:r>
      <w:r>
        <w:rPr>
          <w:rFonts w:hint="eastAsia" w:cs="宋体"/>
          <w:b/>
          <w:bCs w:val="0"/>
          <w:color w:val="auto"/>
          <w:sz w:val="21"/>
          <w:szCs w:val="21"/>
          <w:lang w:eastAsia="zh-CN"/>
        </w:rPr>
        <w:t>：</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w:t>
      </w:r>
      <w:r>
        <w:rPr>
          <w:rFonts w:hint="eastAsia" w:ascii="宋体" w:hAnsi="宋体" w:eastAsia="宋体" w:cs="宋体"/>
          <w:sz w:val="21"/>
          <w:szCs w:val="21"/>
        </w:rPr>
        <w:t>当事人、公证事项的利害关系人认为公证书错误，可以向出具该公证书的公证机构提出复查；</w:t>
      </w:r>
      <w:r>
        <w:rPr>
          <w:rFonts w:hint="eastAsia" w:cs="宋体"/>
          <w:sz w:val="21"/>
          <w:szCs w:val="21"/>
          <w:lang w:eastAsia="zh-CN"/>
        </w:rPr>
        <w:t>（</w:t>
      </w:r>
      <w:r>
        <w:rPr>
          <w:rFonts w:hint="eastAsia" w:cs="宋体"/>
          <w:sz w:val="21"/>
          <w:szCs w:val="21"/>
          <w:lang w:val="en-US" w:eastAsia="zh-CN"/>
        </w:rPr>
        <w:t>2</w:t>
      </w:r>
      <w:r>
        <w:rPr>
          <w:rFonts w:hint="eastAsia" w:cs="宋体"/>
          <w:sz w:val="21"/>
          <w:szCs w:val="21"/>
          <w:lang w:eastAsia="zh-CN"/>
        </w:rPr>
        <w:t>）</w:t>
      </w:r>
      <w:r>
        <w:rPr>
          <w:rFonts w:hint="eastAsia" w:ascii="宋体" w:hAnsi="宋体" w:eastAsia="宋体" w:cs="宋体"/>
          <w:sz w:val="21"/>
          <w:szCs w:val="21"/>
        </w:rPr>
        <w:t>法院无权撤销公证文书；</w:t>
      </w:r>
      <w:r>
        <w:rPr>
          <w:rFonts w:hint="eastAsia" w:cs="宋体"/>
          <w:sz w:val="21"/>
          <w:szCs w:val="21"/>
          <w:lang w:eastAsia="zh-CN"/>
        </w:rPr>
        <w:t>（</w:t>
      </w:r>
      <w:r>
        <w:rPr>
          <w:rFonts w:hint="eastAsia" w:cs="宋体"/>
          <w:sz w:val="21"/>
          <w:szCs w:val="21"/>
          <w:lang w:val="en-US" w:eastAsia="zh-CN"/>
        </w:rPr>
        <w:t>3</w:t>
      </w:r>
      <w:r>
        <w:rPr>
          <w:rFonts w:hint="eastAsia" w:cs="宋体"/>
          <w:sz w:val="21"/>
          <w:szCs w:val="21"/>
          <w:lang w:eastAsia="zh-CN"/>
        </w:rPr>
        <w:t>）</w:t>
      </w:r>
      <w:r>
        <w:rPr>
          <w:rFonts w:hint="eastAsia" w:ascii="宋体" w:hAnsi="宋体" w:eastAsia="宋体" w:cs="宋体"/>
          <w:sz w:val="21"/>
          <w:szCs w:val="21"/>
        </w:rPr>
        <w:t>当事人、利害关系人对公证书涉及实体权利义务的内容有争议，公证机构应当告知其起诉救济。</w:t>
      </w:r>
    </w:p>
    <w:p w14:paraId="0FA08941">
      <w:pPr>
        <w:keepNext w:val="0"/>
        <w:keepLines w:val="0"/>
        <w:pageBreakBefore w:val="0"/>
        <w:widowControl w:val="0"/>
        <w:tabs>
          <w:tab w:val="left" w:pos="4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bookmarkStart w:id="24" w:name="_Toc230600009"/>
      <w:bookmarkStart w:id="25" w:name="_Toc15405"/>
      <w:bookmarkStart w:id="26" w:name="_Toc32246_WPSOffice_Level1"/>
      <w:r>
        <w:rPr>
          <w:rFonts w:hint="eastAsia" w:ascii="宋体" w:hAnsi="宋体" w:eastAsia="宋体" w:cs="宋体"/>
          <w:b/>
          <w:bCs/>
          <w:color w:val="000000" w:themeColor="text1"/>
          <w:sz w:val="24"/>
          <w:szCs w:val="24"/>
          <w:lang w:val="en-US" w:eastAsia="zh-CN"/>
          <w14:textFill>
            <w14:solidFill>
              <w14:schemeClr w14:val="tx1"/>
            </w14:solidFill>
          </w14:textFill>
        </w:rPr>
        <w:t>考点17  法官职业道德</w:t>
      </w:r>
      <w:bookmarkEnd w:id="24"/>
      <w:bookmarkEnd w:id="25"/>
      <w:bookmarkEnd w:id="26"/>
      <w:r>
        <w:rPr>
          <w:rFonts w:hint="eastAsia" w:cs="宋体"/>
          <w:b/>
          <w:bCs/>
          <w:color w:val="000000" w:themeColor="text1"/>
          <w:sz w:val="24"/>
          <w:szCs w:val="24"/>
          <w:lang w:val="en-US" w:eastAsia="zh-CN"/>
          <w14:textFill>
            <w14:solidFill>
              <w14:schemeClr w14:val="tx1"/>
            </w14:solidFill>
          </w14:textFill>
        </w:rPr>
        <w:t>（22:07—22：30</w:t>
      </w:r>
      <w:bookmarkStart w:id="28" w:name="_GoBack"/>
      <w:bookmarkEnd w:id="28"/>
      <w:r>
        <w:rPr>
          <w:rFonts w:hint="eastAsia" w:cs="宋体"/>
          <w:b/>
          <w:bCs/>
          <w:color w:val="000000" w:themeColor="text1"/>
          <w:sz w:val="24"/>
          <w:szCs w:val="24"/>
          <w:lang w:val="en-US" w:eastAsia="zh-CN"/>
          <w14:textFill>
            <w14:solidFill>
              <w14:schemeClr w14:val="tx1"/>
            </w14:solidFill>
          </w14:textFill>
        </w:rPr>
        <w:t>）</w:t>
      </w:r>
    </w:p>
    <w:p w14:paraId="48E8B99F">
      <w:pPr>
        <w:spacing w:line="384" w:lineRule="exact"/>
        <w:jc w:val="left"/>
        <w:rPr>
          <w:rFonts w:hint="eastAsia" w:ascii="宋体" w:hAnsi="宋体" w:eastAsia="宋体" w:cs="宋体"/>
          <w:b/>
          <w:bCs w:val="0"/>
          <w:color w:val="FF0000"/>
          <w:sz w:val="21"/>
          <w:szCs w:val="21"/>
        </w:rPr>
      </w:pPr>
      <w:r>
        <w:rPr>
          <w:rFonts w:hint="eastAsia" w:ascii="宋体" w:hAnsi="宋体" w:eastAsia="宋体" w:cs="宋体"/>
          <w:b/>
          <w:bCs w:val="0"/>
          <w:color w:val="auto"/>
          <w:sz w:val="21"/>
          <w:szCs w:val="21"/>
        </w:rPr>
        <w:t>一、法官职业道德的主要内容</w:t>
      </w:r>
    </w:p>
    <w:p w14:paraId="31B69E4C">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（一）忠诚司法事业</w:t>
      </w:r>
      <w:r>
        <w:rPr>
          <w:rFonts w:hint="eastAsia" w:cs="宋体"/>
          <w:b/>
          <w:bCs w:val="0"/>
          <w:color w:val="auto"/>
          <w:sz w:val="21"/>
          <w:szCs w:val="21"/>
          <w:lang w:eastAsia="zh-CN"/>
        </w:rPr>
        <w:t>（</w:t>
      </w:r>
      <w:r>
        <w:rPr>
          <w:rFonts w:hint="eastAsia" w:cs="宋体"/>
          <w:b/>
          <w:bCs w:val="0"/>
          <w:color w:val="auto"/>
          <w:sz w:val="21"/>
          <w:szCs w:val="21"/>
          <w:lang w:val="en-US" w:eastAsia="zh-CN"/>
        </w:rPr>
        <w:t>政治素质</w:t>
      </w:r>
      <w:r>
        <w:rPr>
          <w:rFonts w:hint="eastAsia" w:cs="宋体"/>
          <w:b/>
          <w:bCs w:val="0"/>
          <w:color w:val="auto"/>
          <w:sz w:val="21"/>
          <w:szCs w:val="21"/>
          <w:lang w:eastAsia="zh-CN"/>
        </w:rPr>
        <w:t>）：</w:t>
      </w:r>
      <w:r>
        <w:rPr>
          <w:rFonts w:hint="eastAsia" w:cs="宋体"/>
          <w:b w:val="0"/>
          <w:bCs/>
          <w:color w:val="auto"/>
          <w:sz w:val="21"/>
          <w:szCs w:val="21"/>
          <w:lang w:eastAsia="zh-CN"/>
        </w:rPr>
        <w:t>（</w:t>
      </w:r>
      <w:r>
        <w:rPr>
          <w:rFonts w:hint="eastAsia" w:cs="宋体"/>
          <w:b w:val="0"/>
          <w:bCs/>
          <w:color w:val="auto"/>
          <w:sz w:val="21"/>
          <w:szCs w:val="21"/>
          <w:lang w:val="en-US" w:eastAsia="zh-CN"/>
        </w:rPr>
        <w:t>1</w:t>
      </w:r>
      <w:r>
        <w:rPr>
          <w:rFonts w:hint="eastAsia" w:cs="宋体"/>
          <w:b w:val="0"/>
          <w:bCs/>
          <w:color w:val="auto"/>
          <w:sz w:val="21"/>
          <w:szCs w:val="21"/>
          <w:lang w:eastAsia="zh-CN"/>
        </w:rPr>
        <w:t>）</w:t>
      </w:r>
      <w:r>
        <w:rPr>
          <w:rFonts w:hint="eastAsia" w:ascii="宋体" w:hAnsi="宋体" w:eastAsia="宋体" w:cs="宋体"/>
          <w:spacing w:val="-3"/>
          <w:sz w:val="21"/>
          <w:szCs w:val="21"/>
        </w:rPr>
        <w:t>忠于党、忠于国家、忠于人民、忠于法律，做中国特色社会主义事业建设者和捍卫者</w:t>
      </w:r>
      <w:r>
        <w:rPr>
          <w:rFonts w:hint="eastAsia" w:cs="宋体"/>
          <w:spacing w:val="-3"/>
          <w:sz w:val="21"/>
          <w:szCs w:val="21"/>
          <w:lang w:eastAsia="zh-CN"/>
        </w:rPr>
        <w:t>；（</w:t>
      </w:r>
      <w:r>
        <w:rPr>
          <w:rFonts w:hint="eastAsia" w:cs="宋体"/>
          <w:spacing w:val="-3"/>
          <w:sz w:val="21"/>
          <w:szCs w:val="21"/>
          <w:lang w:val="en-US" w:eastAsia="zh-CN"/>
        </w:rPr>
        <w:t>2</w:t>
      </w:r>
      <w:r>
        <w:rPr>
          <w:rFonts w:hint="eastAsia" w:cs="宋体"/>
          <w:spacing w:val="-3"/>
          <w:sz w:val="21"/>
          <w:szCs w:val="21"/>
          <w:lang w:eastAsia="zh-CN"/>
        </w:rPr>
        <w:t>）</w:t>
      </w:r>
      <w:r>
        <w:rPr>
          <w:rFonts w:hint="eastAsia" w:ascii="宋体" w:hAnsi="宋体" w:eastAsia="宋体" w:cs="宋体"/>
          <w:sz w:val="21"/>
          <w:szCs w:val="21"/>
        </w:rPr>
        <w:t>维护国家利益，遵守政治纪律，保守国家秘密和审判工作秘密，不从事或参与有损国家利益和司法权威的活动，不发表有损国家利益和司法权威的言论。</w:t>
      </w:r>
    </w:p>
    <w:p w14:paraId="45E389BF">
      <w:pPr>
        <w:spacing w:line="384" w:lineRule="exact"/>
        <w:ind w:firstLine="253" w:firstLineChars="12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rPr>
        <w:t>（二）保证司法公正</w:t>
      </w:r>
      <w:r>
        <w:rPr>
          <w:rFonts w:hint="eastAsia" w:cs="宋体"/>
          <w:b/>
          <w:bCs w:val="0"/>
          <w:color w:val="auto"/>
          <w:sz w:val="21"/>
          <w:szCs w:val="21"/>
          <w:lang w:eastAsia="zh-CN"/>
        </w:rPr>
        <w:t>（</w:t>
      </w:r>
      <w:r>
        <w:rPr>
          <w:rFonts w:hint="eastAsia" w:cs="宋体"/>
          <w:b/>
          <w:bCs w:val="0"/>
          <w:color w:val="auto"/>
          <w:sz w:val="21"/>
          <w:szCs w:val="21"/>
          <w:lang w:val="en-US" w:eastAsia="zh-CN"/>
        </w:rPr>
        <w:t>业务素质</w:t>
      </w:r>
      <w:r>
        <w:rPr>
          <w:rFonts w:hint="eastAsia" w:cs="宋体"/>
          <w:b/>
          <w:bCs w:val="0"/>
          <w:color w:val="auto"/>
          <w:sz w:val="21"/>
          <w:szCs w:val="21"/>
          <w:lang w:eastAsia="zh-CN"/>
        </w:rPr>
        <w:t>）</w:t>
      </w:r>
    </w:p>
    <w:p w14:paraId="452850CF">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1．维护审判独立</w:t>
      </w:r>
    </w:p>
    <w:p w14:paraId="36B0E8AC">
      <w:pPr>
        <w:tabs>
          <w:tab w:val="left" w:pos="420"/>
        </w:tabs>
        <w:spacing w:line="384" w:lineRule="exact"/>
        <w:ind w:firstLine="420" w:firstLineChars="200"/>
        <w:rPr>
          <w:rFonts w:hint="eastAsia" w:ascii="宋体" w:hAnsi="宋体" w:eastAsia="宋体" w:cs="宋体"/>
          <w:strike/>
          <w:sz w:val="21"/>
          <w:szCs w:val="21"/>
        </w:rPr>
      </w:pPr>
      <w:r>
        <w:rPr>
          <w:rFonts w:hint="eastAsia" w:ascii="宋体" w:hAnsi="宋体" w:eastAsia="宋体" w:cs="宋体"/>
          <w:sz w:val="21"/>
          <w:szCs w:val="21"/>
        </w:rPr>
        <w:t>坚持和维护人民法院依法独立行使审判权的原则，客观公正审理案件，在审判活动中独立思考、自主判断，敢于坚持原则，不受任何行政机关、社会团体和个人的干涉，不受权势、人情等因素的影响。</w:t>
      </w:r>
    </w:p>
    <w:p w14:paraId="3BDACF4C">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2．确保案件裁判结果公平公正</w:t>
      </w:r>
    </w:p>
    <w:p w14:paraId="544F7505">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3．坚持实体公正与程序公正并重</w:t>
      </w:r>
    </w:p>
    <w:p w14:paraId="19CCF980">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4．提高司法效率</w:t>
      </w:r>
      <w:r>
        <w:rPr>
          <w:rFonts w:hint="eastAsia" w:cs="宋体"/>
          <w:b/>
          <w:bCs w:val="0"/>
          <w:kern w:val="44"/>
          <w:sz w:val="21"/>
          <w:szCs w:val="21"/>
          <w:lang w:eastAsia="zh-CN"/>
        </w:rPr>
        <w:t>：</w:t>
      </w:r>
      <w:r>
        <w:rPr>
          <w:rFonts w:hint="eastAsia" w:ascii="宋体" w:hAnsi="宋体" w:eastAsia="宋体" w:cs="宋体"/>
          <w:sz w:val="21"/>
          <w:szCs w:val="21"/>
        </w:rPr>
        <w:t>（1）严格遵守审限；（2）法官的职权活动应当充分考虑效率因素；（3）监督当事人及时完成诉讼活动。</w:t>
      </w:r>
    </w:p>
    <w:p w14:paraId="0FA0B319">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5．公开审判</w:t>
      </w:r>
      <w:r>
        <w:rPr>
          <w:rFonts w:hint="eastAsia" w:cs="宋体"/>
          <w:b/>
          <w:bCs w:val="0"/>
          <w:kern w:val="44"/>
          <w:sz w:val="21"/>
          <w:szCs w:val="21"/>
          <w:lang w:eastAsia="zh-CN"/>
        </w:rPr>
        <w:t>：</w:t>
      </w:r>
      <w:r>
        <w:rPr>
          <w:rFonts w:hint="eastAsia" w:ascii="宋体" w:hAnsi="宋体" w:eastAsia="宋体" w:cs="宋体"/>
          <w:sz w:val="21"/>
          <w:szCs w:val="21"/>
        </w:rPr>
        <w:t>认真贯彻司法公开原则，尊重人民群众的知情权，自觉接受法律监督和社会监督，同时避免司法审判受到外界的不当影响。</w:t>
      </w:r>
    </w:p>
    <w:p w14:paraId="56A33CE6">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6．遵守回避规定，保持中立地位</w:t>
      </w:r>
      <w:r>
        <w:rPr>
          <w:rFonts w:hint="eastAsia" w:cs="宋体"/>
          <w:b/>
          <w:bCs w:val="0"/>
          <w:kern w:val="44"/>
          <w:sz w:val="21"/>
          <w:szCs w:val="21"/>
          <w:lang w:eastAsia="zh-CN"/>
        </w:rPr>
        <w:t>：</w:t>
      </w:r>
      <w:r>
        <w:rPr>
          <w:rFonts w:hint="eastAsia" w:ascii="宋体" w:hAnsi="宋体" w:eastAsia="宋体" w:cs="宋体"/>
          <w:sz w:val="21"/>
          <w:szCs w:val="21"/>
        </w:rPr>
        <w:t>自觉遵守司法回避制度，审理案件保持中立公正的立场，平等对待当事人和其他诉讼参与人，不偏袒或歧视任何一方当事人，不私自单独会见当事人及其代理人、辩护人。法官还应落实任职回避制度。</w:t>
      </w:r>
    </w:p>
    <w:p w14:paraId="2979C861">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7．不办关系案、人情案、金钱案</w:t>
      </w:r>
      <w:r>
        <w:rPr>
          <w:rFonts w:hint="eastAsia" w:cs="宋体"/>
          <w:b/>
          <w:bCs w:val="0"/>
          <w:kern w:val="44"/>
          <w:sz w:val="21"/>
          <w:szCs w:val="21"/>
          <w:lang w:eastAsia="zh-CN"/>
        </w:rPr>
        <w:t>：</w:t>
      </w:r>
      <w:r>
        <w:rPr>
          <w:rFonts w:hint="eastAsia" w:ascii="宋体" w:hAnsi="宋体" w:eastAsia="宋体" w:cs="宋体"/>
          <w:sz w:val="21"/>
          <w:szCs w:val="21"/>
        </w:rPr>
        <w:t>尊重其他法官对审判职权的依法行使，除履行工作职责或者通过正当程序外，不过问、不干预、不评论其他法官正在审理的案件。法院工作人员及退休人员一律不得违反规定为案件当事人及其关系人转递涉案材料、打听案情和打招呼说情。法官应当严格依法办案，不受当事人及其委托的律师利用各种关系、以不正当方式对案件审判进行的干涉或者施加的影响。</w:t>
      </w:r>
    </w:p>
    <w:p w14:paraId="40090D53">
      <w:pPr>
        <w:spacing w:line="384" w:lineRule="exact"/>
        <w:ind w:firstLine="253" w:firstLineChars="120"/>
        <w:jc w:val="left"/>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rPr>
        <w:t>（三）确保司法廉洁</w:t>
      </w:r>
      <w:r>
        <w:rPr>
          <w:rFonts w:hint="eastAsia" w:cs="宋体"/>
          <w:b/>
          <w:bCs w:val="0"/>
          <w:color w:val="auto"/>
          <w:sz w:val="21"/>
          <w:szCs w:val="21"/>
          <w:lang w:eastAsia="zh-CN"/>
        </w:rPr>
        <w:t>（</w:t>
      </w:r>
      <w:r>
        <w:rPr>
          <w:rFonts w:hint="eastAsia" w:cs="宋体"/>
          <w:b/>
          <w:bCs w:val="0"/>
          <w:color w:val="auto"/>
          <w:sz w:val="21"/>
          <w:szCs w:val="21"/>
          <w:lang w:val="en-US" w:eastAsia="zh-CN"/>
        </w:rPr>
        <w:t>道德素质</w:t>
      </w:r>
      <w:r>
        <w:rPr>
          <w:rFonts w:hint="eastAsia" w:cs="宋体"/>
          <w:b/>
          <w:bCs w:val="0"/>
          <w:color w:val="auto"/>
          <w:sz w:val="21"/>
          <w:szCs w:val="21"/>
          <w:lang w:eastAsia="zh-CN"/>
        </w:rPr>
        <w:t>）</w:t>
      </w:r>
    </w:p>
    <w:p w14:paraId="5E486C4C">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1．不得接受诉讼当事人的钱物和其他利益</w:t>
      </w:r>
      <w:r>
        <w:rPr>
          <w:rFonts w:hint="eastAsia" w:cs="宋体"/>
          <w:b/>
          <w:bCs w:val="0"/>
          <w:kern w:val="44"/>
          <w:sz w:val="21"/>
          <w:szCs w:val="21"/>
          <w:lang w:eastAsia="zh-CN"/>
        </w:rPr>
        <w:t>：</w:t>
      </w:r>
      <w:r>
        <w:rPr>
          <w:rFonts w:hint="eastAsia" w:ascii="宋体" w:hAnsi="宋体" w:eastAsia="宋体" w:cs="宋体"/>
          <w:sz w:val="21"/>
          <w:szCs w:val="21"/>
        </w:rPr>
        <w:t>严格遵守廉洁司法规定，不接受案件当事人及相关人员的请客送礼，不利用职务便利或者法官身份谋取不正当利益，不违反规定与当事人或者其他诉讼参与人进行不正当交往，不在执法办案中徇私舞弊。人民法院工作人员不得接受可能影响公正执行公务的礼金、礼品、宴请以及旅游、健身、娱乐等活动安排。</w:t>
      </w:r>
    </w:p>
    <w:p w14:paraId="1E84A319">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2．</w:t>
      </w:r>
      <w:bookmarkStart w:id="27" w:name="_Hlk512461187"/>
      <w:r>
        <w:rPr>
          <w:rFonts w:hint="eastAsia" w:ascii="宋体" w:hAnsi="宋体" w:eastAsia="宋体" w:cs="宋体"/>
          <w:b/>
          <w:bCs w:val="0"/>
          <w:kern w:val="44"/>
          <w:sz w:val="21"/>
          <w:szCs w:val="21"/>
        </w:rPr>
        <w:t>不得从事或者参与营利性的经营活动</w:t>
      </w:r>
      <w:bookmarkEnd w:id="27"/>
      <w:r>
        <w:rPr>
          <w:rFonts w:hint="eastAsia" w:cs="宋体"/>
          <w:b/>
          <w:bCs w:val="0"/>
          <w:kern w:val="44"/>
          <w:sz w:val="21"/>
          <w:szCs w:val="21"/>
          <w:lang w:eastAsia="zh-CN"/>
        </w:rPr>
        <w:t>：</w:t>
      </w:r>
      <w:r>
        <w:rPr>
          <w:rFonts w:hint="eastAsia" w:ascii="宋体" w:hAnsi="宋体" w:eastAsia="宋体" w:cs="宋体"/>
          <w:sz w:val="21"/>
          <w:szCs w:val="21"/>
        </w:rPr>
        <w:t>不从事或者参与营利性的经营活动，不在企业及其他营利性组织中兼任法律顾问等职务，不就未决案件或者再审案件给当事人及其他诉讼参与人提供</w:t>
      </w:r>
      <w:r>
        <w:rPr>
          <w:rFonts w:hint="eastAsia" w:ascii="宋体" w:hAnsi="宋体" w:eastAsia="宋体" w:cs="宋体"/>
          <w:b/>
          <w:bCs/>
          <w:sz w:val="21"/>
          <w:szCs w:val="21"/>
        </w:rPr>
        <w:t>咨询意见</w:t>
      </w:r>
      <w:r>
        <w:rPr>
          <w:rFonts w:hint="eastAsia" w:ascii="宋体" w:hAnsi="宋体" w:eastAsia="宋体" w:cs="宋体"/>
          <w:sz w:val="21"/>
          <w:szCs w:val="21"/>
        </w:rPr>
        <w:t>。</w:t>
      </w:r>
    </w:p>
    <w:p w14:paraId="6387E1D5">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3．不得以其身份谋取特殊利益</w:t>
      </w:r>
      <w:r>
        <w:rPr>
          <w:rFonts w:hint="eastAsia" w:cs="宋体"/>
          <w:b/>
          <w:bCs w:val="0"/>
          <w:kern w:val="44"/>
          <w:sz w:val="21"/>
          <w:szCs w:val="21"/>
          <w:lang w:eastAsia="zh-CN"/>
        </w:rPr>
        <w:t>：</w:t>
      </w:r>
      <w:r>
        <w:rPr>
          <w:rFonts w:hint="eastAsia" w:ascii="宋体" w:hAnsi="宋体" w:eastAsia="宋体" w:cs="宋体"/>
          <w:sz w:val="21"/>
          <w:szCs w:val="21"/>
        </w:rPr>
        <w:t>妥善处理个人和家庭事务，不利用法官身份寻求特殊利益。按规定如实报告个人有关事项，教育督促家庭成员不利用法官的职权、地位谋取不正当利益。</w:t>
      </w:r>
    </w:p>
    <w:p w14:paraId="04D8AE8D">
      <w:pPr>
        <w:spacing w:line="384" w:lineRule="exact"/>
        <w:ind w:firstLine="253" w:firstLineChars="120"/>
        <w:jc w:val="left"/>
        <w:rPr>
          <w:rFonts w:hint="eastAsia" w:ascii="宋体" w:hAnsi="宋体" w:eastAsia="宋体" w:cs="宋体"/>
          <w:sz w:val="21"/>
          <w:szCs w:val="21"/>
        </w:rPr>
      </w:pPr>
      <w:r>
        <w:rPr>
          <w:rFonts w:hint="eastAsia" w:ascii="宋体" w:hAnsi="宋体" w:eastAsia="宋体" w:cs="宋体"/>
          <w:b/>
          <w:bCs w:val="0"/>
          <w:color w:val="auto"/>
          <w:sz w:val="21"/>
          <w:szCs w:val="21"/>
        </w:rPr>
        <w:t>（四）坚持司法为民</w:t>
      </w:r>
      <w:r>
        <w:rPr>
          <w:rFonts w:hint="eastAsia" w:cs="宋体"/>
          <w:b/>
          <w:bCs w:val="0"/>
          <w:color w:val="auto"/>
          <w:sz w:val="21"/>
          <w:szCs w:val="21"/>
          <w:lang w:eastAsia="zh-CN"/>
        </w:rPr>
        <w:t>：</w:t>
      </w:r>
      <w:r>
        <w:rPr>
          <w:rFonts w:hint="eastAsia" w:cs="宋体"/>
          <w:b w:val="0"/>
          <w:bCs/>
          <w:color w:val="auto"/>
          <w:sz w:val="21"/>
          <w:szCs w:val="21"/>
          <w:lang w:eastAsia="zh-CN"/>
        </w:rPr>
        <w:t>（</w:t>
      </w:r>
      <w:r>
        <w:rPr>
          <w:rFonts w:hint="eastAsia" w:cs="宋体"/>
          <w:b w:val="0"/>
          <w:bCs/>
          <w:color w:val="auto"/>
          <w:sz w:val="21"/>
          <w:szCs w:val="21"/>
          <w:lang w:val="en-US" w:eastAsia="zh-CN"/>
        </w:rPr>
        <w:t>1</w:t>
      </w:r>
      <w:r>
        <w:rPr>
          <w:rFonts w:hint="eastAsia" w:cs="宋体"/>
          <w:b w:val="0"/>
          <w:bCs/>
          <w:color w:val="auto"/>
          <w:sz w:val="21"/>
          <w:szCs w:val="21"/>
          <w:lang w:eastAsia="zh-CN"/>
        </w:rPr>
        <w:t>）</w:t>
      </w:r>
      <w:r>
        <w:rPr>
          <w:rFonts w:hint="eastAsia" w:ascii="宋体" w:hAnsi="宋体" w:eastAsia="宋体" w:cs="宋体"/>
          <w:bCs/>
          <w:kern w:val="44"/>
          <w:sz w:val="21"/>
          <w:szCs w:val="21"/>
        </w:rPr>
        <w:t>以人为本</w:t>
      </w:r>
      <w:r>
        <w:rPr>
          <w:rFonts w:hint="eastAsia" w:cs="宋体"/>
          <w:bCs/>
          <w:kern w:val="44"/>
          <w:sz w:val="21"/>
          <w:szCs w:val="21"/>
          <w:lang w:eastAsia="zh-CN"/>
        </w:rPr>
        <w:t>；（</w:t>
      </w:r>
      <w:r>
        <w:rPr>
          <w:rFonts w:hint="eastAsia" w:cs="宋体"/>
          <w:bCs/>
          <w:kern w:val="44"/>
          <w:sz w:val="21"/>
          <w:szCs w:val="21"/>
          <w:lang w:val="en-US" w:eastAsia="zh-CN"/>
        </w:rPr>
        <w:t>2</w:t>
      </w:r>
      <w:r>
        <w:rPr>
          <w:rFonts w:hint="eastAsia" w:cs="宋体"/>
          <w:bCs/>
          <w:kern w:val="44"/>
          <w:sz w:val="21"/>
          <w:szCs w:val="21"/>
          <w:lang w:eastAsia="zh-CN"/>
        </w:rPr>
        <w:t>）</w:t>
      </w:r>
      <w:r>
        <w:rPr>
          <w:rFonts w:hint="eastAsia" w:ascii="宋体" w:hAnsi="宋体" w:eastAsia="宋体" w:cs="宋体"/>
          <w:bCs/>
          <w:kern w:val="44"/>
          <w:sz w:val="21"/>
          <w:szCs w:val="21"/>
        </w:rPr>
        <w:t>发挥司法的能动作用</w:t>
      </w:r>
      <w:r>
        <w:rPr>
          <w:rFonts w:hint="eastAsia" w:cs="宋体"/>
          <w:bCs/>
          <w:kern w:val="44"/>
          <w:sz w:val="21"/>
          <w:szCs w:val="21"/>
          <w:lang w:eastAsia="zh-CN"/>
        </w:rPr>
        <w:t>；（</w:t>
      </w:r>
      <w:r>
        <w:rPr>
          <w:rFonts w:hint="eastAsia" w:cs="宋体"/>
          <w:bCs/>
          <w:kern w:val="44"/>
          <w:sz w:val="21"/>
          <w:szCs w:val="21"/>
          <w:lang w:val="en-US" w:eastAsia="zh-CN"/>
        </w:rPr>
        <w:t>3</w:t>
      </w:r>
      <w:r>
        <w:rPr>
          <w:rFonts w:hint="eastAsia" w:cs="宋体"/>
          <w:bCs/>
          <w:kern w:val="44"/>
          <w:sz w:val="21"/>
          <w:szCs w:val="21"/>
          <w:lang w:eastAsia="zh-CN"/>
        </w:rPr>
        <w:t>）</w:t>
      </w:r>
      <w:r>
        <w:rPr>
          <w:rFonts w:hint="eastAsia" w:ascii="宋体" w:hAnsi="宋体" w:eastAsia="宋体" w:cs="宋体"/>
          <w:bCs/>
          <w:kern w:val="44"/>
          <w:sz w:val="21"/>
          <w:szCs w:val="21"/>
        </w:rPr>
        <w:t>司法便民</w:t>
      </w:r>
      <w:r>
        <w:rPr>
          <w:rFonts w:hint="eastAsia" w:cs="宋体"/>
          <w:bCs/>
          <w:kern w:val="44"/>
          <w:sz w:val="21"/>
          <w:szCs w:val="21"/>
          <w:lang w:eastAsia="zh-CN"/>
        </w:rPr>
        <w:t>；（</w:t>
      </w:r>
      <w:r>
        <w:rPr>
          <w:rFonts w:hint="eastAsia" w:cs="宋体"/>
          <w:bCs/>
          <w:kern w:val="44"/>
          <w:sz w:val="21"/>
          <w:szCs w:val="21"/>
          <w:lang w:val="en-US" w:eastAsia="zh-CN"/>
        </w:rPr>
        <w:t>4</w:t>
      </w:r>
      <w:r>
        <w:rPr>
          <w:rFonts w:hint="eastAsia" w:cs="宋体"/>
          <w:bCs/>
          <w:kern w:val="44"/>
          <w:sz w:val="21"/>
          <w:szCs w:val="21"/>
          <w:lang w:eastAsia="zh-CN"/>
        </w:rPr>
        <w:t>）</w:t>
      </w:r>
      <w:r>
        <w:rPr>
          <w:rFonts w:hint="eastAsia" w:ascii="宋体" w:hAnsi="宋体" w:eastAsia="宋体" w:cs="宋体"/>
          <w:bCs/>
          <w:kern w:val="44"/>
          <w:sz w:val="21"/>
          <w:szCs w:val="21"/>
        </w:rPr>
        <w:t>尊重当事人和其他诉讼参与人</w:t>
      </w:r>
      <w:r>
        <w:rPr>
          <w:rFonts w:hint="eastAsia" w:cs="宋体"/>
          <w:bCs/>
          <w:kern w:val="44"/>
          <w:sz w:val="21"/>
          <w:szCs w:val="21"/>
          <w:lang w:eastAsia="zh-CN"/>
        </w:rPr>
        <w:t>：</w:t>
      </w:r>
      <w:r>
        <w:rPr>
          <w:rFonts w:hint="eastAsia" w:ascii="宋体" w:hAnsi="宋体" w:eastAsia="宋体" w:cs="宋体"/>
          <w:sz w:val="21"/>
          <w:szCs w:val="21"/>
        </w:rPr>
        <w:t>尊重当事人和其他诉讼参与人的人格尊严，避免盛气凌人、“冷硬横推”等不良作风；尊重律师，依法保障律师参与诉讼活动的权利。</w:t>
      </w:r>
    </w:p>
    <w:p w14:paraId="07ACFDD1">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（五）维护司法形象</w:t>
      </w:r>
    </w:p>
    <w:p w14:paraId="1291DCF2">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1．坚持学习，精研业务</w:t>
      </w:r>
    </w:p>
    <w:p w14:paraId="00D5F53A">
      <w:pPr>
        <w:spacing w:line="384" w:lineRule="exact"/>
        <w:ind w:firstLine="422" w:firstLineChars="200"/>
        <w:rPr>
          <w:rFonts w:hint="eastAsia" w:ascii="宋体" w:hAnsi="宋体" w:eastAsia="宋体" w:cs="宋体"/>
          <w:b/>
          <w:bCs w:val="0"/>
          <w:kern w:val="44"/>
          <w:sz w:val="21"/>
          <w:szCs w:val="21"/>
        </w:rPr>
      </w:pPr>
      <w:r>
        <w:rPr>
          <w:rFonts w:hint="eastAsia" w:ascii="宋体" w:hAnsi="宋体" w:eastAsia="宋体" w:cs="宋体"/>
          <w:b/>
          <w:bCs w:val="0"/>
          <w:kern w:val="44"/>
          <w:sz w:val="21"/>
          <w:szCs w:val="21"/>
        </w:rPr>
        <w:t>2．坚持文明司法，遵守司法礼仪</w:t>
      </w:r>
    </w:p>
    <w:p w14:paraId="205F6851">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3．加强自身修养，约束业外活动</w:t>
      </w:r>
      <w:r>
        <w:rPr>
          <w:rFonts w:hint="eastAsia" w:cs="宋体"/>
          <w:b/>
          <w:bCs w:val="0"/>
          <w:kern w:val="44"/>
          <w:sz w:val="21"/>
          <w:szCs w:val="21"/>
          <w:lang w:eastAsia="zh-CN"/>
        </w:rPr>
        <w:t>：</w:t>
      </w:r>
      <w:r>
        <w:rPr>
          <w:rFonts w:hint="eastAsia" w:ascii="宋体" w:hAnsi="宋体" w:eastAsia="宋体" w:cs="宋体"/>
          <w:sz w:val="21"/>
          <w:szCs w:val="21"/>
        </w:rPr>
        <w:t>法官从事业外活动时，应当避免使公众对法官的公正司法和清正廉洁产生合理怀疑，避免影响法官职责的正常履行，避免对法院的公信力产生不良影响。法官应谨慎出入社交场合，谨慎交友，杜绝与法官职业形象不相称、与法官职业道德相违背的不良嗜好和行为，遵守社会公德和家庭美德，维护良好的个人声誉。</w:t>
      </w:r>
    </w:p>
    <w:p w14:paraId="03F838E7">
      <w:pPr>
        <w:spacing w:line="384" w:lineRule="exact"/>
        <w:ind w:firstLine="422" w:firstLineChars="200"/>
        <w:rPr>
          <w:rFonts w:hint="eastAsia" w:ascii="宋体" w:hAnsi="宋体" w:eastAsia="宋体" w:cs="宋体"/>
          <w:sz w:val="21"/>
          <w:szCs w:val="21"/>
        </w:rPr>
      </w:pPr>
      <w:r>
        <w:rPr>
          <w:rFonts w:hint="eastAsia" w:ascii="宋体" w:hAnsi="宋体" w:eastAsia="宋体" w:cs="宋体"/>
          <w:b/>
          <w:bCs w:val="0"/>
          <w:kern w:val="44"/>
          <w:sz w:val="21"/>
          <w:szCs w:val="21"/>
        </w:rPr>
        <w:t>4．退休法官谨慎行为</w:t>
      </w:r>
      <w:r>
        <w:rPr>
          <w:rFonts w:hint="eastAsia" w:cs="宋体"/>
          <w:b/>
          <w:bCs w:val="0"/>
          <w:kern w:val="44"/>
          <w:sz w:val="21"/>
          <w:szCs w:val="21"/>
          <w:lang w:eastAsia="zh-CN"/>
        </w:rPr>
        <w:t>：</w:t>
      </w:r>
      <w:r>
        <w:rPr>
          <w:rFonts w:hint="eastAsia" w:ascii="宋体" w:hAnsi="宋体" w:eastAsia="宋体" w:cs="宋体"/>
          <w:sz w:val="21"/>
          <w:szCs w:val="21"/>
        </w:rPr>
        <w:t>法官退休后不得利用自己的原有身份和便利条件过问、干预执法办案，避免因个人不当言行对法官职业形象造成不良影响。</w:t>
      </w:r>
    </w:p>
    <w:p w14:paraId="4D270D66">
      <w:pPr>
        <w:spacing w:line="384" w:lineRule="exact"/>
        <w:jc w:val="left"/>
        <w:rPr>
          <w:rFonts w:hint="eastAsia" w:ascii="宋体" w:hAnsi="宋体" w:eastAsia="宋体" w:cs="宋体"/>
          <w:color w:val="FF0000"/>
          <w:sz w:val="21"/>
          <w:szCs w:val="21"/>
        </w:rPr>
      </w:pPr>
      <w:r>
        <w:rPr>
          <w:rFonts w:hint="eastAsia" w:ascii="宋体" w:hAnsi="宋体" w:eastAsia="宋体" w:cs="宋体"/>
          <w:b/>
          <w:bCs w:val="0"/>
          <w:color w:val="auto"/>
          <w:sz w:val="21"/>
          <w:szCs w:val="21"/>
        </w:rPr>
        <w:t>二、法官职业责任</w:t>
      </w:r>
    </w:p>
    <w:p w14:paraId="6E39D9F1">
      <w:pPr>
        <w:tabs>
          <w:tab w:val="left" w:pos="420"/>
        </w:tabs>
        <w:spacing w:line="384" w:lineRule="exact"/>
        <w:ind w:left="420" w:leftChars="200" w:right="420" w:rightChars="200"/>
        <w:rPr>
          <w:rFonts w:hint="eastAsia" w:ascii="宋体" w:hAnsi="宋体" w:eastAsia="宋体" w:cs="宋体"/>
          <w:sz w:val="21"/>
          <w:szCs w:val="21"/>
        </w:rPr>
      </w:pPr>
      <w:r>
        <w:rPr>
          <w:rFonts w:hint="eastAsia" w:ascii="宋体" w:hAnsi="宋体" w:eastAsia="宋体" w:cs="宋体"/>
          <w:sz w:val="21"/>
          <w:szCs w:val="21"/>
        </w:rPr>
        <w:t>1．法官的职业责任包括纪律责任和刑事责任两类；</w:t>
      </w:r>
    </w:p>
    <w:p w14:paraId="005AF275">
      <w:pPr>
        <w:tabs>
          <w:tab w:val="left" w:pos="420"/>
        </w:tabs>
        <w:spacing w:line="384" w:lineRule="exact"/>
        <w:ind w:left="420" w:leftChars="200" w:right="420" w:rightChars="200"/>
      </w:pPr>
      <w:r>
        <w:rPr>
          <w:rFonts w:hint="eastAsia" w:ascii="宋体" w:hAnsi="宋体" w:eastAsia="宋体" w:cs="宋体"/>
          <w:spacing w:val="-3"/>
          <w:sz w:val="21"/>
          <w:szCs w:val="21"/>
        </w:rPr>
        <w:t>2．法官违纪责任由</w:t>
      </w:r>
      <w:r>
        <w:rPr>
          <w:rFonts w:hint="eastAsia" w:ascii="宋体" w:hAnsi="宋体" w:eastAsia="宋体" w:cs="宋体"/>
          <w:color w:val="FF0000"/>
          <w:spacing w:val="-3"/>
          <w:sz w:val="21"/>
          <w:szCs w:val="21"/>
        </w:rPr>
        <w:t>法官惩戒委员会</w:t>
      </w:r>
      <w:r>
        <w:rPr>
          <w:rFonts w:hint="eastAsia" w:ascii="宋体" w:hAnsi="宋体" w:eastAsia="宋体" w:cs="宋体"/>
          <w:spacing w:val="-3"/>
          <w:sz w:val="21"/>
          <w:szCs w:val="21"/>
        </w:rPr>
        <w:t>负责从专业角度提出</w:t>
      </w:r>
      <w:r>
        <w:rPr>
          <w:rFonts w:hint="eastAsia" w:ascii="宋体" w:hAnsi="宋体" w:eastAsia="宋体" w:cs="宋体"/>
          <w:color w:val="FF0000"/>
          <w:spacing w:val="-3"/>
          <w:sz w:val="21"/>
          <w:szCs w:val="21"/>
        </w:rPr>
        <w:t>审查意见</w:t>
      </w:r>
      <w:r>
        <w:rPr>
          <w:rFonts w:hint="eastAsia" w:ascii="宋体" w:hAnsi="宋体" w:eastAsia="宋体" w:cs="宋体"/>
          <w:spacing w:val="-3"/>
          <w:sz w:val="21"/>
          <w:szCs w:val="21"/>
        </w:rPr>
        <w:t>，并对法官提出的异议作出处理；</w:t>
      </w:r>
      <w:r>
        <w:rPr>
          <w:rFonts w:hint="eastAsia" w:ascii="宋体" w:hAnsi="宋体" w:eastAsia="宋体" w:cs="宋体"/>
          <w:color w:val="FF0000"/>
          <w:spacing w:val="-3"/>
          <w:sz w:val="21"/>
          <w:szCs w:val="21"/>
        </w:rPr>
        <w:t>法院</w:t>
      </w:r>
      <w:r>
        <w:rPr>
          <w:rFonts w:hint="eastAsia" w:ascii="宋体" w:hAnsi="宋体" w:eastAsia="宋体" w:cs="宋体"/>
          <w:spacing w:val="-3"/>
          <w:sz w:val="21"/>
          <w:szCs w:val="21"/>
        </w:rPr>
        <w:t>负责对行为调查核实，并根据惩戒委员会的审查意见作出</w:t>
      </w:r>
      <w:r>
        <w:rPr>
          <w:rFonts w:hint="eastAsia" w:ascii="宋体" w:hAnsi="宋体" w:eastAsia="宋体" w:cs="宋体"/>
          <w:color w:val="FF0000"/>
          <w:spacing w:val="-3"/>
          <w:sz w:val="21"/>
          <w:szCs w:val="21"/>
        </w:rPr>
        <w:t>处理决定</w:t>
      </w:r>
      <w:r>
        <w:rPr>
          <w:rFonts w:hint="eastAsia" w:ascii="宋体" w:hAnsi="宋体" w:eastAsia="宋体" w:cs="宋体"/>
          <w:spacing w:val="-3"/>
          <w:sz w:val="21"/>
          <w:szCs w:val="21"/>
        </w:rPr>
        <w:t>。</w:t>
      </w:r>
    </w:p>
    <w:sectPr>
      <w:headerReference r:id="rId5" w:type="first"/>
      <w:footerReference r:id="rId8" w:type="first"/>
      <w:headerReference r:id="rId3" w:type="default"/>
      <w:footerReference r:id="rId6" w:type="default"/>
      <w:headerReference r:id="rId4" w:type="even"/>
      <w:footerReference r:id="rId7" w:type="even"/>
      <w:pgSz w:w="11900" w:h="16840"/>
      <w:pgMar w:top="1701" w:right="1588" w:bottom="1247" w:left="1588" w:header="851" w:footer="992" w:gutter="0"/>
      <w:cols w:space="720" w:num="1"/>
      <w:titlePg/>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15E513D-85A0-4B89-A26B-12E5AB59E73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6A62A00-21B2-4CD3-A2E9-AEAE4AF3BA63}"/>
  </w:font>
  <w:font w:name="楷体">
    <w:panose1 w:val="02010609060101010101"/>
    <w:charset w:val="86"/>
    <w:family w:val="modern"/>
    <w:pitch w:val="default"/>
    <w:sig w:usb0="800002BF" w:usb1="38CF7CFA" w:usb2="00000016" w:usb3="00000000" w:csb0="00040001" w:csb1="00000000"/>
  </w:font>
  <w:font w:name="汉仪书宋二简">
    <w:altName w:val="微软雅黑"/>
    <w:panose1 w:val="02010609000101010101"/>
    <w:charset w:val="86"/>
    <w:family w:val="modern"/>
    <w:pitch w:val="default"/>
    <w:sig w:usb0="00000000" w:usb1="00000000" w:usb2="00000012" w:usb3="00000000" w:csb0="00040000" w:csb1="00000000"/>
    <w:embedRegular r:id="rId3" w:fontKey="{6EEB0C45-0452-4CEC-A7D1-B5BF1B770437}"/>
  </w:font>
  <w:font w:name="微软雅黑">
    <w:panose1 w:val="020B0503020204020204"/>
    <w:charset w:val="86"/>
    <w:family w:val="auto"/>
    <w:pitch w:val="default"/>
    <w:sig w:usb0="80000287" w:usb1="2ACF3C50" w:usb2="00000016" w:usb3="00000000" w:csb0="0004001F" w:csb1="00000000"/>
  </w:font>
  <w:font w:name="汉仪中黑简">
    <w:panose1 w:val="02010600000101010101"/>
    <w:charset w:val="86"/>
    <w:family w:val="modern"/>
    <w:pitch w:val="default"/>
    <w:sig w:usb0="00000001" w:usb1="080E0800" w:usb2="00000002" w:usb3="00000000" w:csb0="00040000" w:csb1="00000000"/>
    <w:embedRegular r:id="rId4" w:fontKey="{A0204B30-5100-4293-B01D-988AAE67FB5D}"/>
  </w:font>
  <w:font w:name="汉仪中等线简">
    <w:altName w:val="宋体"/>
    <w:panose1 w:val="02010609000101010101"/>
    <w:charset w:val="86"/>
    <w:family w:val="modern"/>
    <w:pitch w:val="default"/>
    <w:sig w:usb0="00000000" w:usb1="00000000" w:usb2="00000012" w:usb3="00000000" w:csb0="00040000" w:csb1="00000000"/>
    <w:embedRegular r:id="rId5" w:fontKey="{D90ACE37-DC42-4C59-9D5E-D02AE8352E76}"/>
  </w:font>
  <w:font w:name="MS Mincho">
    <w:altName w:val="Yu Gothic UI"/>
    <w:panose1 w:val="02020609040205080304"/>
    <w:charset w:val="80"/>
    <w:family w:val="modern"/>
    <w:pitch w:val="default"/>
    <w:sig w:usb0="00000000" w:usb1="00000000" w:usb2="00000012" w:usb3="00000000" w:csb0="0002009F" w:csb1="00000000"/>
    <w:embedRegular r:id="rId6" w:fontKey="{8D9983AF-AD24-48FD-8FD0-9A6C24F2B810}"/>
  </w:font>
  <w:font w:name="Yu Gothic UI">
    <w:panose1 w:val="020B0500000000000000"/>
    <w:charset w:val="80"/>
    <w:family w:val="auto"/>
    <w:pitch w:val="default"/>
    <w:sig w:usb0="E00002FF" w:usb1="2AC7FDFF" w:usb2="00000016" w:usb3="00000000" w:csb0="2002009F" w:csb1="00000000"/>
  </w:font>
  <w:font w:name="汉仪粗黑简">
    <w:altName w:val="微软雅黑"/>
    <w:panose1 w:val="02010609000101010101"/>
    <w:charset w:val="86"/>
    <w:family w:val="modern"/>
    <w:pitch w:val="default"/>
    <w:sig w:usb0="00000000" w:usb1="00000000" w:usb2="00000012" w:usb3="00000000" w:csb0="00040000" w:csb1="00000000"/>
    <w:embedRegular r:id="rId7" w:fontKey="{2BF77A26-5C9B-438C-AD48-F71286B3C6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990A6">
    <w:pPr>
      <w:tabs>
        <w:tab w:val="center" w:pos="4153"/>
        <w:tab w:val="right" w:pos="8306"/>
      </w:tabs>
      <w:snapToGrid w:val="0"/>
      <w:ind w:firstLine="420"/>
      <w:jc w:val="right"/>
      <w:rPr>
        <w:rFonts w:ascii="Calibri" w:hAnsi="Calibri" w:cs="Times New Roman"/>
        <w:sz w:val="18"/>
        <w:szCs w:val="18"/>
      </w:rPr>
    </w:pPr>
    <w:r>
      <w:rPr>
        <w:rFonts w:eastAsia="汉仪书宋二简"/>
      </w:rPr>
      <mc:AlternateContent>
        <mc:Choice Requires="wps">
          <w:drawing>
            <wp:anchor distT="0" distB="0" distL="114300" distR="114300" simplePos="0" relativeHeight="251660288" behindDoc="0" locked="0" layoutInCell="1" allowOverlap="1">
              <wp:simplePos x="0" y="0"/>
              <wp:positionH relativeFrom="margin">
                <wp:posOffset>4655820</wp:posOffset>
              </wp:positionH>
              <wp:positionV relativeFrom="paragraph">
                <wp:posOffset>97790</wp:posOffset>
              </wp:positionV>
              <wp:extent cx="864870" cy="377190"/>
              <wp:effectExtent l="0" t="0" r="0" b="0"/>
              <wp:wrapNone/>
              <wp:docPr id="275913545" name="文本框 228"/>
              <wp:cNvGraphicFramePr/>
              <a:graphic xmlns:a="http://schemas.openxmlformats.org/drawingml/2006/main">
                <a:graphicData uri="http://schemas.microsoft.com/office/word/2010/wordprocessingShape">
                  <wps:wsp>
                    <wps:cNvSpPr txBox="1">
                      <a:spLocks noChangeArrowheads="1"/>
                    </wps:cNvSpPr>
                    <wps:spPr bwMode="auto">
                      <a:xfrm>
                        <a:off x="0" y="0"/>
                        <a:ext cx="864870" cy="377190"/>
                      </a:xfrm>
                      <a:prstGeom prst="rect">
                        <a:avLst/>
                      </a:prstGeom>
                      <a:noFill/>
                      <a:ln>
                        <a:noFill/>
                      </a:ln>
                    </wps:spPr>
                    <wps:txbx>
                      <w:txbxContent>
                        <w:p w14:paraId="3E23B77D">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lang w:val="zh-CN"/>
                            </w:rPr>
                            <w:t>5</w:t>
                          </w:r>
                          <w:r>
                            <w:rPr>
                              <w:rFonts w:hint="eastAsia" w:ascii="汉仪书宋二简" w:hAnsi="Calibri" w:eastAsia="汉仪书宋二简" w:cs="Times New Roman"/>
                              <w:sz w:val="18"/>
                              <w:szCs w:val="18"/>
                              <w:lang w:val="zh-CN"/>
                            </w:rPr>
                            <w:fldChar w:fldCharType="end"/>
                          </w:r>
                        </w:p>
                      </w:txbxContent>
                    </wps:txbx>
                    <wps:bodyPr rot="0" vert="horz" wrap="square" lIns="0" tIns="0" rIns="0" bIns="0" anchor="t" anchorCtr="0" upright="1">
                      <a:noAutofit/>
                    </wps:bodyPr>
                  </wps:wsp>
                </a:graphicData>
              </a:graphic>
            </wp:anchor>
          </w:drawing>
        </mc:Choice>
        <mc:Fallback>
          <w:pict>
            <v:shape id="文本框 228" o:spid="_x0000_s1026" o:spt="202" type="#_x0000_t202" style="position:absolute;left:0pt;margin-left:366.6pt;margin-top:7.7pt;height:29.7pt;width:68.1pt;mso-position-horizontal-relative:margin;z-index:251660288;mso-width-relative:page;mso-height-relative:page;" filled="f" stroked="f" coordsize="21600,21600" o:gfxdata="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IGNM/YAAAACQEAAA8A&#10;AAAAAAAAAQAgAAAAIgAAAGRycy9kb3ducmV2LnhtbFBLAQIUABQAAAAIAIdO4kDKeC/iFwIAAA4E&#10;AAAOAAAAAAAAAAEAIAAAACcBAABkcnMvZTJvRG9jLnhtbFBLBQYAAAAABgAGAFkBAACwBQAAAAA=&#10;">
              <v:fill on="f" focussize="0,0"/>
              <v:stroke on="f"/>
              <v:imagedata o:title=""/>
              <o:lock v:ext="edit" aspectratio="f"/>
              <v:textbox inset="0mm,0mm,0mm,0mm">
                <w:txbxContent>
                  <w:p w14:paraId="3E23B77D">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lang w:val="zh-CN"/>
                      </w:rPr>
                      <w:t>5</w:t>
                    </w:r>
                    <w:r>
                      <w:rPr>
                        <w:rFonts w:hint="eastAsia" w:ascii="汉仪书宋二简" w:hAnsi="Calibri" w:eastAsia="汉仪书宋二简" w:cs="Times New Roman"/>
                        <w:sz w:val="18"/>
                        <w:szCs w:val="18"/>
                        <w:lang w:val="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29745">
    <w:pPr>
      <w:tabs>
        <w:tab w:val="center" w:pos="4153"/>
        <w:tab w:val="right" w:pos="8306"/>
      </w:tabs>
      <w:snapToGrid w:val="0"/>
      <w:ind w:firstLine="420"/>
      <w:jc w:val="left"/>
      <w:rPr>
        <w:rFonts w:ascii="Calibri" w:hAnsi="Calibri" w:cs="Times New Roman"/>
        <w:sz w:val="18"/>
        <w:szCs w:val="18"/>
      </w:rPr>
    </w:pPr>
    <w:r>
      <w:rPr>
        <w:rFonts w:eastAsia="汉仪书宋二简"/>
      </w:rPr>
      <mc:AlternateContent>
        <mc:Choice Requires="wps">
          <w:drawing>
            <wp:anchor distT="0" distB="0" distL="114300" distR="114300" simplePos="0" relativeHeight="251661312" behindDoc="0" locked="0" layoutInCell="1" allowOverlap="1">
              <wp:simplePos x="0" y="0"/>
              <wp:positionH relativeFrom="margin">
                <wp:posOffset>-5080</wp:posOffset>
              </wp:positionH>
              <wp:positionV relativeFrom="paragraph">
                <wp:posOffset>97790</wp:posOffset>
              </wp:positionV>
              <wp:extent cx="342900" cy="330200"/>
              <wp:effectExtent l="0" t="0" r="0" b="0"/>
              <wp:wrapNone/>
              <wp:docPr id="1300129273" name="文本框 229"/>
              <wp:cNvGraphicFramePr/>
              <a:graphic xmlns:a="http://schemas.openxmlformats.org/drawingml/2006/main">
                <a:graphicData uri="http://schemas.microsoft.com/office/word/2010/wordprocessingShape">
                  <wps:wsp>
                    <wps:cNvSpPr txBox="1">
                      <a:spLocks noChangeArrowheads="1"/>
                    </wps:cNvSpPr>
                    <wps:spPr bwMode="auto">
                      <a:xfrm>
                        <a:off x="0" y="0"/>
                        <a:ext cx="342900" cy="330200"/>
                      </a:xfrm>
                      <a:prstGeom prst="rect">
                        <a:avLst/>
                      </a:prstGeom>
                      <a:noFill/>
                      <a:ln>
                        <a:noFill/>
                      </a:ln>
                    </wps:spPr>
                    <wps:txbx>
                      <w:txbxContent>
                        <w:p w14:paraId="47971AA6">
                          <w:pPr>
                            <w:tabs>
                              <w:tab w:val="center" w:pos="4153"/>
                              <w:tab w:val="right" w:pos="8306"/>
                            </w:tabs>
                            <w:snapToGrid w:val="0"/>
                            <w:jc w:val="lef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w:t>
                          </w:r>
                          <w:r>
                            <w:rPr>
                              <w:rFonts w:hint="eastAsia" w:ascii="汉仪书宋二简" w:hAnsi="Calibri" w:eastAsia="汉仪书宋二简" w:cs="Times New Roman"/>
                              <w:sz w:val="18"/>
                              <w:szCs w:val="18"/>
                            </w:rPr>
                            <w:fldChar w:fldCharType="end"/>
                          </w:r>
                        </w:p>
                      </w:txbxContent>
                    </wps:txbx>
                    <wps:bodyPr rot="0" vert="horz" wrap="square" lIns="0" tIns="0" rIns="0" bIns="0" anchor="t" anchorCtr="0" upright="1">
                      <a:noAutofit/>
                    </wps:bodyPr>
                  </wps:wsp>
                </a:graphicData>
              </a:graphic>
            </wp:anchor>
          </w:drawing>
        </mc:Choice>
        <mc:Fallback>
          <w:pict>
            <v:shape id="文本框 229" o:spid="_x0000_s1026" o:spt="202" type="#_x0000_t202" style="position:absolute;left:0pt;margin-left:-0.4pt;margin-top:7.7pt;height:26pt;width:27pt;mso-position-horizontal-relative:margin;z-index:251661312;mso-width-relative:page;mso-height-relative:page;" filled="f" stroked="f" coordsize="21600,21600" o:gfxdata="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rOvpbVAAAABgEAAA8AAAAAAAAA&#10;AQAgAAAAIgAAAGRycy9kb3ducmV2LnhtbFBLAQIUABQAAAAIAIdO4kDAksl0FAIAAA8EAAAOAAAA&#10;AAAAAAEAIAAAACQBAABkcnMvZTJvRG9jLnhtbFBLBQYAAAAABgAGAFkBAACqBQAAAAA=&#10;">
              <v:fill on="f" focussize="0,0"/>
              <v:stroke on="f"/>
              <v:imagedata o:title=""/>
              <o:lock v:ext="edit" aspectratio="f"/>
              <v:textbox inset="0mm,0mm,0mm,0mm">
                <w:txbxContent>
                  <w:p w14:paraId="47971AA6">
                    <w:pPr>
                      <w:tabs>
                        <w:tab w:val="center" w:pos="4153"/>
                        <w:tab w:val="right" w:pos="8306"/>
                      </w:tabs>
                      <w:snapToGrid w:val="0"/>
                      <w:jc w:val="lef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w:t>
                    </w:r>
                    <w:r>
                      <w:rPr>
                        <w:rFonts w:hint="eastAsia" w:ascii="汉仪书宋二简" w:hAnsi="Calibri" w:eastAsia="汉仪书宋二简" w:cs="Times New Roman"/>
                        <w:sz w:val="1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794B9">
    <w:pPr>
      <w:tabs>
        <w:tab w:val="center" w:pos="4153"/>
        <w:tab w:val="right" w:pos="8306"/>
      </w:tabs>
      <w:snapToGrid w:val="0"/>
      <w:ind w:firstLine="420"/>
      <w:jc w:val="right"/>
      <w:rPr>
        <w:rFonts w:ascii="Calibri" w:hAnsi="Calibri" w:cs="Times New Roman"/>
        <w:sz w:val="18"/>
        <w:szCs w:val="18"/>
      </w:rPr>
    </w:pPr>
    <w:r>
      <w:rPr>
        <w:rFonts w:eastAsia="汉仪书宋二简"/>
      </w:rPr>
      <mc:AlternateContent>
        <mc:Choice Requires="wps">
          <w:drawing>
            <wp:anchor distT="0" distB="0" distL="114300" distR="114300" simplePos="0" relativeHeight="251659264" behindDoc="0" locked="0" layoutInCell="1" allowOverlap="1">
              <wp:simplePos x="0" y="0"/>
              <wp:positionH relativeFrom="margin">
                <wp:posOffset>-17780</wp:posOffset>
              </wp:positionH>
              <wp:positionV relativeFrom="paragraph">
                <wp:posOffset>86995</wp:posOffset>
              </wp:positionV>
              <wp:extent cx="5581650" cy="330200"/>
              <wp:effectExtent l="0" t="0" r="0" b="0"/>
              <wp:wrapNone/>
              <wp:docPr id="5" name="文本框 224"/>
              <wp:cNvGraphicFramePr/>
              <a:graphic xmlns:a="http://schemas.openxmlformats.org/drawingml/2006/main">
                <a:graphicData uri="http://schemas.microsoft.com/office/word/2010/wordprocessingShape">
                  <wps:wsp>
                    <wps:cNvSpPr txBox="1">
                      <a:spLocks noChangeArrowheads="1"/>
                    </wps:cNvSpPr>
                    <wps:spPr bwMode="auto">
                      <a:xfrm>
                        <a:off x="0" y="0"/>
                        <a:ext cx="5581650" cy="330200"/>
                      </a:xfrm>
                      <a:prstGeom prst="rect">
                        <a:avLst/>
                      </a:prstGeom>
                      <a:noFill/>
                      <a:ln>
                        <a:noFill/>
                      </a:ln>
                    </wps:spPr>
                    <wps:txbx>
                      <w:txbxContent>
                        <w:p w14:paraId="08D16D3E">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42</w:t>
                          </w:r>
                          <w:r>
                            <w:rPr>
                              <w:rFonts w:hint="eastAsia" w:ascii="汉仪书宋二简" w:hAnsi="Calibri" w:eastAsia="汉仪书宋二简" w:cs="Times New Roman"/>
                              <w:sz w:val="18"/>
                              <w:szCs w:val="18"/>
                            </w:rPr>
                            <w:fldChar w:fldCharType="end"/>
                          </w:r>
                        </w:p>
                      </w:txbxContent>
                    </wps:txbx>
                    <wps:bodyPr rot="0" vert="horz" wrap="square" lIns="0" tIns="0" rIns="0" bIns="0" anchor="t" anchorCtr="0" upright="1">
                      <a:noAutofit/>
                    </wps:bodyPr>
                  </wps:wsp>
                </a:graphicData>
              </a:graphic>
            </wp:anchor>
          </w:drawing>
        </mc:Choice>
        <mc:Fallback>
          <w:pict>
            <v:shape id="文本框 224" o:spid="_x0000_s1026" o:spt="202" type="#_x0000_t202" style="position:absolute;left:0pt;margin-left:-1.4pt;margin-top:6.85pt;height:26pt;width:439.5pt;mso-position-horizontal-relative:margin;z-index:251659264;mso-width-relative:page;mso-height-relative:page;" filled="f" stroked="f" coordsize="21600,21600" o:gfxdata="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5uupU2AAAAAgBAAAPAAAAAAAAAAEA&#10;IAAAACIAAABkcnMvZG93bnJldi54bWxQSwECFAAUAAAACACHTuJAGkQnQg8CAAAHBAAADgAAAAAA&#10;AAABACAAAAAnAQAAZHJzL2Uyb0RvYy54bWxQSwUGAAAAAAYABgBZAQAAqAUAAAAA&#10;">
              <v:fill on="f" focussize="0,0"/>
              <v:stroke on="f"/>
              <v:imagedata o:title=""/>
              <o:lock v:ext="edit" aspectratio="f"/>
              <v:textbox inset="0mm,0mm,0mm,0mm">
                <w:txbxContent>
                  <w:p w14:paraId="08D16D3E">
                    <w:pPr>
                      <w:tabs>
                        <w:tab w:val="center" w:pos="4153"/>
                        <w:tab w:val="right" w:pos="8306"/>
                      </w:tabs>
                      <w:snapToGrid w:val="0"/>
                      <w:jc w:val="right"/>
                      <w:rPr>
                        <w:rFonts w:ascii="汉仪书宋二简" w:hAnsi="Calibri" w:eastAsia="汉仪书宋二简" w:cs="Times New Roman"/>
                        <w:sz w:val="18"/>
                        <w:szCs w:val="18"/>
                      </w:rPr>
                    </w:pPr>
                    <w:r>
                      <w:rPr>
                        <w:rFonts w:hint="eastAsia" w:ascii="汉仪书宋二简" w:hAnsi="Calibri" w:eastAsia="汉仪书宋二简" w:cs="Times New Roman"/>
                        <w:sz w:val="18"/>
                        <w:szCs w:val="18"/>
                      </w:rPr>
                      <w:fldChar w:fldCharType="begin"/>
                    </w:r>
                    <w:r>
                      <w:rPr>
                        <w:rFonts w:hint="eastAsia" w:ascii="汉仪书宋二简" w:hAnsi="Calibri" w:eastAsia="汉仪书宋二简" w:cs="Times New Roman"/>
                        <w:sz w:val="18"/>
                        <w:szCs w:val="18"/>
                      </w:rPr>
                      <w:instrText xml:space="preserve"> PAGE  \* MERGEFORMAT </w:instrText>
                    </w:r>
                    <w:r>
                      <w:rPr>
                        <w:rFonts w:hint="eastAsia" w:ascii="汉仪书宋二简" w:hAnsi="Calibri" w:eastAsia="汉仪书宋二简" w:cs="Times New Roman"/>
                        <w:sz w:val="18"/>
                        <w:szCs w:val="18"/>
                      </w:rPr>
                      <w:fldChar w:fldCharType="separate"/>
                    </w:r>
                    <w:r>
                      <w:rPr>
                        <w:rFonts w:hint="eastAsia" w:ascii="汉仪书宋二简" w:hAnsi="Calibri" w:eastAsia="汉仪书宋二简" w:cs="Times New Roman"/>
                        <w:sz w:val="18"/>
                        <w:szCs w:val="18"/>
                      </w:rPr>
                      <w:t>42</w:t>
                    </w:r>
                    <w:r>
                      <w:rPr>
                        <w:rFonts w:hint="eastAsia" w:ascii="汉仪书宋二简" w:hAnsi="Calibri" w:eastAsia="汉仪书宋二简" w:cs="Times New Roman"/>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6EB36">
    <w:pPr>
      <w:pStyle w:val="3"/>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司法制度和法律职业道德 </w:t>
    </w:r>
    <w:r>
      <w:rPr>
        <w:rFonts w:ascii="Arial" w:hAnsi="Arial" w:eastAsia="Arial" w:cs="Arial"/>
        <w:color w:val="FF0000"/>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9750A">
    <w:pPr>
      <w:spacing w:line="207" w:lineRule="exact"/>
      <w:rPr>
        <w:rFonts w:hint="eastAsia"/>
      </w:rPr>
    </w:pPr>
    <w:r>
      <w:rPr>
        <w:rFonts w:ascii="Arial" w:hAnsi="Arial" w:eastAsia="Arial" w:cs="Arial"/>
        <w:sz w:val="17"/>
        <w:szCs w:val="17"/>
      </w:rPr>
      <w:t>202</w:t>
    </w:r>
    <w:r>
      <w:rPr>
        <w:rFonts w:hint="eastAsia" w:ascii="Arial" w:hAnsi="Arial" w:cs="Arial" w:eastAsiaTheme="minorEastAsia"/>
        <w:sz w:val="17"/>
        <w:szCs w:val="17"/>
      </w:rPr>
      <w:t>6</w:t>
    </w:r>
    <w:r>
      <w:rPr>
        <w:rFonts w:hint="eastAsia" w:ascii="汉仪中等线简" w:hAnsi="汉仪中黑简" w:eastAsia="汉仪中等线简" w:cs="汉仪中黑简"/>
        <w:sz w:val="17"/>
        <w:szCs w:val="17"/>
      </w:rPr>
      <w:t>年</w:t>
    </w:r>
    <w:r>
      <w:rPr>
        <w:rFonts w:ascii="汉仪中黑简" w:hAnsi="汉仪中黑简" w:eastAsia="汉仪中黑简" w:cs="汉仪中黑简"/>
        <w:color w:val="FF0000"/>
        <w:sz w:val="17"/>
        <w:szCs w:val="17"/>
      </w:rPr>
      <w:t>桑磊法考</w:t>
    </w:r>
    <w:r>
      <w:rPr>
        <w:rFonts w:hint="eastAsia" w:ascii="汉仪中黑简" w:hAnsi="汉仪中黑简" w:eastAsia="汉仪中黑简" w:cs="汉仪中黑简"/>
        <w:color w:val="FF0000"/>
        <w:sz w:val="17"/>
        <w:szCs w:val="17"/>
      </w:rPr>
      <w:t xml:space="preserve"> </w:t>
    </w:r>
    <w:r>
      <w:rPr>
        <w:rFonts w:hint="eastAsia" w:ascii="MS Mincho" w:hAnsi="MS Mincho" w:eastAsia="MS Mincho" w:cs="MS Mincho"/>
        <w:color w:val="FF0000"/>
        <w:position w:val="-5"/>
        <w:sz w:val="28"/>
        <w:szCs w:val="28"/>
      </w:rPr>
      <w:t>✍</w:t>
    </w:r>
    <w:r>
      <w:rPr>
        <w:rFonts w:ascii="汉仪中黑简" w:hAnsi="汉仪中黑简" w:eastAsia="汉仪中黑简" w:cs="汉仪中黑简"/>
        <w:color w:val="FF0000"/>
        <w:sz w:val="17"/>
        <w:szCs w:val="17"/>
      </w:rPr>
      <w:t xml:space="preserve"> 客观</w:t>
    </w:r>
    <w:r>
      <w:rPr>
        <w:rFonts w:hint="eastAsia" w:ascii="汉仪中黑简" w:hAnsi="汉仪中黑简" w:eastAsia="汉仪中黑简" w:cs="汉仪中黑简"/>
        <w:color w:val="FF0000"/>
        <w:sz w:val="17"/>
        <w:szCs w:val="17"/>
      </w:rPr>
      <w:t>题</w:t>
    </w:r>
    <w:r>
      <w:rPr>
        <w:rFonts w:hint="eastAsia" w:ascii="汉仪粗黑简" w:hAnsi="汉仪中黑简" w:eastAsia="汉仪粗黑简" w:cs="汉仪中黑简"/>
        <w:sz w:val="17"/>
        <w:szCs w:val="17"/>
      </w:rPr>
      <w:t>精华突破</w:t>
    </w:r>
    <w:r>
      <w:rPr>
        <w:rFonts w:hint="eastAsia" w:ascii="汉仪中黑简" w:hAnsi="汉仪中黑简" w:eastAsia="汉仪中黑简" w:cs="汉仪中黑简"/>
        <w:color w:val="FF0000"/>
        <w:sz w:val="17"/>
        <w:szCs w:val="17"/>
      </w:rPr>
      <w:t>内部讲义</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56C4E">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069A2"/>
    <w:rsid w:val="0E991A48"/>
    <w:rsid w:val="13575B73"/>
    <w:rsid w:val="4E2C2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color w:val="000000"/>
      <w:kern w:val="2"/>
      <w:sz w:val="21"/>
      <w:szCs w:val="21"/>
      <w:lang w:val="en-US" w:eastAsia="zh-CN" w:bidi="ar-SA"/>
    </w:rPr>
  </w:style>
  <w:style w:type="paragraph" w:styleId="2">
    <w:name w:val="heading 6"/>
    <w:basedOn w:val="1"/>
    <w:next w:val="1"/>
    <w:semiHidden/>
    <w:unhideWhenUsed/>
    <w:qFormat/>
    <w:uiPriority w:val="0"/>
    <w:pPr>
      <w:keepNext/>
      <w:keepLines/>
      <w:spacing w:before="840" w:beforeLines="0" w:beforeAutospacing="0" w:after="664" w:afterLines="0" w:afterAutospacing="0" w:line="240" w:lineRule="auto"/>
      <w:outlineLvl w:val="5"/>
    </w:pPr>
    <w:rPr>
      <w:rFonts w:ascii="Arial" w:hAnsi="Arial" w:eastAsia="楷体"/>
      <w:b/>
      <w:sz w:val="18"/>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6">
    <w:name w:val="网格型2"/>
    <w:basedOn w:val="4"/>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sv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8628</Words>
  <Characters>8715</Characters>
  <Lines>0</Lines>
  <Paragraphs>0</Paragraphs>
  <TotalTime>115</TotalTime>
  <ScaleCrop>false</ScaleCrop>
  <LinksUpToDate>false</LinksUpToDate>
  <CharactersWithSpaces>8731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2026-07-21T14:27:00Z</dcterms:created>
  <dc:creator>yjx</dc:creator>
  <cp:lastModifiedBy>yjx</cp:lastModifiedBy>
  <dcterms:modified xsi:type="dcterms:W3CDTF">2026-07-22T14:36:16Z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6E640CEBD17A446A888BE3689BE6817D_13</vt:lpwstr>
  </property>
  <property fmtid="{D5CDD505-2E9C-101B-9397-08002B2CF9AE}" pid="4" name="KSOTemplateDocerSaveRecord">
    <vt:lpwstr>eyJoZGlkIjoiMzU1Yzg5MTNmMDUxMzE3MmE5ZDg2NDI0NjZlNWY3YjMiLCJ1c2VySWQiOiI3MzExMzM3NjgifQ==</vt:lpwstr>
  </property>
</Properties>
</file>