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47A424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Toc230599992"/>
      <w:bookmarkStart w:id="1" w:name="_Toc15275_WPSOffice_Level1"/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司法制度和法律职业道德</w:t>
      </w:r>
      <w:bookmarkEnd w:id="0"/>
    </w:p>
    <w:p w14:paraId="2F32CF8B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第一讲</w:t>
      </w:r>
      <w:bookmarkStart w:id="31" w:name="_GoBack"/>
      <w:bookmarkEnd w:id="31"/>
    </w:p>
    <w:p w14:paraId="43682AE1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sz w:val="21"/>
          <w:szCs w:val="21"/>
        </w:rPr>
      </w:pPr>
      <w:bookmarkStart w:id="2" w:name="_Toc230599993"/>
      <w:bookmarkStart w:id="3" w:name="_Toc25695"/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考点1  司法的特征</w:t>
      </w:r>
      <w:bookmarkEnd w:id="1"/>
      <w:bookmarkEnd w:id="2"/>
      <w:bookmarkEnd w:id="3"/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（19:30</w:t>
      </w:r>
      <w:r>
        <w:rPr>
          <w:rFonts w:hint="eastAsia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—19：53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）</w:t>
      </w:r>
    </w:p>
    <w:p w14:paraId="46908F80">
      <w:pPr>
        <w:spacing w:line="384" w:lineRule="exact"/>
        <w:jc w:val="left"/>
        <w:rPr>
          <w:rFonts w:hint="default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一、独立性</w:t>
      </w:r>
      <w:r>
        <w:rPr>
          <w:rFonts w:hint="eastAsia" w:cs="宋体"/>
          <w:bCs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司法机关只服从法律，不受上级机关、行政机关的干涉。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我国的“独立”区别于西方的三权分立、司法独立，不是个人独立，而是系统独立。</w:t>
      </w:r>
      <w:r>
        <w:rPr>
          <w:rFonts w:hint="eastAsia" w:cs="宋体"/>
          <w:sz w:val="21"/>
          <w:szCs w:val="21"/>
          <w:lang w:eastAsia="zh-CN"/>
        </w:rPr>
        <w:t>人民法院和人民检察院依法独立行使审判权、检察权，不受行政机关、社会团体、个人的干涉。</w:t>
      </w:r>
      <w:r>
        <w:rPr>
          <w:rFonts w:hint="eastAsia" w:cs="宋体"/>
          <w:sz w:val="21"/>
          <w:szCs w:val="21"/>
          <w:lang w:val="en-US" w:eastAsia="zh-CN"/>
        </w:rPr>
        <w:t>我国法院上下级之间是指导与被指导、监督与被监督的关系，检察院上下级之间是领导与被领导的关系，且检察院为检察长负责制，因此下级检察官向上级检察长汇报的表述是正确的。）</w:t>
      </w:r>
    </w:p>
    <w:p w14:paraId="1D141F3D">
      <w:pPr>
        <w:spacing w:line="384" w:lineRule="exact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二、法定性</w:t>
      </w:r>
      <w:r>
        <w:rPr>
          <w:rFonts w:hint="eastAsia" w:cs="宋体"/>
          <w:bCs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司法活动主要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由宪法、法律专门授权</w:t>
      </w:r>
      <w:r>
        <w:rPr>
          <w:rFonts w:hint="eastAsia" w:ascii="宋体" w:hAnsi="宋体" w:eastAsia="宋体" w:cs="宋体"/>
          <w:sz w:val="21"/>
          <w:szCs w:val="21"/>
        </w:rPr>
        <w:t>，按照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法律规定的手段</w:t>
      </w:r>
      <w:r>
        <w:rPr>
          <w:rFonts w:hint="eastAsia" w:ascii="宋体" w:hAnsi="宋体" w:eastAsia="宋体" w:cs="宋体"/>
          <w:sz w:val="21"/>
          <w:szCs w:val="21"/>
        </w:rPr>
        <w:t>，依照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法定程序</w:t>
      </w:r>
      <w:r>
        <w:rPr>
          <w:rFonts w:hint="eastAsia" w:ascii="宋体" w:hAnsi="宋体" w:eastAsia="宋体" w:cs="宋体"/>
          <w:sz w:val="21"/>
          <w:szCs w:val="21"/>
        </w:rPr>
        <w:t>进行。司法的法定性决定其权力的有限性。</w:t>
      </w:r>
    </w:p>
    <w:p w14:paraId="2DB20922">
      <w:pPr>
        <w:spacing w:line="384" w:lineRule="exact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三、交涉性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司法活动必须是在受判决直接影响的各方参与下，通过提出证据并进行理性说服和辩论，以此为基础形成司法裁判。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两造对立；偏听则暗、兼听则明</w:t>
      </w:r>
      <w:r>
        <w:rPr>
          <w:rFonts w:hint="eastAsia" w:cs="宋体"/>
          <w:sz w:val="21"/>
          <w:szCs w:val="21"/>
          <w:lang w:eastAsia="zh-CN"/>
        </w:rPr>
        <w:t>）</w:t>
      </w:r>
    </w:p>
    <w:p w14:paraId="3220C29E">
      <w:pPr>
        <w:spacing w:line="384" w:lineRule="exact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四、程序性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司法机关处理案件必须依据相应的程序法规定。法定程序是保证司法机关正确、合法、及时地适用法律的前提，是实现司法公正的重要保证。</w:t>
      </w:r>
    </w:p>
    <w:p w14:paraId="11974A21">
      <w:pPr>
        <w:spacing w:line="384" w:lineRule="exact"/>
        <w:jc w:val="left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五、普遍性</w:t>
      </w:r>
      <w:r>
        <w:rPr>
          <w:rFonts w:hint="eastAsia" w:cs="宋体"/>
          <w:bCs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在现代社会，司法构成社会纠纷解决体系中最具普适性的方式。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司法相较于仲裁、调解等其他纠纷更具普遍性</w:t>
      </w:r>
      <w:r>
        <w:rPr>
          <w:rFonts w:hint="eastAsia" w:cs="宋体"/>
          <w:sz w:val="21"/>
          <w:szCs w:val="21"/>
          <w:lang w:eastAsia="zh-CN"/>
        </w:rPr>
        <w:t>）</w:t>
      </w:r>
    </w:p>
    <w:p w14:paraId="5801D4F5">
      <w:pPr>
        <w:spacing w:line="384" w:lineRule="exact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六、终极性</w:t>
      </w:r>
      <w:r>
        <w:rPr>
          <w:rFonts w:hint="eastAsia" w:cs="宋体"/>
          <w:bCs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相较于其他纠纷解决方式，司法成为现代社会中最重要</w:t>
      </w:r>
      <w:r>
        <w:rPr>
          <w:rFonts w:hint="eastAsia" w:cs="宋体"/>
          <w:sz w:val="21"/>
          <w:szCs w:val="21"/>
          <w:lang w:eastAsia="zh-CN"/>
        </w:rPr>
        <w:t>、</w:t>
      </w:r>
      <w:r>
        <w:rPr>
          <w:rFonts w:hint="eastAsia" w:cs="宋体"/>
          <w:b/>
          <w:bCs/>
          <w:color w:val="FF0000"/>
          <w:sz w:val="21"/>
          <w:szCs w:val="21"/>
          <w:lang w:val="en-US" w:eastAsia="zh-CN"/>
        </w:rPr>
        <w:t>最终极</w:t>
      </w:r>
      <w:r>
        <w:rPr>
          <w:rFonts w:hint="eastAsia" w:ascii="宋体" w:hAnsi="宋体" w:eastAsia="宋体" w:cs="宋体"/>
          <w:sz w:val="21"/>
          <w:szCs w:val="21"/>
        </w:rPr>
        <w:t>的争端解决手段。</w:t>
      </w:r>
    </w:p>
    <w:p w14:paraId="5953A819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bookmarkStart w:id="4" w:name="_Toc30356_WPSOffice_Level1"/>
      <w:bookmarkStart w:id="5" w:name="_Toc230599994"/>
      <w:bookmarkStart w:id="6" w:name="_Toc7301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考点2  司法功能</w:t>
      </w:r>
      <w:bookmarkEnd w:id="4"/>
      <w:bookmarkEnd w:id="5"/>
      <w:bookmarkEnd w:id="6"/>
      <w:r>
        <w:rPr>
          <w:rFonts w:hint="eastAsia" w:cs="宋体"/>
          <w:b/>
          <w:bCs/>
          <w:color w:val="auto"/>
          <w:sz w:val="24"/>
          <w:szCs w:val="24"/>
          <w:lang w:val="en-US" w:eastAsia="zh-CN"/>
        </w:rPr>
        <w:t>（19：54—20:00）</w:t>
      </w:r>
    </w:p>
    <w:p w14:paraId="2730305F">
      <w:pPr>
        <w:tabs>
          <w:tab w:val="left" w:pos="420"/>
        </w:tabs>
        <w:spacing w:line="384" w:lineRule="exact"/>
        <w:rPr>
          <w:rFonts w:hint="default" w:cs="宋体"/>
          <w:color w:val="auto"/>
          <w:sz w:val="21"/>
          <w:szCs w:val="21"/>
          <w:lang w:val="en-US" w:eastAsia="zh-CN"/>
        </w:rPr>
      </w:pPr>
      <w:r>
        <w:rPr>
          <w:rFonts w:hint="eastAsia" w:cs="宋体"/>
          <w:b/>
          <w:bCs/>
          <w:color w:val="auto"/>
          <w:sz w:val="21"/>
          <w:szCs w:val="21"/>
          <w:lang w:val="en-US" w:eastAsia="zh-CN"/>
        </w:rPr>
        <w:t>一、司法的应然功能</w:t>
      </w:r>
      <w:r>
        <w:rPr>
          <w:rFonts w:hint="eastAsia" w:cs="宋体"/>
          <w:color w:val="auto"/>
          <w:sz w:val="21"/>
          <w:szCs w:val="21"/>
          <w:lang w:val="en-US" w:eastAsia="zh-CN"/>
        </w:rPr>
        <w:t>：是寄予司法的期待，相对抽象。</w:t>
      </w:r>
    </w:p>
    <w:p w14:paraId="420D2506">
      <w:pPr>
        <w:tabs>
          <w:tab w:val="left" w:pos="420"/>
        </w:tabs>
        <w:spacing w:line="384" w:lineRule="exact"/>
        <w:rPr>
          <w:rFonts w:hint="default" w:cs="宋体"/>
          <w:color w:val="auto"/>
          <w:sz w:val="21"/>
          <w:szCs w:val="21"/>
          <w:lang w:val="en-US" w:eastAsia="zh-CN"/>
        </w:rPr>
      </w:pPr>
      <w:r>
        <w:rPr>
          <w:rFonts w:hint="eastAsia" w:cs="宋体"/>
          <w:b/>
          <w:bCs/>
          <w:color w:val="auto"/>
          <w:sz w:val="21"/>
          <w:szCs w:val="21"/>
          <w:lang w:val="en-US" w:eastAsia="zh-CN"/>
        </w:rPr>
        <w:t>二、司法的实然功能</w:t>
      </w:r>
      <w:r>
        <w:rPr>
          <w:rFonts w:hint="eastAsia" w:cs="宋体"/>
          <w:color w:val="auto"/>
          <w:sz w:val="21"/>
          <w:szCs w:val="21"/>
          <w:lang w:val="en-US" w:eastAsia="zh-CN"/>
        </w:rPr>
        <w:t>：受到各国的司法制度限制，相对具体，可以分为直接功能与间接功能。</w:t>
      </w:r>
    </w:p>
    <w:p w14:paraId="52033103">
      <w:pPr>
        <w:tabs>
          <w:tab w:val="left" w:pos="420"/>
        </w:tabs>
        <w:spacing w:line="384" w:lineRule="exact"/>
        <w:ind w:firstLine="422" w:firstLineChars="200"/>
        <w:rPr>
          <w:rFonts w:hint="eastAsia" w:cs="宋体"/>
          <w:color w:val="auto"/>
          <w:sz w:val="21"/>
          <w:szCs w:val="21"/>
          <w:lang w:val="en-US" w:eastAsia="zh-CN"/>
        </w:rPr>
      </w:pPr>
      <w:r>
        <w:rPr>
          <w:rFonts w:hint="eastAsia" w:cs="宋体"/>
          <w:b/>
          <w:bCs/>
          <w:color w:val="auto"/>
          <w:sz w:val="21"/>
          <w:szCs w:val="21"/>
          <w:lang w:val="en-US" w:eastAsia="zh-CN"/>
        </w:rPr>
        <w:t>（一）直接功能</w:t>
      </w:r>
      <w:r>
        <w:rPr>
          <w:rFonts w:hint="eastAsia" w:cs="宋体"/>
          <w:color w:val="auto"/>
          <w:sz w:val="21"/>
          <w:szCs w:val="21"/>
          <w:lang w:val="en-US" w:eastAsia="zh-CN"/>
        </w:rPr>
        <w:t>：解决纠纷（</w:t>
      </w:r>
      <w:r>
        <w:rPr>
          <w:rFonts w:hint="eastAsia" w:ascii="宋体" w:hAnsi="宋体" w:eastAsia="宋体" w:cs="宋体"/>
          <w:bCs/>
          <w:color w:val="auto"/>
          <w:sz w:val="21"/>
          <w:szCs w:val="21"/>
        </w:rPr>
        <w:t>解决纠纷是司法的直接功能和主要功能</w:t>
      </w:r>
      <w:r>
        <w:rPr>
          <w:rFonts w:hint="eastAsia" w:cs="宋体"/>
          <w:color w:val="auto"/>
          <w:sz w:val="21"/>
          <w:szCs w:val="21"/>
          <w:lang w:val="en-US" w:eastAsia="zh-CN"/>
        </w:rPr>
        <w:t>）</w:t>
      </w:r>
    </w:p>
    <w:p w14:paraId="14F73846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bCs/>
          <w:sz w:val="21"/>
          <w:szCs w:val="21"/>
        </w:rPr>
      </w:pPr>
      <w:r>
        <w:rPr>
          <w:rFonts w:hint="eastAsia" w:cs="宋体"/>
          <w:b/>
          <w:bCs/>
          <w:color w:val="auto"/>
          <w:sz w:val="21"/>
          <w:szCs w:val="21"/>
          <w:lang w:val="en-US" w:eastAsia="zh-CN"/>
        </w:rPr>
        <w:t>（二）间接功能</w:t>
      </w:r>
      <w:r>
        <w:rPr>
          <w:rFonts w:hint="eastAsia" w:cs="宋体"/>
          <w:color w:val="auto"/>
          <w:sz w:val="21"/>
          <w:szCs w:val="21"/>
          <w:lang w:val="en-US" w:eastAsia="zh-CN"/>
        </w:rPr>
        <w:t>：</w:t>
      </w:r>
      <w:r>
        <w:rPr>
          <w:rFonts w:hint="eastAsia" w:ascii="宋体" w:hAnsi="宋体" w:eastAsia="宋体" w:cs="宋体"/>
          <w:bCs/>
          <w:sz w:val="21"/>
          <w:szCs w:val="21"/>
        </w:rPr>
        <w:t>司法还具有人权保障</w:t>
      </w:r>
      <w:r>
        <w:rPr>
          <w:rFonts w:hint="eastAsia" w:cs="宋体"/>
          <w:bCs/>
          <w:sz w:val="21"/>
          <w:szCs w:val="21"/>
          <w:lang w:eastAsia="zh-CN"/>
        </w:rPr>
        <w:t>（</w:t>
      </w:r>
      <w:r>
        <w:rPr>
          <w:rFonts w:hint="eastAsia" w:cs="宋体"/>
          <w:bCs/>
          <w:sz w:val="21"/>
          <w:szCs w:val="21"/>
          <w:lang w:val="en-US" w:eastAsia="zh-CN"/>
        </w:rPr>
        <w:t>非法证据排除原则；禁止刑讯逼供等</w:t>
      </w:r>
      <w:r>
        <w:rPr>
          <w:rFonts w:hint="eastAsia" w:cs="宋体"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Cs/>
          <w:sz w:val="21"/>
          <w:szCs w:val="21"/>
        </w:rPr>
        <w:t>、调整社会关系、解释和补充法律、形成公共政策、秩序维持、文化支持等间接功能。</w:t>
      </w:r>
    </w:p>
    <w:p w14:paraId="6011BBC0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color w:val="FF0000"/>
          <w:sz w:val="21"/>
          <w:szCs w:val="21"/>
        </w:rPr>
      </w:pPr>
      <w:bookmarkStart w:id="7" w:name="_Toc12381"/>
      <w:bookmarkStart w:id="8" w:name="_Toc230599995"/>
      <w:bookmarkStart w:id="9" w:name="_Toc2959_WPSOffice_Level1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考点3  司法公正</w:t>
      </w:r>
      <w:bookmarkEnd w:id="7"/>
      <w:bookmarkEnd w:id="8"/>
      <w:bookmarkEnd w:id="9"/>
      <w:r>
        <w:rPr>
          <w:rFonts w:hint="eastAsia" w:cs="宋体"/>
          <w:b/>
          <w:bCs/>
          <w:color w:val="auto"/>
          <w:sz w:val="24"/>
          <w:szCs w:val="24"/>
          <w:lang w:val="en-US" w:eastAsia="zh-CN"/>
        </w:rPr>
        <w:t>（20:01—20:18）</w:t>
      </w:r>
    </w:p>
    <w:p w14:paraId="6E41AB3C">
      <w:pPr>
        <w:numPr>
          <w:ilvl w:val="0"/>
          <w:numId w:val="1"/>
        </w:numPr>
        <w:spacing w:line="384" w:lineRule="exact"/>
        <w:jc w:val="left"/>
        <w:rPr>
          <w:rFonts w:hint="eastAsia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司法公正的内涵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司法公正包括实体公正和程序公正。</w:t>
      </w:r>
    </w:p>
    <w:p w14:paraId="3736362F">
      <w:pPr>
        <w:spacing w:line="384" w:lineRule="exact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二、司法公正的构成要素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cs="宋体"/>
          <w:bCs/>
          <w:color w:val="auto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sz w:val="21"/>
          <w:szCs w:val="21"/>
        </w:rPr>
        <w:t>1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司法活动的合法性</w:t>
      </w:r>
      <w:r>
        <w:rPr>
          <w:rFonts w:hint="eastAsia" w:cs="宋体"/>
          <w:sz w:val="21"/>
          <w:szCs w:val="21"/>
          <w:lang w:eastAsia="zh-CN"/>
        </w:rPr>
        <w:t>；（</w:t>
      </w:r>
      <w:r>
        <w:rPr>
          <w:rFonts w:hint="eastAsia" w:ascii="宋体" w:hAnsi="宋体" w:eastAsia="宋体" w:cs="宋体"/>
          <w:sz w:val="21"/>
          <w:szCs w:val="21"/>
        </w:rPr>
        <w:t>2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司法人员的中立性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回避制度</w:t>
      </w:r>
      <w:r>
        <w:rPr>
          <w:rFonts w:hint="eastAsia" w:cs="宋体"/>
          <w:sz w:val="21"/>
          <w:szCs w:val="21"/>
          <w:lang w:eastAsia="zh-CN"/>
        </w:rPr>
        <w:t>）；（</w:t>
      </w:r>
      <w:r>
        <w:rPr>
          <w:rFonts w:hint="eastAsia" w:cs="宋体"/>
          <w:sz w:val="21"/>
          <w:szCs w:val="21"/>
          <w:lang w:val="en-US" w:eastAsia="zh-CN"/>
        </w:rPr>
        <w:t>3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司法活动的公开性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sz w:val="21"/>
          <w:szCs w:val="21"/>
        </w:rPr>
        <w:t>律师文书不属于司法公开的范畴</w:t>
      </w:r>
      <w:r>
        <w:rPr>
          <w:rFonts w:hint="eastAsia" w:cs="宋体"/>
          <w:sz w:val="21"/>
          <w:szCs w:val="21"/>
          <w:lang w:eastAsia="zh-CN"/>
        </w:rPr>
        <w:t>；</w:t>
      </w:r>
      <w:r>
        <w:rPr>
          <w:rFonts w:hint="eastAsia" w:cs="宋体"/>
          <w:sz w:val="21"/>
          <w:szCs w:val="21"/>
          <w:lang w:val="en-US" w:eastAsia="zh-CN"/>
        </w:rPr>
        <w:t>评议过程不公开</w:t>
      </w:r>
      <w:r>
        <w:rPr>
          <w:rFonts w:hint="eastAsia" w:cs="宋体"/>
          <w:sz w:val="21"/>
          <w:szCs w:val="21"/>
          <w:lang w:eastAsia="zh-CN"/>
        </w:rPr>
        <w:t>）；（</w:t>
      </w:r>
      <w:r>
        <w:rPr>
          <w:rFonts w:hint="eastAsia" w:cs="宋体"/>
          <w:sz w:val="21"/>
          <w:szCs w:val="21"/>
          <w:lang w:val="en-US" w:eastAsia="zh-CN"/>
        </w:rPr>
        <w:t>4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当事人地位的平等性</w:t>
      </w:r>
      <w:r>
        <w:rPr>
          <w:rFonts w:hint="eastAsia" w:cs="宋体"/>
          <w:sz w:val="21"/>
          <w:szCs w:val="21"/>
          <w:lang w:eastAsia="zh-CN"/>
        </w:rPr>
        <w:t>；（</w:t>
      </w:r>
      <w:r>
        <w:rPr>
          <w:rFonts w:hint="eastAsia" w:cs="宋体"/>
          <w:sz w:val="21"/>
          <w:szCs w:val="21"/>
          <w:lang w:val="en-US" w:eastAsia="zh-CN"/>
        </w:rPr>
        <w:t>5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司法程序的参与性</w:t>
      </w:r>
      <w:r>
        <w:rPr>
          <w:rFonts w:hint="eastAsia" w:cs="宋体"/>
          <w:sz w:val="21"/>
          <w:szCs w:val="21"/>
          <w:lang w:eastAsia="zh-CN"/>
        </w:rPr>
        <w:t>：（</w:t>
      </w:r>
      <w:r>
        <w:rPr>
          <w:rFonts w:hint="eastAsia" w:cs="宋体"/>
          <w:sz w:val="21"/>
          <w:szCs w:val="21"/>
          <w:lang w:val="en-US" w:eastAsia="zh-CN"/>
        </w:rPr>
        <w:t>6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司法结果的正确性</w:t>
      </w:r>
      <w:r>
        <w:rPr>
          <w:rFonts w:hint="eastAsia" w:cs="宋体"/>
          <w:sz w:val="21"/>
          <w:szCs w:val="21"/>
          <w:lang w:eastAsia="zh-CN"/>
        </w:rPr>
        <w:t>；（</w:t>
      </w:r>
      <w:r>
        <w:rPr>
          <w:rFonts w:hint="eastAsia" w:cs="宋体"/>
          <w:sz w:val="21"/>
          <w:szCs w:val="21"/>
          <w:lang w:val="en-US" w:eastAsia="zh-CN"/>
        </w:rPr>
        <w:t>7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司法人员的廉洁性</w:t>
      </w:r>
      <w:r>
        <w:rPr>
          <w:rFonts w:hint="eastAsia" w:cs="宋体"/>
          <w:sz w:val="21"/>
          <w:szCs w:val="21"/>
          <w:lang w:eastAsia="zh-CN"/>
        </w:rPr>
        <w:t>。</w:t>
      </w:r>
    </w:p>
    <w:p w14:paraId="10006D8D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bookmarkStart w:id="10" w:name="_Toc11703_WPSOffice_Level1"/>
      <w:bookmarkStart w:id="11" w:name="_Toc230599996"/>
      <w:bookmarkStart w:id="12" w:name="_Toc23273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考点4  司法效率</w:t>
      </w:r>
      <w:bookmarkEnd w:id="10"/>
      <w:bookmarkEnd w:id="11"/>
      <w:bookmarkEnd w:id="12"/>
      <w:r>
        <w:rPr>
          <w:rFonts w:hint="eastAsia" w:cs="宋体"/>
          <w:b/>
          <w:bCs/>
          <w:color w:val="auto"/>
          <w:sz w:val="24"/>
          <w:szCs w:val="24"/>
          <w:lang w:val="en-US" w:eastAsia="zh-CN"/>
        </w:rPr>
        <w:t>（20:19—20:25）</w:t>
      </w:r>
    </w:p>
    <w:p w14:paraId="232F242B">
      <w:pPr>
        <w:tabs>
          <w:tab w:val="left" w:pos="420"/>
        </w:tabs>
        <w:spacing w:line="384" w:lineRule="exact"/>
        <w:rPr>
          <w:rFonts w:hint="default" w:ascii="宋体" w:hAnsi="宋体" w:eastAsia="宋体" w:cs="宋体"/>
          <w:color w:val="FF0000"/>
          <w:sz w:val="21"/>
          <w:szCs w:val="21"/>
          <w:lang w:val="en-US" w:eastAsia="zh-CN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一、</w:t>
      </w:r>
      <w:r>
        <w:rPr>
          <w:rFonts w:hint="eastAsia" w:ascii="宋体" w:hAnsi="宋体" w:eastAsia="宋体" w:cs="宋体"/>
          <w:sz w:val="21"/>
          <w:szCs w:val="21"/>
        </w:rPr>
        <w:t>在司法过程中，应坚持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“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公正优先、兼顾效率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”原则</w:t>
      </w:r>
      <w:r>
        <w:rPr>
          <w:rFonts w:hint="eastAsia" w:cs="宋体"/>
          <w:sz w:val="21"/>
          <w:szCs w:val="21"/>
          <w:lang w:eastAsia="zh-CN"/>
        </w:rPr>
        <w:t>，</w:t>
      </w:r>
      <w:r>
        <w:rPr>
          <w:rFonts w:hint="eastAsia" w:cs="宋体"/>
          <w:sz w:val="21"/>
          <w:szCs w:val="21"/>
          <w:lang w:val="en-US" w:eastAsia="zh-CN"/>
        </w:rPr>
        <w:t>将司法公正作为第一考虑，当公正与效率发生冲突，效率应当让位于公正。</w:t>
      </w:r>
    </w:p>
    <w:p w14:paraId="0DD18D32">
      <w:pPr>
        <w:tabs>
          <w:tab w:val="left" w:pos="420"/>
        </w:tabs>
        <w:spacing w:line="384" w:lineRule="exact"/>
        <w:rPr>
          <w:rFonts w:hint="eastAsia" w:eastAsia="宋体" w:cs="宋体"/>
          <w:sz w:val="21"/>
          <w:szCs w:val="21"/>
          <w:lang w:val="en-US" w:eastAsia="zh-CN"/>
        </w:rPr>
      </w:pPr>
      <w:r>
        <w:rPr>
          <w:rFonts w:hint="eastAsia" w:cs="宋体"/>
          <w:sz w:val="21"/>
          <w:szCs w:val="21"/>
          <w:lang w:val="en-US" w:eastAsia="zh-CN"/>
        </w:rPr>
        <w:t>二、</w:t>
      </w:r>
      <w:r>
        <w:rPr>
          <w:rFonts w:hint="eastAsia" w:ascii="宋体" w:hAnsi="宋体" w:eastAsia="宋体" w:cs="宋体"/>
          <w:sz w:val="21"/>
          <w:szCs w:val="21"/>
        </w:rPr>
        <w:t>司法效率大致包括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司法的时间效率</w:t>
      </w:r>
      <w:r>
        <w:rPr>
          <w:rFonts w:hint="eastAsia" w:cs="宋体"/>
          <w:sz w:val="21"/>
          <w:szCs w:val="21"/>
          <w:lang w:val="en-US" w:eastAsia="zh-CN"/>
        </w:rPr>
        <w:t>（如：审限）</w:t>
      </w:r>
      <w:r>
        <w:rPr>
          <w:rFonts w:hint="eastAsia" w:ascii="宋体" w:hAnsi="宋体" w:eastAsia="宋体" w:cs="宋体"/>
          <w:sz w:val="21"/>
          <w:szCs w:val="21"/>
        </w:rPr>
        <w:t>、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司法资源的利用效率</w:t>
      </w:r>
      <w:r>
        <w:rPr>
          <w:rFonts w:hint="eastAsia" w:cs="宋体"/>
          <w:sz w:val="21"/>
          <w:szCs w:val="21"/>
          <w:lang w:val="en-US" w:eastAsia="zh-CN"/>
        </w:rPr>
        <w:t>（如：二审重审只能发回一次，避免程序空转）</w:t>
      </w:r>
      <w:r>
        <w:rPr>
          <w:rFonts w:hint="eastAsia" w:ascii="宋体" w:hAnsi="宋体" w:eastAsia="宋体" w:cs="宋体"/>
          <w:sz w:val="21"/>
          <w:szCs w:val="21"/>
        </w:rPr>
        <w:t>和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司法活动的成本效率</w:t>
      </w:r>
      <w:r>
        <w:rPr>
          <w:rFonts w:hint="eastAsia" w:cs="宋体"/>
          <w:sz w:val="21"/>
          <w:szCs w:val="21"/>
          <w:lang w:val="en-US" w:eastAsia="zh-CN"/>
        </w:rPr>
        <w:t>（如：缴纳诉讼费）</w:t>
      </w:r>
      <w:r>
        <w:rPr>
          <w:rFonts w:hint="eastAsia" w:ascii="宋体" w:hAnsi="宋体" w:eastAsia="宋体" w:cs="宋体"/>
          <w:sz w:val="21"/>
          <w:szCs w:val="21"/>
        </w:rPr>
        <w:t>三个方面</w:t>
      </w:r>
      <w:r>
        <w:rPr>
          <w:rFonts w:hint="eastAsia" w:cs="宋体"/>
          <w:sz w:val="21"/>
          <w:szCs w:val="21"/>
          <w:lang w:eastAsia="zh-CN"/>
        </w:rPr>
        <w:t>。</w:t>
      </w:r>
    </w:p>
    <w:p w14:paraId="212A9437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sz w:val="21"/>
          <w:szCs w:val="21"/>
        </w:rPr>
      </w:pPr>
      <w:bookmarkStart w:id="13" w:name="_Toc12711_WPSOffice_Level1"/>
      <w:bookmarkStart w:id="14" w:name="_Toc6207"/>
      <w:bookmarkStart w:id="15" w:name="_Toc230599997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考点5  </w:t>
      </w:r>
      <w:bookmarkEnd w:id="13"/>
      <w:bookmarkEnd w:id="14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独立行使审判权与检察权的</w:t>
      </w:r>
      <w:bookmarkStart w:id="16" w:name="_Toc166502202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基本内容</w:t>
      </w:r>
      <w:bookmarkEnd w:id="15"/>
      <w:bookmarkEnd w:id="16"/>
      <w:r>
        <w:rPr>
          <w:rFonts w:hint="eastAsia" w:cs="宋体"/>
          <w:b/>
          <w:bCs/>
          <w:color w:val="auto"/>
          <w:sz w:val="24"/>
          <w:szCs w:val="24"/>
          <w:lang w:val="en-US" w:eastAsia="zh-CN"/>
        </w:rPr>
        <w:t>（20:35—20:41）</w:t>
      </w:r>
    </w:p>
    <w:p w14:paraId="7984D85F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一、权力专属性</w:t>
      </w:r>
      <w:r>
        <w:rPr>
          <w:rFonts w:hint="eastAsia" w:cs="宋体"/>
          <w:sz w:val="21"/>
          <w:szCs w:val="21"/>
          <w:lang w:val="en-US"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国家的审判权和检察权只能分别由法院和检察院依法统一行使，其他机关、团体或个人无权行使该权力。</w:t>
      </w:r>
    </w:p>
    <w:p w14:paraId="786D9EE8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司法机关依照法律独立行使职权，不受行政机关、社会团体和个人的干涉。</w:t>
      </w:r>
    </w:p>
    <w:p w14:paraId="207627CA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三、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司法机关在司法活动中必须依照法律规定，正确地适用法律。</w:t>
      </w:r>
    </w:p>
    <w:p w14:paraId="6FE12D72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bCs/>
          <w:sz w:val="21"/>
          <w:szCs w:val="21"/>
        </w:rPr>
      </w:pPr>
      <w:r>
        <w:rPr>
          <w:rFonts w:hint="eastAsia" w:cs="宋体"/>
          <w:bCs/>
          <w:sz w:val="21"/>
          <w:szCs w:val="21"/>
          <w:lang w:eastAsia="zh-CN"/>
        </w:rPr>
        <w:t>【</w:t>
      </w:r>
      <w:r>
        <w:rPr>
          <w:rFonts w:hint="eastAsia" w:cs="宋体"/>
          <w:bCs/>
          <w:sz w:val="21"/>
          <w:szCs w:val="21"/>
          <w:lang w:val="en-US" w:eastAsia="zh-CN"/>
        </w:rPr>
        <w:t>注意</w:t>
      </w:r>
      <w:r>
        <w:rPr>
          <w:rFonts w:hint="eastAsia" w:cs="宋体"/>
          <w:bCs/>
          <w:sz w:val="21"/>
          <w:szCs w:val="21"/>
          <w:lang w:eastAsia="zh-CN"/>
        </w:rPr>
        <w:t>】</w:t>
      </w:r>
      <w:r>
        <w:rPr>
          <w:rFonts w:hint="eastAsia" w:ascii="宋体" w:hAnsi="宋体" w:eastAsia="宋体" w:cs="宋体"/>
          <w:bCs/>
          <w:sz w:val="21"/>
          <w:szCs w:val="21"/>
        </w:rPr>
        <w:t>独立行使审判权与检察权并不意味着法官、检察官可以根据个人主张做决定，而是表明他们可以依法裁决。</w:t>
      </w:r>
    </w:p>
    <w:p w14:paraId="3C61CC2F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sz w:val="21"/>
          <w:szCs w:val="21"/>
        </w:rPr>
      </w:pPr>
      <w:bookmarkStart w:id="17" w:name="_Toc22068_WPSOffice_Level1"/>
      <w:bookmarkStart w:id="18" w:name="_Toc7103"/>
      <w:bookmarkStart w:id="19" w:name="_Toc230599998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考点6  </w:t>
      </w:r>
      <w:bookmarkEnd w:id="17"/>
      <w:bookmarkStart w:id="20" w:name="_Toc4003_WPSOffice_Level1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法律职业道德</w:t>
      </w:r>
      <w:bookmarkEnd w:id="18"/>
      <w:bookmarkEnd w:id="19"/>
      <w:bookmarkEnd w:id="20"/>
      <w:r>
        <w:rPr>
          <w:rFonts w:hint="eastAsia" w:cs="宋体"/>
          <w:b/>
          <w:bCs/>
          <w:color w:val="auto"/>
          <w:sz w:val="24"/>
          <w:szCs w:val="24"/>
          <w:lang w:val="en-US" w:eastAsia="zh-CN"/>
        </w:rPr>
        <w:t>（20:42—21:13）</w:t>
      </w:r>
    </w:p>
    <w:p w14:paraId="0EE2EB1D">
      <w:pPr>
        <w:tabs>
          <w:tab w:val="left" w:pos="420"/>
        </w:tabs>
        <w:spacing w:line="384" w:lineRule="exact"/>
        <w:rPr>
          <w:rFonts w:hint="eastAsia" w:cs="宋体"/>
          <w:b/>
          <w:bCs/>
          <w:sz w:val="21"/>
          <w:szCs w:val="21"/>
          <w:lang w:val="en-US" w:eastAsia="zh-CN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一、法律职业道德的特征</w:t>
      </w:r>
    </w:p>
    <w:p w14:paraId="32626851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一</w:t>
      </w:r>
      <w:r>
        <w:rPr>
          <w:rFonts w:hint="eastAsia" w:cs="宋体"/>
          <w:b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政治性。</w:t>
      </w:r>
      <w:r>
        <w:rPr>
          <w:rFonts w:hint="eastAsia" w:ascii="宋体" w:hAnsi="宋体" w:eastAsia="宋体" w:cs="宋体"/>
          <w:sz w:val="21"/>
          <w:szCs w:val="21"/>
        </w:rPr>
        <w:t>法治工作是政治性很强的业务工作，也是业务性很强的政治工作。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color w:val="FF0000"/>
          <w:sz w:val="21"/>
          <w:szCs w:val="21"/>
          <w:lang w:val="en-US" w:eastAsia="zh-CN"/>
        </w:rPr>
        <w:t>法律职业道德的首要特性是政治性</w:t>
      </w:r>
      <w:r>
        <w:rPr>
          <w:rFonts w:hint="eastAsia" w:cs="宋体"/>
          <w:sz w:val="21"/>
          <w:szCs w:val="21"/>
          <w:lang w:eastAsia="zh-CN"/>
        </w:rPr>
        <w:t>）</w:t>
      </w:r>
    </w:p>
    <w:p w14:paraId="0448A86C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二</w:t>
      </w:r>
      <w:r>
        <w:rPr>
          <w:rFonts w:hint="eastAsia" w:cs="宋体"/>
          <w:b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职业性。</w:t>
      </w:r>
      <w:r>
        <w:rPr>
          <w:rFonts w:hint="eastAsia" w:ascii="宋体" w:hAnsi="宋体" w:eastAsia="宋体" w:cs="宋体"/>
          <w:sz w:val="21"/>
          <w:szCs w:val="21"/>
        </w:rPr>
        <w:t>法律职业道德的内容</w:t>
      </w:r>
      <w:r>
        <w:rPr>
          <w:rFonts w:hint="eastAsia" w:cs="宋体"/>
          <w:b/>
          <w:bCs/>
          <w:color w:val="FF0000"/>
          <w:sz w:val="21"/>
          <w:szCs w:val="21"/>
          <w:lang w:val="en-US" w:eastAsia="zh-CN"/>
        </w:rPr>
        <w:t>与法律执业实践活动紧密相连</w:t>
      </w:r>
      <w:r>
        <w:rPr>
          <w:rFonts w:hint="eastAsia" w:ascii="宋体" w:hAnsi="宋体" w:eastAsia="宋体" w:cs="宋体"/>
          <w:sz w:val="21"/>
          <w:szCs w:val="21"/>
        </w:rPr>
        <w:t>，反映着法律职业活动对</w:t>
      </w:r>
      <w:r>
        <w:rPr>
          <w:rFonts w:hint="eastAsia" w:cs="宋体"/>
          <w:b/>
          <w:bCs/>
          <w:color w:val="FF0000"/>
          <w:sz w:val="21"/>
          <w:szCs w:val="21"/>
          <w:lang w:val="en-US" w:eastAsia="zh-CN"/>
        </w:rPr>
        <w:t>从业人员行为</w:t>
      </w:r>
      <w:r>
        <w:rPr>
          <w:rFonts w:hint="eastAsia" w:ascii="宋体" w:hAnsi="宋体" w:eastAsia="宋体" w:cs="宋体"/>
          <w:sz w:val="21"/>
          <w:szCs w:val="21"/>
        </w:rPr>
        <w:t>的道德要求。</w:t>
      </w:r>
    </w:p>
    <w:p w14:paraId="7271E52A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三</w:t>
      </w:r>
      <w:r>
        <w:rPr>
          <w:rFonts w:hint="eastAsia" w:cs="宋体"/>
          <w:b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实践性。</w:t>
      </w:r>
      <w:r>
        <w:rPr>
          <w:rFonts w:hint="eastAsia" w:ascii="宋体" w:hAnsi="宋体" w:eastAsia="宋体" w:cs="宋体"/>
          <w:sz w:val="21"/>
          <w:szCs w:val="21"/>
        </w:rPr>
        <w:t>法律职业行为过程，就是法律职业实践过程，只有在</w:t>
      </w:r>
      <w:r>
        <w:rPr>
          <w:rFonts w:hint="eastAsia" w:cs="宋体"/>
          <w:b/>
          <w:bCs/>
          <w:color w:val="FF0000"/>
          <w:sz w:val="21"/>
          <w:szCs w:val="21"/>
          <w:lang w:val="en-US" w:eastAsia="zh-CN"/>
        </w:rPr>
        <w:t>法律实践过程中</w:t>
      </w:r>
      <w:r>
        <w:rPr>
          <w:rFonts w:hint="eastAsia" w:ascii="宋体" w:hAnsi="宋体" w:eastAsia="宋体" w:cs="宋体"/>
          <w:sz w:val="21"/>
          <w:szCs w:val="21"/>
        </w:rPr>
        <w:t>，才能体现出法律职业道德的水准。</w:t>
      </w:r>
    </w:p>
    <w:p w14:paraId="1671635D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四</w:t>
      </w:r>
      <w:r>
        <w:rPr>
          <w:rFonts w:hint="eastAsia" w:cs="宋体"/>
          <w:b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正式性。</w:t>
      </w:r>
      <w:r>
        <w:rPr>
          <w:rFonts w:hint="eastAsia" w:ascii="宋体" w:hAnsi="宋体" w:eastAsia="宋体" w:cs="宋体"/>
          <w:sz w:val="21"/>
          <w:szCs w:val="21"/>
        </w:rPr>
        <w:t>法律职业道德的表现形式较为正式，通过法律、法规、规范性文件等形式表现出来。</w:t>
      </w:r>
    </w:p>
    <w:p w14:paraId="19B7D227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五</w:t>
      </w:r>
      <w:r>
        <w:rPr>
          <w:rFonts w:hint="eastAsia" w:cs="宋体"/>
          <w:b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更高性。</w:t>
      </w:r>
      <w:r>
        <w:rPr>
          <w:rFonts w:hint="eastAsia" w:ascii="宋体" w:hAnsi="宋体" w:eastAsia="宋体" w:cs="宋体"/>
          <w:sz w:val="21"/>
          <w:szCs w:val="21"/>
        </w:rPr>
        <w:t>法律为调整社会关系的主要规范，在社会中负有分配社会资源、维持社会秩序、解决社会冲突、实现社会正义的功能，因为要求法律职业人员具有更高的法律职业道德水准。</w:t>
      </w:r>
    </w:p>
    <w:p w14:paraId="3C05E5FB">
      <w:pPr>
        <w:tabs>
          <w:tab w:val="left" w:pos="420"/>
        </w:tabs>
        <w:spacing w:line="384" w:lineRule="exact"/>
        <w:rPr>
          <w:rFonts w:hint="eastAsia" w:cs="宋体"/>
          <w:b/>
          <w:bCs/>
          <w:sz w:val="21"/>
          <w:szCs w:val="21"/>
          <w:lang w:val="en-US" w:eastAsia="zh-CN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二、法律职业道德的基本原则</w:t>
      </w:r>
    </w:p>
    <w:p w14:paraId="4954906C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一</w:t>
      </w:r>
      <w:r>
        <w:rPr>
          <w:rFonts w:hint="eastAsia" w:cs="宋体"/>
          <w:b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忠于党、忠于国家、忠于人民、忠于法律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</w:rPr>
        <w:t>（首要原则）</w:t>
      </w:r>
    </w:p>
    <w:p w14:paraId="4C354897">
      <w:pPr>
        <w:tabs>
          <w:tab w:val="left" w:pos="420"/>
        </w:tabs>
        <w:spacing w:line="384" w:lineRule="exact"/>
        <w:ind w:firstLine="422" w:firstLineChars="200"/>
        <w:rPr>
          <w:rFonts w:hint="eastAsia" w:cs="宋体"/>
          <w:b/>
          <w:bCs/>
          <w:sz w:val="21"/>
          <w:szCs w:val="21"/>
          <w:lang w:eastAsia="zh-CN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（二）</w:t>
      </w:r>
      <w:r>
        <w:rPr>
          <w:rFonts w:hint="eastAsia" w:cs="宋体"/>
          <w:b/>
          <w:bCs/>
          <w:sz w:val="21"/>
          <w:szCs w:val="21"/>
          <w:lang w:eastAsia="zh-CN"/>
        </w:rPr>
        <w:t>以事实为根据，以法律为准绳</w:t>
      </w:r>
      <w:r>
        <w:rPr>
          <w:rFonts w:hint="eastAsia" w:cs="宋体"/>
          <w:b w:val="0"/>
          <w:bCs w:val="0"/>
          <w:sz w:val="21"/>
          <w:szCs w:val="21"/>
          <w:lang w:eastAsia="zh-CN"/>
        </w:rPr>
        <w:t>（是司法三段论的必然要求）</w:t>
      </w:r>
    </w:p>
    <w:p w14:paraId="1E2483D9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三</w:t>
      </w:r>
      <w:r>
        <w:rPr>
          <w:rFonts w:hint="eastAsia" w:cs="宋体"/>
          <w:b/>
          <w:bCs/>
          <w:sz w:val="21"/>
          <w:szCs w:val="21"/>
          <w:lang w:eastAsia="zh-CN"/>
        </w:rPr>
        <w:t>）严明纪律，保守秘密</w:t>
      </w:r>
      <w:r>
        <w:rPr>
          <w:rFonts w:hint="eastAsia" w:cs="宋体"/>
          <w:b w:val="0"/>
          <w:bCs w:val="0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保守秘密是七类法律职业人员共同的职业道德要求</w:t>
      </w:r>
      <w:r>
        <w:rPr>
          <w:rFonts w:hint="eastAsia" w:cs="宋体"/>
          <w:b w:val="0"/>
          <w:bCs w:val="0"/>
          <w:sz w:val="21"/>
          <w:szCs w:val="21"/>
          <w:lang w:eastAsia="zh-CN"/>
        </w:rPr>
        <w:t>）</w:t>
      </w:r>
    </w:p>
    <w:p w14:paraId="79E2E45C">
      <w:pPr>
        <w:tabs>
          <w:tab w:val="left" w:pos="420"/>
        </w:tabs>
        <w:spacing w:line="384" w:lineRule="exact"/>
        <w:ind w:firstLine="422" w:firstLineChars="200"/>
        <w:rPr>
          <w:rFonts w:hint="eastAsia" w:cs="宋体"/>
          <w:b/>
          <w:bCs/>
          <w:sz w:val="21"/>
          <w:szCs w:val="21"/>
          <w:lang w:eastAsia="zh-CN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四</w:t>
      </w:r>
      <w:r>
        <w:rPr>
          <w:rFonts w:hint="eastAsia" w:cs="宋体"/>
          <w:b/>
          <w:bCs/>
          <w:sz w:val="21"/>
          <w:szCs w:val="21"/>
          <w:lang w:eastAsia="zh-CN"/>
        </w:rPr>
        <w:t>）互相尊重，互相配合</w:t>
      </w:r>
    </w:p>
    <w:p w14:paraId="105F9709">
      <w:pPr>
        <w:tabs>
          <w:tab w:val="left" w:pos="420"/>
        </w:tabs>
        <w:spacing w:line="384" w:lineRule="exact"/>
        <w:ind w:firstLine="422" w:firstLineChars="200"/>
        <w:rPr>
          <w:rFonts w:hint="eastAsia" w:cs="宋体"/>
          <w:b/>
          <w:bCs/>
          <w:sz w:val="21"/>
          <w:szCs w:val="21"/>
          <w:lang w:eastAsia="zh-CN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五</w:t>
      </w:r>
      <w:r>
        <w:rPr>
          <w:rFonts w:hint="eastAsia" w:cs="宋体"/>
          <w:b/>
          <w:bCs/>
          <w:sz w:val="21"/>
          <w:szCs w:val="21"/>
          <w:lang w:eastAsia="zh-CN"/>
        </w:rPr>
        <w:t>）恪尽职守，勤勉尽责</w:t>
      </w:r>
    </w:p>
    <w:p w14:paraId="121B27C7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六</w:t>
      </w:r>
      <w:r>
        <w:rPr>
          <w:rFonts w:hint="eastAsia" w:cs="宋体"/>
          <w:b/>
          <w:bCs/>
          <w:sz w:val="21"/>
          <w:szCs w:val="21"/>
          <w:lang w:eastAsia="zh-CN"/>
        </w:rPr>
        <w:t>）清正廉洁，遵纪守法（</w:t>
      </w:r>
      <w:r>
        <w:rPr>
          <w:rFonts w:hint="eastAsia" w:ascii="宋体" w:hAnsi="宋体" w:eastAsia="宋体" w:cs="宋体"/>
          <w:sz w:val="21"/>
          <w:szCs w:val="21"/>
        </w:rPr>
        <w:t>清正廉洁并非各类法律从业人员的共同职业道德要求，律师、法律顾问并无明文要求</w:t>
      </w:r>
      <w:r>
        <w:rPr>
          <w:rFonts w:hint="eastAsia" w:cs="宋体"/>
          <w:b/>
          <w:bCs/>
          <w:sz w:val="21"/>
          <w:szCs w:val="21"/>
          <w:lang w:eastAsia="zh-CN"/>
        </w:rPr>
        <w:t>）</w:t>
      </w:r>
    </w:p>
    <w:p w14:paraId="76F03544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sz w:val="21"/>
          <w:szCs w:val="21"/>
        </w:rPr>
      </w:pPr>
      <w:bookmarkStart w:id="21" w:name="_Toc28624_WPSOffice_Level1"/>
      <w:bookmarkStart w:id="22" w:name="_Toc230599999"/>
      <w:bookmarkStart w:id="23" w:name="_Toc18281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考点7  审判制度概述</w:t>
      </w:r>
      <w:bookmarkEnd w:id="21"/>
      <w:bookmarkEnd w:id="22"/>
      <w:bookmarkEnd w:id="23"/>
      <w:r>
        <w:rPr>
          <w:rFonts w:hint="eastAsia" w:cs="宋体"/>
          <w:b/>
          <w:bCs/>
          <w:color w:val="auto"/>
          <w:sz w:val="24"/>
          <w:szCs w:val="24"/>
          <w:lang w:val="en-US" w:eastAsia="zh-CN"/>
        </w:rPr>
        <w:t>（21：14—21:44）</w:t>
      </w:r>
    </w:p>
    <w:p w14:paraId="2B014B1C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一、审判制度的基本原则：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司法公正原则</w:t>
      </w:r>
      <w:r>
        <w:rPr>
          <w:rFonts w:hint="eastAsia" w:cs="宋体"/>
          <w:b/>
          <w:bCs/>
          <w:sz w:val="21"/>
          <w:szCs w:val="21"/>
          <w:lang w:eastAsia="zh-CN"/>
        </w:rPr>
        <w:t>、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审判独立原则</w:t>
      </w:r>
      <w:r>
        <w:rPr>
          <w:rFonts w:hint="eastAsia" w:cs="宋体"/>
          <w:sz w:val="21"/>
          <w:szCs w:val="21"/>
          <w:lang w:eastAsia="zh-CN"/>
        </w:rPr>
        <w:t>、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不告不理原则</w:t>
      </w:r>
      <w:r>
        <w:rPr>
          <w:rFonts w:hint="eastAsia" w:cs="宋体"/>
          <w:b/>
          <w:bCs/>
          <w:sz w:val="21"/>
          <w:szCs w:val="21"/>
          <w:lang w:eastAsia="zh-CN"/>
        </w:rPr>
        <w:t>、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直接言词原则</w:t>
      </w:r>
      <w:r>
        <w:rPr>
          <w:rFonts w:hint="eastAsia" w:cs="宋体"/>
          <w:sz w:val="21"/>
          <w:szCs w:val="21"/>
          <w:lang w:eastAsia="zh-CN"/>
        </w:rPr>
        <w:t>、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及时审判原则</w:t>
      </w:r>
    </w:p>
    <w:p w14:paraId="6BAB38A7">
      <w:pPr>
        <w:tabs>
          <w:tab w:val="left" w:pos="420"/>
        </w:tabs>
        <w:spacing w:line="384" w:lineRule="exact"/>
        <w:rPr>
          <w:rFonts w:hint="eastAsia" w:cs="宋体"/>
          <w:b/>
          <w:bCs/>
          <w:sz w:val="21"/>
          <w:szCs w:val="21"/>
          <w:lang w:val="en-US" w:eastAsia="zh-CN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二、主要审判制度：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两审终审制</w:t>
      </w:r>
      <w:r>
        <w:rPr>
          <w:rFonts w:hint="eastAsia" w:ascii="宋体" w:hAnsi="宋体" w:eastAsia="宋体" w:cs="宋体"/>
          <w:sz w:val="21"/>
          <w:szCs w:val="21"/>
        </w:rPr>
        <w:t>、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审判公开制度</w:t>
      </w:r>
      <w:r>
        <w:rPr>
          <w:rFonts w:hint="eastAsia" w:ascii="宋体" w:hAnsi="宋体" w:eastAsia="宋体" w:cs="宋体"/>
          <w:sz w:val="21"/>
          <w:szCs w:val="21"/>
        </w:rPr>
        <w:t>、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人民陪审员制度</w:t>
      </w:r>
      <w:r>
        <w:rPr>
          <w:rFonts w:hint="eastAsia" w:ascii="宋体" w:hAnsi="宋体" w:eastAsia="宋体" w:cs="宋体"/>
          <w:sz w:val="21"/>
          <w:szCs w:val="21"/>
        </w:rPr>
        <w:t>、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审判监督制度</w:t>
      </w:r>
      <w:r>
        <w:rPr>
          <w:rFonts w:hint="eastAsia" w:ascii="宋体" w:hAnsi="宋体" w:eastAsia="宋体" w:cs="宋体"/>
          <w:sz w:val="21"/>
          <w:szCs w:val="21"/>
        </w:rPr>
        <w:t>等。</w:t>
      </w:r>
    </w:p>
    <w:p w14:paraId="74D3BD10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sz w:val="21"/>
          <w:szCs w:val="21"/>
        </w:rPr>
      </w:pPr>
      <w:bookmarkStart w:id="24" w:name="_Toc230600000"/>
      <w:bookmarkStart w:id="25" w:name="_Toc10209"/>
      <w:bookmarkStart w:id="26" w:name="_Toc31308_WPSOffice_Level1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考点8  审判机关</w:t>
      </w:r>
      <w:bookmarkEnd w:id="24"/>
      <w:bookmarkEnd w:id="25"/>
      <w:bookmarkEnd w:id="26"/>
      <w:r>
        <w:rPr>
          <w:rFonts w:hint="eastAsia" w:cs="宋体"/>
          <w:b/>
          <w:bCs/>
          <w:color w:val="auto"/>
          <w:sz w:val="24"/>
          <w:szCs w:val="24"/>
          <w:lang w:val="en-US" w:eastAsia="zh-CN"/>
        </w:rPr>
        <w:t>（21:44—22:00）</w:t>
      </w:r>
    </w:p>
    <w:p w14:paraId="7A090665">
      <w:pPr>
        <w:tabs>
          <w:tab w:val="left" w:pos="420"/>
        </w:tabs>
        <w:spacing w:line="384" w:lineRule="exact"/>
        <w:rPr>
          <w:rFonts w:hint="eastAsia" w:cs="宋体"/>
          <w:b/>
          <w:bCs/>
          <w:sz w:val="21"/>
          <w:szCs w:val="21"/>
          <w:lang w:val="en-US" w:eastAsia="zh-CN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一、法院的设置和职权</w:t>
      </w:r>
    </w:p>
    <w:p w14:paraId="7A960965">
      <w:pPr>
        <w:tabs>
          <w:tab w:val="left" w:pos="420"/>
        </w:tabs>
        <w:spacing w:line="384" w:lineRule="exact"/>
        <w:ind w:firstLine="422" w:firstLineChars="200"/>
        <w:rPr>
          <w:rFonts w:hint="eastAsia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  <w:t>一</w:t>
      </w:r>
      <w:r>
        <w:rPr>
          <w:rFonts w:hint="eastAsia" w:ascii="宋体" w:hAnsi="宋体" w:eastAsia="宋体" w:cs="宋体"/>
          <w:b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巡回法庭</w:t>
      </w:r>
      <w:r>
        <w:rPr>
          <w:rFonts w:hint="eastAsia" w:ascii="宋体" w:hAnsi="宋体" w:eastAsia="宋体" w:cs="宋体"/>
          <w:sz w:val="21"/>
          <w:szCs w:val="21"/>
        </w:rPr>
        <w:t>作出的判决和裁定即最高人民法院的判决和裁定</w:t>
      </w:r>
      <w:r>
        <w:rPr>
          <w:rFonts w:hint="eastAsia" w:cs="宋体"/>
          <w:sz w:val="21"/>
          <w:szCs w:val="21"/>
          <w:lang w:eastAsia="zh-CN"/>
        </w:rPr>
        <w:t>。</w:t>
      </w:r>
    </w:p>
    <w:p w14:paraId="784E3977">
      <w:pPr>
        <w:tabs>
          <w:tab w:val="left" w:pos="420"/>
        </w:tabs>
        <w:spacing w:line="384" w:lineRule="exact"/>
        <w:ind w:firstLine="422" w:firstLineChars="200"/>
        <w:rPr>
          <w:rFonts w:hint="eastAsia" w:cs="宋体"/>
          <w:sz w:val="21"/>
          <w:szCs w:val="21"/>
          <w:lang w:eastAsia="zh-CN"/>
        </w:rPr>
      </w:pPr>
      <w:r>
        <w:rPr>
          <w:rFonts w:hint="eastAsia" w:cs="宋体"/>
          <w:b/>
          <w:bCs/>
          <w:sz w:val="21"/>
          <w:szCs w:val="21"/>
          <w:lang w:eastAsia="zh-CN"/>
        </w:rPr>
        <w:t>（</w:t>
      </w:r>
      <w:r>
        <w:rPr>
          <w:rFonts w:hint="eastAsia" w:cs="宋体"/>
          <w:b/>
          <w:bCs/>
          <w:sz w:val="21"/>
          <w:szCs w:val="21"/>
          <w:lang w:val="en-US" w:eastAsia="zh-CN"/>
        </w:rPr>
        <w:t>二</w:t>
      </w:r>
      <w:r>
        <w:rPr>
          <w:rFonts w:hint="eastAsia" w:cs="宋体"/>
          <w:b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人民法庭</w:t>
      </w:r>
      <w:r>
        <w:rPr>
          <w:rFonts w:hint="eastAsia" w:ascii="宋体" w:hAnsi="宋体" w:eastAsia="宋体" w:cs="宋体"/>
          <w:sz w:val="21"/>
          <w:szCs w:val="21"/>
        </w:rPr>
        <w:t>的判决和裁定即基层人民法院的判决和裁定</w:t>
      </w:r>
    </w:p>
    <w:p w14:paraId="7DB86731">
      <w:pPr>
        <w:tabs>
          <w:tab w:val="left" w:pos="420"/>
        </w:tabs>
        <w:spacing w:line="384" w:lineRule="exact"/>
        <w:ind w:firstLine="422" w:firstLineChars="200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  <w:t>三</w:t>
      </w:r>
      <w:r>
        <w:rPr>
          <w:rFonts w:hint="eastAsia" w:ascii="宋体" w:hAnsi="宋体" w:eastAsia="宋体" w:cs="宋体"/>
          <w:b/>
          <w:bCs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基层人民法院</w:t>
      </w:r>
      <w:r>
        <w:rPr>
          <w:rFonts w:hint="eastAsia" w:ascii="宋体" w:hAnsi="宋体" w:eastAsia="宋体" w:cs="宋体"/>
          <w:sz w:val="21"/>
          <w:szCs w:val="21"/>
        </w:rPr>
        <w:t>应当对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人民调解委员会</w:t>
      </w:r>
      <w:r>
        <w:rPr>
          <w:rFonts w:hint="eastAsia" w:ascii="宋体" w:hAnsi="宋体" w:eastAsia="宋体" w:cs="宋体"/>
          <w:sz w:val="21"/>
          <w:szCs w:val="21"/>
        </w:rPr>
        <w:t>的调解工作进行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业务指导</w:t>
      </w:r>
    </w:p>
    <w:p w14:paraId="10261B59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二、法院的审判组织</w:t>
      </w:r>
    </w:p>
    <w:p w14:paraId="33128FEB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（一）独任庭</w:t>
      </w:r>
    </w:p>
    <w:p w14:paraId="6A2807F4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1．独任法官对案件的事实认定和法律适用负责；</w:t>
      </w:r>
    </w:p>
    <w:p w14:paraId="51A92ACB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2．裁判文书经独任法官签署，由法院发布。</w:t>
      </w:r>
    </w:p>
    <w:p w14:paraId="2BCFAD06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color w:val="FF000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（二）合议庭</w:t>
      </w:r>
    </w:p>
    <w:p w14:paraId="44EF8B04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bCs/>
          <w:color w:val="auto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合议庭审理案件，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法官</w:t>
      </w:r>
      <w:r>
        <w:rPr>
          <w:rFonts w:hint="eastAsia" w:ascii="宋体" w:hAnsi="宋体" w:eastAsia="宋体" w:cs="宋体"/>
          <w:sz w:val="21"/>
          <w:szCs w:val="21"/>
        </w:rPr>
        <w:t>对案件的事实认定和法律适用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负责</w:t>
      </w:r>
      <w:r>
        <w:rPr>
          <w:rFonts w:hint="eastAsia" w:ascii="宋体" w:hAnsi="宋体" w:eastAsia="宋体" w:cs="宋体"/>
          <w:sz w:val="21"/>
          <w:szCs w:val="21"/>
        </w:rPr>
        <w:t>，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陪审员不负责任</w:t>
      </w:r>
      <w:r>
        <w:rPr>
          <w:rFonts w:hint="eastAsia" w:ascii="宋体" w:hAnsi="宋体" w:eastAsia="宋体" w:cs="宋体"/>
          <w:sz w:val="21"/>
          <w:szCs w:val="21"/>
        </w:rPr>
        <w:t>。</w:t>
      </w:r>
    </w:p>
    <w:p w14:paraId="7A41CCDD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（三）审判委员会</w:t>
      </w:r>
    </w:p>
    <w:p w14:paraId="2B544733">
      <w:pPr>
        <w:tabs>
          <w:tab w:val="left" w:pos="420"/>
        </w:tabs>
        <w:spacing w:line="384" w:lineRule="exact"/>
        <w:ind w:right="420" w:rightChars="200"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1．审判委员会会议分为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全体会议</w:t>
      </w:r>
      <w:r>
        <w:rPr>
          <w:rFonts w:hint="eastAsia" w:ascii="宋体" w:hAnsi="宋体" w:eastAsia="宋体" w:cs="宋体"/>
          <w:sz w:val="21"/>
          <w:szCs w:val="21"/>
        </w:rPr>
        <w:t>和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专业委员会会议</w:t>
      </w:r>
      <w:r>
        <w:rPr>
          <w:rFonts w:hint="eastAsia" w:ascii="宋体" w:hAnsi="宋体" w:eastAsia="宋体" w:cs="宋体"/>
          <w:sz w:val="21"/>
          <w:szCs w:val="21"/>
        </w:rPr>
        <w:t>。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中级以上法院</w:t>
      </w:r>
      <w:r>
        <w:rPr>
          <w:rFonts w:hint="eastAsia" w:ascii="宋体" w:hAnsi="宋体" w:eastAsia="宋体" w:cs="宋体"/>
          <w:sz w:val="21"/>
          <w:szCs w:val="21"/>
        </w:rPr>
        <w:t>根据审判工作需要，可以召开专业委员会会议。</w:t>
      </w:r>
    </w:p>
    <w:p w14:paraId="155DC468">
      <w:pPr>
        <w:tabs>
          <w:tab w:val="left" w:pos="420"/>
        </w:tabs>
        <w:spacing w:line="384" w:lineRule="exact"/>
        <w:ind w:right="420" w:rightChars="200"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2．最高人民法院发布司法解释，应当由审判委员会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全体会议</w:t>
      </w:r>
      <w:r>
        <w:rPr>
          <w:rFonts w:hint="eastAsia" w:ascii="宋体" w:hAnsi="宋体" w:eastAsia="宋体" w:cs="宋体"/>
          <w:sz w:val="21"/>
          <w:szCs w:val="21"/>
        </w:rPr>
        <w:t>讨论通过；发布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指导性案例</w:t>
      </w:r>
      <w:r>
        <w:rPr>
          <w:rFonts w:hint="eastAsia" w:ascii="宋体" w:hAnsi="宋体" w:eastAsia="宋体" w:cs="宋体"/>
          <w:sz w:val="21"/>
          <w:szCs w:val="21"/>
        </w:rPr>
        <w:t>，可以由审判委员会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专业委员会会议</w:t>
      </w:r>
      <w:r>
        <w:rPr>
          <w:rFonts w:hint="eastAsia" w:ascii="宋体" w:hAnsi="宋体" w:eastAsia="宋体" w:cs="宋体"/>
          <w:sz w:val="21"/>
          <w:szCs w:val="21"/>
        </w:rPr>
        <w:t>讨论通过。</w:t>
      </w:r>
    </w:p>
    <w:p w14:paraId="49448161">
      <w:pPr>
        <w:tabs>
          <w:tab w:val="left" w:pos="420"/>
        </w:tabs>
        <w:spacing w:line="384" w:lineRule="exact"/>
        <w:ind w:left="420" w:leftChars="200" w:right="420" w:right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3．审判委员会召开全体会议和专业委员会会议，应当由其组成人员的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过半数</w:t>
      </w:r>
      <w:r>
        <w:rPr>
          <w:rFonts w:hint="eastAsia" w:ascii="宋体" w:hAnsi="宋体" w:eastAsia="宋体" w:cs="宋体"/>
          <w:sz w:val="21"/>
          <w:szCs w:val="21"/>
        </w:rPr>
        <w:t>出席。</w:t>
      </w:r>
    </w:p>
    <w:p w14:paraId="64243789">
      <w:pPr>
        <w:tabs>
          <w:tab w:val="left" w:pos="420"/>
        </w:tabs>
        <w:spacing w:line="384" w:lineRule="exact"/>
        <w:ind w:left="420" w:leftChars="200" w:right="420" w:right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4．只有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法院院长</w:t>
      </w:r>
      <w:r>
        <w:rPr>
          <w:rFonts w:hint="eastAsia" w:ascii="宋体" w:hAnsi="宋体" w:eastAsia="宋体" w:cs="宋体"/>
          <w:sz w:val="21"/>
          <w:szCs w:val="21"/>
        </w:rPr>
        <w:t>有权决定案件是否提交审委会，经院长委托的副院长无此权利。</w:t>
      </w:r>
    </w:p>
    <w:p w14:paraId="5C735FAE">
      <w:pPr>
        <w:tabs>
          <w:tab w:val="left" w:pos="420"/>
        </w:tabs>
        <w:spacing w:line="384" w:lineRule="exact"/>
        <w:ind w:right="420" w:rightChars="200"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5．审判委员会会议由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院长</w:t>
      </w:r>
      <w:r>
        <w:rPr>
          <w:rFonts w:hint="eastAsia" w:ascii="宋体" w:hAnsi="宋体" w:eastAsia="宋体" w:cs="宋体"/>
          <w:sz w:val="21"/>
          <w:szCs w:val="21"/>
        </w:rPr>
        <w:t>或者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院长委托的副院长</w:t>
      </w:r>
      <w:r>
        <w:rPr>
          <w:rFonts w:hint="eastAsia" w:ascii="宋体" w:hAnsi="宋体" w:eastAsia="宋体" w:cs="宋体"/>
          <w:sz w:val="21"/>
          <w:szCs w:val="21"/>
        </w:rPr>
        <w:t>主持，同级人民检察院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检察长</w:t>
      </w:r>
      <w:bookmarkStart w:id="27" w:name="_Hlk536402526"/>
      <w:r>
        <w:rPr>
          <w:rFonts w:hint="eastAsia" w:ascii="宋体" w:hAnsi="宋体" w:eastAsia="宋体" w:cs="宋体"/>
          <w:sz w:val="21"/>
          <w:szCs w:val="21"/>
        </w:rPr>
        <w:t>或者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检察长委托的副检察长</w:t>
      </w:r>
      <w:bookmarkEnd w:id="27"/>
      <w:r>
        <w:rPr>
          <w:rFonts w:hint="eastAsia" w:ascii="宋体" w:hAnsi="宋体" w:eastAsia="宋体" w:cs="宋体"/>
          <w:sz w:val="21"/>
          <w:szCs w:val="21"/>
        </w:rPr>
        <w:t>可以列席。</w:t>
      </w:r>
    </w:p>
    <w:p w14:paraId="7094C2F5">
      <w:pPr>
        <w:tabs>
          <w:tab w:val="left" w:pos="420"/>
        </w:tabs>
        <w:spacing w:line="384" w:lineRule="exact"/>
        <w:ind w:right="420" w:rightChars="200"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6．审判委员会讨论案件，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合议庭</w:t>
      </w:r>
      <w:r>
        <w:rPr>
          <w:rFonts w:hint="eastAsia" w:ascii="宋体" w:hAnsi="宋体" w:eastAsia="宋体" w:cs="宋体"/>
          <w:sz w:val="21"/>
          <w:szCs w:val="21"/>
        </w:rPr>
        <w:t>对其汇报的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事实负责</w:t>
      </w:r>
      <w:r>
        <w:rPr>
          <w:rFonts w:hint="eastAsia" w:ascii="宋体" w:hAnsi="宋体" w:eastAsia="宋体" w:cs="宋体"/>
          <w:sz w:val="21"/>
          <w:szCs w:val="21"/>
        </w:rPr>
        <w:t>，审判委员会委员对本人发表的意见和表决负责。审判委员会的决定，合议庭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应当执行</w:t>
      </w:r>
      <w:r>
        <w:rPr>
          <w:rFonts w:hint="eastAsia" w:ascii="宋体" w:hAnsi="宋体" w:eastAsia="宋体" w:cs="宋体"/>
          <w:sz w:val="21"/>
          <w:szCs w:val="21"/>
        </w:rPr>
        <w:t>。</w:t>
      </w:r>
    </w:p>
    <w:p w14:paraId="11B499D1">
      <w:pPr>
        <w:keepNext w:val="0"/>
        <w:keepLines w:val="0"/>
        <w:pageBreakBefore w:val="0"/>
        <w:widowControl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center"/>
        <w:textAlignment w:val="auto"/>
        <w:rPr>
          <w:rFonts w:hint="eastAsia" w:ascii="宋体" w:hAnsi="宋体" w:eastAsia="宋体" w:cs="宋体"/>
          <w:sz w:val="21"/>
          <w:szCs w:val="21"/>
        </w:rPr>
      </w:pPr>
      <w:bookmarkStart w:id="28" w:name="_Toc10364_WPSOffice_Level1"/>
      <w:bookmarkStart w:id="29" w:name="_Toc230600001"/>
      <w:bookmarkStart w:id="30" w:name="_Toc2631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考点9  法官</w:t>
      </w:r>
      <w:bookmarkEnd w:id="28"/>
      <w:bookmarkEnd w:id="29"/>
      <w:bookmarkEnd w:id="30"/>
      <w:r>
        <w:rPr>
          <w:rFonts w:hint="eastAsia" w:cs="宋体"/>
          <w:b/>
          <w:bCs/>
          <w:color w:val="auto"/>
          <w:sz w:val="24"/>
          <w:szCs w:val="24"/>
          <w:lang w:val="en-US" w:eastAsia="zh-CN"/>
        </w:rPr>
        <w:t>（22:01—22:45）</w:t>
      </w:r>
    </w:p>
    <w:p w14:paraId="65D8703E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一、担任法官的条件</w:t>
      </w:r>
    </w:p>
    <w:p w14:paraId="3B56EC57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（一）禁止条件</w:t>
      </w:r>
    </w:p>
    <w:p w14:paraId="22314FE8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（1）因犯罪受过刑事处罚的</w:t>
      </w:r>
      <w:r>
        <w:rPr>
          <w:rFonts w:hint="eastAsia" w:cs="宋体"/>
          <w:sz w:val="21"/>
          <w:szCs w:val="21"/>
          <w:lang w:eastAsia="zh-CN"/>
        </w:rPr>
        <w:t>（包括故意犯罪、过失犯罪；有罪有罚不能担任，有罪不罚可以担任）</w:t>
      </w:r>
      <w:r>
        <w:rPr>
          <w:rFonts w:hint="eastAsia" w:ascii="宋体" w:hAnsi="宋体" w:eastAsia="宋体" w:cs="宋体"/>
          <w:sz w:val="21"/>
          <w:szCs w:val="21"/>
        </w:rPr>
        <w:t>；（2）被开除公职的；（3）被吊销律师、公证员执业证书或者被仲裁委员会除名的；（4）有法律规定的其他情形的。</w:t>
      </w:r>
    </w:p>
    <w:p w14:paraId="6AB0736D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（二）限制条件</w:t>
      </w:r>
      <w:r>
        <w:rPr>
          <w:rFonts w:hint="eastAsia" w:cs="宋体"/>
          <w:bCs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pacing w:val="3"/>
          <w:sz w:val="21"/>
          <w:szCs w:val="21"/>
        </w:rPr>
        <w:t>法官不得兼任人民代表大会常务委员会的组成人员，不得兼任行政机关、监察机关、检察机关的职务，不得兼任企业或者其他营利性组织、事业单位的职务，不得兼任律师、仲裁员和公证员。</w:t>
      </w:r>
    </w:p>
    <w:p w14:paraId="2319D638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二、法官的任免</w:t>
      </w:r>
    </w:p>
    <w:p w14:paraId="313BEDF3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（一）法官的选任</w:t>
      </w:r>
    </w:p>
    <w:p w14:paraId="0EC441F7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sz w:val="21"/>
          <w:szCs w:val="21"/>
          <w:lang w:val="en-US" w:eastAsia="zh-CN"/>
        </w:rPr>
        <w:t>1.</w:t>
      </w:r>
      <w:r>
        <w:rPr>
          <w:rFonts w:hint="eastAsia" w:ascii="宋体" w:hAnsi="宋体" w:eastAsia="宋体" w:cs="宋体"/>
          <w:sz w:val="21"/>
          <w:szCs w:val="21"/>
        </w:rPr>
        <w:t>初任法官应当由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法官遴选委员会</w:t>
      </w:r>
      <w:r>
        <w:rPr>
          <w:rFonts w:hint="eastAsia" w:ascii="宋体" w:hAnsi="宋体" w:eastAsia="宋体" w:cs="宋体"/>
          <w:sz w:val="21"/>
          <w:szCs w:val="21"/>
        </w:rPr>
        <w:t>进行专业能力审核。初任法官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一般</w:t>
      </w:r>
      <w:r>
        <w:rPr>
          <w:rFonts w:hint="eastAsia" w:ascii="宋体" w:hAnsi="宋体" w:eastAsia="宋体" w:cs="宋体"/>
          <w:sz w:val="21"/>
          <w:szCs w:val="21"/>
        </w:rPr>
        <w:t>到基层法院任职。上级法院法官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一般</w:t>
      </w:r>
      <w:r>
        <w:rPr>
          <w:rFonts w:hint="eastAsia" w:ascii="宋体" w:hAnsi="宋体" w:eastAsia="宋体" w:cs="宋体"/>
          <w:sz w:val="21"/>
          <w:szCs w:val="21"/>
        </w:rPr>
        <w:t>逐级遴选；最高人民法院和高级人民法院法官可以从下两级法院遴选。法院的院长应当具有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法学专业知识和法律职业经历</w:t>
      </w:r>
      <w:r>
        <w:rPr>
          <w:rFonts w:hint="eastAsia" w:ascii="宋体" w:hAnsi="宋体" w:eastAsia="宋体" w:cs="宋体"/>
          <w:sz w:val="21"/>
          <w:szCs w:val="21"/>
        </w:rPr>
        <w:t>。副院长、审判委员会委员应当从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法官、检察官或者其他具备法官条件的人员</w:t>
      </w:r>
      <w:r>
        <w:rPr>
          <w:rFonts w:hint="eastAsia" w:ascii="宋体" w:hAnsi="宋体" w:eastAsia="宋体" w:cs="宋体"/>
          <w:sz w:val="21"/>
          <w:szCs w:val="21"/>
        </w:rPr>
        <w:t>中产生。法官助理在法官指导下负责审查案件材料、草拟法律文书等审判辅助事务。符合法官任职条件的法官助理，经遴选后可以按照法官任免程序任命为法官。书记员负责法庭审理记录等审判辅助事务。</w:t>
      </w:r>
    </w:p>
    <w:p w14:paraId="766C0C41">
      <w:pPr>
        <w:tabs>
          <w:tab w:val="left" w:pos="420"/>
        </w:tabs>
        <w:spacing w:line="384" w:lineRule="exact"/>
        <w:ind w:firstLine="420" w:firstLineChars="200"/>
        <w:rPr>
          <w:rFonts w:hint="eastAsia" w:cs="宋体"/>
          <w:sz w:val="21"/>
          <w:szCs w:val="21"/>
          <w:lang w:val="en-US" w:eastAsia="zh-CN"/>
        </w:rPr>
      </w:pPr>
      <w:r>
        <w:rPr>
          <w:rFonts w:hint="eastAsia" w:cs="宋体"/>
          <w:sz w:val="21"/>
          <w:szCs w:val="21"/>
          <w:lang w:val="en-US" w:eastAsia="zh-CN"/>
        </w:rPr>
        <w:t>2.任免程序</w:t>
      </w:r>
    </w:p>
    <w:p w14:paraId="623638F8">
      <w:pPr>
        <w:tabs>
          <w:tab w:val="left" w:pos="420"/>
        </w:tabs>
        <w:spacing w:line="384" w:lineRule="exact"/>
        <w:ind w:firstLine="420" w:firstLineChars="200"/>
        <w:rPr>
          <w:rFonts w:hint="default" w:cs="宋体"/>
          <w:sz w:val="21"/>
          <w:szCs w:val="21"/>
          <w:lang w:val="en-US" w:eastAsia="zh-CN"/>
        </w:rPr>
      </w:pPr>
      <w:r>
        <w:rPr>
          <w:rFonts w:hint="eastAsia" w:cs="宋体"/>
          <w:sz w:val="21"/>
          <w:szCs w:val="21"/>
          <w:lang w:val="en-US" w:eastAsia="zh-CN"/>
        </w:rPr>
        <w:t>（1）最高法院、地方各级法院：院长人大定，其他人常定</w:t>
      </w:r>
    </w:p>
    <w:p w14:paraId="0984637A">
      <w:pPr>
        <w:tabs>
          <w:tab w:val="left" w:pos="420"/>
        </w:tabs>
        <w:spacing w:line="384" w:lineRule="exact"/>
        <w:ind w:firstLine="420" w:firstLineChars="200"/>
        <w:rPr>
          <w:rFonts w:hint="default" w:cs="宋体"/>
          <w:sz w:val="21"/>
          <w:szCs w:val="21"/>
          <w:lang w:val="en-US" w:eastAsia="zh-CN"/>
        </w:rPr>
      </w:pPr>
      <w:r>
        <w:rPr>
          <w:rFonts w:hint="eastAsia" w:cs="宋体"/>
          <w:sz w:val="21"/>
          <w:szCs w:val="21"/>
          <w:lang w:val="en-US" w:eastAsia="zh-CN"/>
        </w:rPr>
        <w:t>（2）省、自治区内按地区设立的和在直辖市内设立的中级法院：就高不就低</w:t>
      </w:r>
    </w:p>
    <w:p w14:paraId="3B059353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（二）法官免职的情形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cs="宋体"/>
          <w:b w:val="0"/>
          <w:bCs/>
          <w:color w:val="auto"/>
          <w:sz w:val="21"/>
          <w:szCs w:val="21"/>
          <w:lang w:eastAsia="zh-CN"/>
        </w:rPr>
        <w:t>（</w:t>
      </w:r>
      <w:r>
        <w:rPr>
          <w:rFonts w:hint="eastAsia" w:cs="宋体"/>
          <w:b w:val="0"/>
          <w:bCs/>
          <w:color w:val="auto"/>
          <w:sz w:val="21"/>
          <w:szCs w:val="21"/>
          <w:lang w:val="en-US" w:eastAsia="zh-CN"/>
        </w:rPr>
        <w:t>1</w:t>
      </w:r>
      <w:r>
        <w:rPr>
          <w:rFonts w:hint="eastAsia" w:cs="宋体"/>
          <w:b w:val="0"/>
          <w:bCs/>
          <w:color w:val="auto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丧失中华人民共和国国籍的；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2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调出所任职人民法院的；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3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职务变动不需要保留法官职务的，或者本人申请免除法官职务经批准的；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4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经考核不能胜任法官职务的；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5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因健康原因长期不能履行职务的；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6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退休的；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7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辞职或者依法应当予以辞退的；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8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因违纪违法不宜继续任职的。</w:t>
      </w:r>
    </w:p>
    <w:p w14:paraId="5FF1AF31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（三）法官任职回避</w:t>
      </w:r>
    </w:p>
    <w:p w14:paraId="55DAD50C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1．法官之间有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夫妻关系</w:t>
      </w:r>
      <w:r>
        <w:rPr>
          <w:rFonts w:hint="eastAsia" w:ascii="宋体" w:hAnsi="宋体" w:eastAsia="宋体" w:cs="宋体"/>
          <w:sz w:val="21"/>
          <w:szCs w:val="21"/>
        </w:rPr>
        <w:t>、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直系血亲关系</w:t>
      </w:r>
      <w:r>
        <w:rPr>
          <w:rFonts w:hint="eastAsia" w:ascii="宋体" w:hAnsi="宋体" w:eastAsia="宋体" w:cs="宋体"/>
          <w:sz w:val="21"/>
          <w:szCs w:val="21"/>
        </w:rPr>
        <w:t>、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三代以内旁系血亲</w:t>
      </w:r>
      <w:r>
        <w:rPr>
          <w:rFonts w:hint="eastAsia" w:ascii="宋体" w:hAnsi="宋体" w:eastAsia="宋体" w:cs="宋体"/>
          <w:sz w:val="21"/>
          <w:szCs w:val="21"/>
        </w:rPr>
        <w:t>以及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近姻亲</w:t>
      </w:r>
      <w:r>
        <w:rPr>
          <w:rFonts w:hint="eastAsia" w:ascii="宋体" w:hAnsi="宋体" w:eastAsia="宋体" w:cs="宋体"/>
          <w:sz w:val="21"/>
          <w:szCs w:val="21"/>
        </w:rPr>
        <w:t>关系的，不得同时担任下列职务：</w:t>
      </w:r>
    </w:p>
    <w:p w14:paraId="472C1CED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（1）同一法院的院长、副院长、审判委员会委员、庭长、副庭长；</w:t>
      </w:r>
    </w:p>
    <w:p w14:paraId="025E9BB3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（2）同一法院的院长、副院长</w:t>
      </w:r>
      <w:r>
        <w:rPr>
          <w:rFonts w:hint="eastAsia" w:cs="宋体"/>
          <w:color w:val="FF0000"/>
          <w:sz w:val="21"/>
          <w:szCs w:val="21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sz w:val="21"/>
          <w:szCs w:val="21"/>
        </w:rPr>
        <w:t>审判员；</w:t>
      </w:r>
    </w:p>
    <w:p w14:paraId="0287CF37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（3）同一审判庭的庭长、副庭长和审判员；</w:t>
      </w:r>
    </w:p>
    <w:p w14:paraId="2F251267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（4）上下相邻两级法院的院长、副院长。</w:t>
      </w:r>
    </w:p>
    <w:p w14:paraId="3C3FC458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2．法官的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配偶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、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父母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、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子女</w:t>
      </w:r>
      <w:r>
        <w:rPr>
          <w:rFonts w:hint="eastAsia" w:ascii="宋体" w:hAnsi="宋体" w:eastAsia="宋体" w:cs="宋体"/>
          <w:sz w:val="21"/>
          <w:szCs w:val="21"/>
        </w:rPr>
        <w:t>有下列情形之一的，法官应当实行任职回避：</w:t>
      </w:r>
    </w:p>
    <w:p w14:paraId="755C2860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（1）担任该法官所任职法院辖区内律师事务所的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合伙人或者设立人</w:t>
      </w:r>
      <w:r>
        <w:rPr>
          <w:rFonts w:hint="eastAsia" w:ascii="宋体" w:hAnsi="宋体" w:eastAsia="宋体" w:cs="宋体"/>
          <w:sz w:val="21"/>
          <w:szCs w:val="21"/>
        </w:rPr>
        <w:t>的；</w:t>
      </w:r>
    </w:p>
    <w:p w14:paraId="0AA99AAD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（2）在该法官所任职法院辖区内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以律师身份</w:t>
      </w:r>
      <w:r>
        <w:rPr>
          <w:rFonts w:hint="eastAsia" w:ascii="宋体" w:hAnsi="宋体" w:eastAsia="宋体" w:cs="宋体"/>
          <w:sz w:val="21"/>
          <w:szCs w:val="21"/>
        </w:rPr>
        <w:t>担任诉讼代理人、辩护人，或者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为诉讼案件当事人提供其他有偿法律服务</w:t>
      </w:r>
      <w:r>
        <w:rPr>
          <w:rFonts w:hint="eastAsia" w:ascii="宋体" w:hAnsi="宋体" w:eastAsia="宋体" w:cs="宋体"/>
          <w:sz w:val="21"/>
          <w:szCs w:val="21"/>
        </w:rPr>
        <w:t>的。</w:t>
      </w:r>
    </w:p>
    <w:p w14:paraId="279F8EBB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（四）法官从业限制（也适用于检察官）</w:t>
      </w:r>
    </w:p>
    <w:p w14:paraId="2F335208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1．法官从法院离任后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两年内</w:t>
      </w:r>
      <w:r>
        <w:rPr>
          <w:rFonts w:hint="eastAsia" w:ascii="宋体" w:hAnsi="宋体" w:eastAsia="宋体" w:cs="宋体"/>
          <w:sz w:val="21"/>
          <w:szCs w:val="21"/>
        </w:rPr>
        <w:t>，不得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以律师身份</w:t>
      </w:r>
      <w:r>
        <w:rPr>
          <w:rFonts w:hint="eastAsia" w:ascii="宋体" w:hAnsi="宋体" w:eastAsia="宋体" w:cs="宋体"/>
          <w:sz w:val="21"/>
          <w:szCs w:val="21"/>
        </w:rPr>
        <w:t>担任诉讼代理人或者辩护人。</w:t>
      </w:r>
    </w:p>
    <w:p w14:paraId="5EDEDC4A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2．法官从法院离任后，不得担任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原任职法院</w:t>
      </w:r>
      <w:r>
        <w:rPr>
          <w:rFonts w:hint="eastAsia" w:ascii="宋体" w:hAnsi="宋体" w:eastAsia="宋体" w:cs="宋体"/>
          <w:sz w:val="21"/>
          <w:szCs w:val="21"/>
        </w:rPr>
        <w:t>办理案件的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</w:rPr>
        <w:t>诉讼代理人或者辩护人</w:t>
      </w:r>
      <w:r>
        <w:rPr>
          <w:rFonts w:hint="eastAsia" w:ascii="宋体" w:hAnsi="宋体" w:eastAsia="宋体" w:cs="宋体"/>
          <w:sz w:val="21"/>
          <w:szCs w:val="21"/>
        </w:rPr>
        <w:t>，但是作为当事人的监护人或者近亲属代理诉讼或者进行辩护的除外。</w:t>
      </w:r>
    </w:p>
    <w:p w14:paraId="26B5E57E">
      <w:pPr>
        <w:tabs>
          <w:tab w:val="left" w:pos="420"/>
        </w:tabs>
        <w:spacing w:line="384" w:lineRule="exact"/>
        <w:ind w:firstLine="408" w:firstLineChars="200"/>
        <w:rPr>
          <w:rFonts w:hint="eastAsia" w:ascii="宋体" w:hAnsi="宋体" w:eastAsia="宋体" w:cs="宋体"/>
          <w:spacing w:val="-3"/>
          <w:sz w:val="21"/>
          <w:szCs w:val="21"/>
        </w:rPr>
      </w:pPr>
      <w:r>
        <w:rPr>
          <w:rFonts w:hint="eastAsia" w:ascii="宋体" w:hAnsi="宋体" w:eastAsia="宋体" w:cs="宋体"/>
          <w:spacing w:val="-3"/>
          <w:sz w:val="21"/>
          <w:szCs w:val="21"/>
        </w:rPr>
        <w:t>3．法官被开除后，不得担任诉讼代理人或者辩护人，但是作为当事人的监护人或者近亲属代理诉讼或者进行辩护的除外。被开除公职的法院工作人员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不得在律师事务所从事任何工作</w:t>
      </w:r>
      <w:r>
        <w:rPr>
          <w:rFonts w:hint="eastAsia" w:ascii="宋体" w:hAnsi="宋体" w:eastAsia="宋体" w:cs="宋体"/>
          <w:spacing w:val="-3"/>
          <w:sz w:val="21"/>
          <w:szCs w:val="21"/>
        </w:rPr>
        <w:t>。</w:t>
      </w:r>
    </w:p>
    <w:p w14:paraId="2B31C7C0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4．辞去公职或者退休的法院领导班子成员、四级高级及以上法官、四级高级法官助理以上及相当职级层次的审判辅助人员在离职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三年内</w:t>
      </w:r>
      <w:r>
        <w:rPr>
          <w:rFonts w:hint="eastAsia" w:ascii="宋体" w:hAnsi="宋体" w:eastAsia="宋体" w:cs="宋体"/>
          <w:sz w:val="21"/>
          <w:szCs w:val="21"/>
        </w:rPr>
        <w:t>，其他辞去公职或退休的法院工作人员在离职二年内，不得到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原任职法院管辖地区内</w:t>
      </w:r>
      <w:r>
        <w:rPr>
          <w:rFonts w:hint="eastAsia" w:ascii="宋体" w:hAnsi="宋体" w:eastAsia="宋体" w:cs="宋体"/>
          <w:sz w:val="21"/>
          <w:szCs w:val="21"/>
        </w:rPr>
        <w:t>的律师事务所从事律师职业或者担任“法律顾问”、行政人员等，不得以律师身份从事与原任职法院相关的有偿法律服务活动。</w:t>
      </w:r>
    </w:p>
    <w:p w14:paraId="4686BAF0">
      <w:pPr>
        <w:tabs>
          <w:tab w:val="left" w:pos="420"/>
        </w:tabs>
        <w:spacing w:line="384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5．法院退休人员在不违反从业限制规定的情况下，确因工作需要从事律师职业或者担任律师事务所“法律顾问”、行政人员的，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应当及时将行政、工资等关系转出法院</w:t>
      </w:r>
      <w:r>
        <w:rPr>
          <w:rFonts w:hint="eastAsia" w:ascii="宋体" w:hAnsi="宋体" w:eastAsia="宋体" w:cs="宋体"/>
          <w:sz w:val="21"/>
          <w:szCs w:val="21"/>
        </w:rPr>
        <w:t>，不再保留机关的各种待遇。</w:t>
      </w:r>
    </w:p>
    <w:p w14:paraId="574BBC54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三、法官的考核</w:t>
      </w:r>
    </w:p>
    <w:p w14:paraId="4F813926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（一）考核内容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审判工作实绩（考核重点）；职业道德；专业水平；工作能力；审判作风。</w:t>
      </w:r>
    </w:p>
    <w:p w14:paraId="795A3FFD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（二）考核主体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法院设立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法官考评委员会</w:t>
      </w:r>
      <w:r>
        <w:rPr>
          <w:rFonts w:hint="eastAsia" w:ascii="宋体" w:hAnsi="宋体" w:eastAsia="宋体" w:cs="宋体"/>
          <w:sz w:val="21"/>
          <w:szCs w:val="21"/>
        </w:rPr>
        <w:t>，负责对本院法官的考核工作。法官考评委员会的组成人员为5-9人。法官考评委员会主任由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本院院长</w:t>
      </w:r>
      <w:r>
        <w:rPr>
          <w:rFonts w:hint="eastAsia" w:ascii="宋体" w:hAnsi="宋体" w:eastAsia="宋体" w:cs="宋体"/>
          <w:sz w:val="21"/>
          <w:szCs w:val="21"/>
        </w:rPr>
        <w:t>担任。</w:t>
      </w:r>
    </w:p>
    <w:p w14:paraId="02857304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color w:val="FF0000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（三）考核结果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sz w:val="21"/>
          <w:szCs w:val="21"/>
        </w:rPr>
        <w:t>考核结果作为调整法官等级、工资以及法官奖惩、免职、降职、辞退的依据。考核结果以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书面形式</w:t>
      </w:r>
      <w:r>
        <w:rPr>
          <w:rFonts w:hint="eastAsia" w:ascii="宋体" w:hAnsi="宋体" w:eastAsia="宋体" w:cs="宋体"/>
          <w:sz w:val="21"/>
          <w:szCs w:val="21"/>
        </w:rPr>
        <w:t>通知法官本人。法官对考核结果如果有异议，可以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申请复核</w:t>
      </w:r>
      <w:r>
        <w:rPr>
          <w:rFonts w:hint="eastAsia" w:ascii="宋体" w:hAnsi="宋体" w:eastAsia="宋体" w:cs="宋体"/>
          <w:sz w:val="21"/>
          <w:szCs w:val="21"/>
        </w:rPr>
        <w:t>。</w:t>
      </w:r>
    </w:p>
    <w:p w14:paraId="3612621A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四、法官的奖励和惩戒</w:t>
      </w:r>
    </w:p>
    <w:p w14:paraId="2FFA65FE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（一）法官应受奖励情形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1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公正司法，成绩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显著</w:t>
      </w:r>
      <w:r>
        <w:rPr>
          <w:rFonts w:hint="eastAsia" w:ascii="宋体" w:hAnsi="宋体" w:eastAsia="宋体" w:cs="宋体"/>
          <w:sz w:val="21"/>
          <w:szCs w:val="21"/>
        </w:rPr>
        <w:t>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2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总结审判实践经验成果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突出</w:t>
      </w:r>
      <w:r>
        <w:rPr>
          <w:rFonts w:hint="eastAsia" w:ascii="宋体" w:hAnsi="宋体" w:eastAsia="宋体" w:cs="宋体"/>
          <w:sz w:val="21"/>
          <w:szCs w:val="21"/>
        </w:rPr>
        <w:t>，对审判工作有指导作用的；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3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在办理重大案件、处理突发事件和承担专项重要工作中，做出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显著</w:t>
      </w:r>
      <w:r>
        <w:rPr>
          <w:rFonts w:hint="eastAsia" w:ascii="宋体" w:hAnsi="宋体" w:eastAsia="宋体" w:cs="宋体"/>
          <w:sz w:val="21"/>
          <w:szCs w:val="21"/>
        </w:rPr>
        <w:t>成绩和贡献的；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4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对审判工作提出改革建议被采纳，效果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显著</w:t>
      </w:r>
      <w:r>
        <w:rPr>
          <w:rFonts w:hint="eastAsia" w:ascii="宋体" w:hAnsi="宋体" w:eastAsia="宋体" w:cs="宋体"/>
          <w:sz w:val="21"/>
          <w:szCs w:val="21"/>
        </w:rPr>
        <w:t>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5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提出司法建议被采纳或者开展法治宣传、指导调解组织调解各类纠纷，效果</w:t>
      </w:r>
      <w:r>
        <w:rPr>
          <w:rFonts w:hint="eastAsia" w:ascii="宋体" w:hAnsi="宋体" w:eastAsia="宋体" w:cs="宋体"/>
          <w:b/>
          <w:bCs/>
          <w:color w:val="FF0000"/>
          <w:sz w:val="21"/>
          <w:szCs w:val="21"/>
        </w:rPr>
        <w:t>显著</w:t>
      </w:r>
      <w:r>
        <w:rPr>
          <w:rFonts w:hint="eastAsia" w:ascii="宋体" w:hAnsi="宋体" w:eastAsia="宋体" w:cs="宋体"/>
          <w:sz w:val="21"/>
          <w:szCs w:val="21"/>
        </w:rPr>
        <w:t>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6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有其他功绩的。</w:t>
      </w:r>
    </w:p>
    <w:p w14:paraId="52CF82A0">
      <w:pPr>
        <w:spacing w:line="384" w:lineRule="exact"/>
        <w:ind w:firstLine="253" w:firstLineChars="120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（二）法官应受惩戒情形</w:t>
      </w:r>
      <w:r>
        <w:rPr>
          <w:rFonts w:hint="eastAsia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1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贪污受贿、徇私舞弊、枉法裁判的；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2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隐瞒、伪造、变造、故意损毁证据、案件材料的；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3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泄露国家秘密、审判工作秘密、商业秘密或者个人隐私的；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4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故意违反法律法规办理案件的；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5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因重大过失导致裁判结果错误并造成严重后果的；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6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拖延办案，贻误工作的；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7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利用职权为自己或者他人谋取私利的；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8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接受当事人及其代理人利益输送，或者违反有关规定会见当事人及其代理人的；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9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违反有关规定从事或者参与营利性活动，在企业或者其他营利性组织中兼任职务的；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10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有其他违纪违法行为的。</w:t>
      </w:r>
    </w:p>
    <w:p w14:paraId="0E27AE55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b/>
          <w:bCs/>
          <w:sz w:val="21"/>
          <w:szCs w:val="21"/>
          <w:lang w:val="en-US" w:eastAsia="zh-CN"/>
        </w:rPr>
        <w:t>五、法官的职业保障：</w:t>
      </w:r>
      <w:r>
        <w:rPr>
          <w:rFonts w:hint="eastAsia" w:cs="宋体"/>
          <w:sz w:val="21"/>
          <w:szCs w:val="21"/>
          <w:lang w:eastAsia="zh-CN"/>
        </w:rPr>
        <w:t>（</w:t>
      </w:r>
      <w:r>
        <w:rPr>
          <w:rFonts w:hint="eastAsia" w:cs="宋体"/>
          <w:sz w:val="21"/>
          <w:szCs w:val="21"/>
          <w:lang w:val="en-US" w:eastAsia="zh-CN"/>
        </w:rPr>
        <w:t>1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履行职务保障</w:t>
      </w:r>
      <w:r>
        <w:rPr>
          <w:rFonts w:hint="eastAsia" w:cs="宋体"/>
          <w:sz w:val="21"/>
          <w:szCs w:val="21"/>
          <w:lang w:eastAsia="zh-CN"/>
        </w:rPr>
        <w:t>；（</w:t>
      </w:r>
      <w:r>
        <w:rPr>
          <w:rFonts w:hint="eastAsia" w:cs="宋体"/>
          <w:sz w:val="21"/>
          <w:szCs w:val="21"/>
          <w:lang w:val="en-US" w:eastAsia="zh-CN"/>
        </w:rPr>
        <w:t>2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人身和财产保障</w:t>
      </w:r>
      <w:r>
        <w:rPr>
          <w:rFonts w:hint="eastAsia" w:cs="宋体"/>
          <w:sz w:val="21"/>
          <w:szCs w:val="21"/>
          <w:lang w:eastAsia="zh-CN"/>
        </w:rPr>
        <w:t>；（</w:t>
      </w:r>
      <w:r>
        <w:rPr>
          <w:rFonts w:hint="eastAsia" w:cs="宋体"/>
          <w:sz w:val="21"/>
          <w:szCs w:val="21"/>
          <w:lang w:val="en-US" w:eastAsia="zh-CN"/>
        </w:rPr>
        <w:t>3</w:t>
      </w:r>
      <w:r>
        <w:rPr>
          <w:rFonts w:hint="eastAsia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工资保险福利保障</w:t>
      </w:r>
    </w:p>
    <w:p w14:paraId="189DFF99">
      <w:pPr>
        <w:tabs>
          <w:tab w:val="left" w:pos="420"/>
        </w:tabs>
        <w:spacing w:line="384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cs="宋体"/>
          <w:sz w:val="21"/>
          <w:szCs w:val="21"/>
          <w:lang w:val="en-US" w:eastAsia="zh-CN"/>
        </w:rPr>
        <w:t>六、</w:t>
      </w:r>
      <w:r>
        <w:rPr>
          <w:rFonts w:hint="eastAsia" w:ascii="宋体" w:hAnsi="宋体" w:eastAsia="宋体" w:cs="宋体"/>
          <w:sz w:val="21"/>
          <w:szCs w:val="21"/>
        </w:rPr>
        <w:t>各级法院设立</w:t>
      </w:r>
      <w:r>
        <w:rPr>
          <w:rFonts w:hint="eastAsia" w:ascii="宋体" w:hAnsi="宋体" w:eastAsia="宋体" w:cs="宋体"/>
          <w:color w:val="FF0000"/>
          <w:sz w:val="21"/>
          <w:szCs w:val="21"/>
        </w:rPr>
        <w:t>法官权益保障委员会</w:t>
      </w:r>
      <w:r>
        <w:rPr>
          <w:rFonts w:hint="eastAsia" w:ascii="宋体" w:hAnsi="宋体" w:eastAsia="宋体" w:cs="宋体"/>
          <w:sz w:val="21"/>
          <w:szCs w:val="21"/>
        </w:rPr>
        <w:t>，维护法官合法权益，保障法官依法履行职责。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0" w:h="16840"/>
      <w:pgMar w:top="1701" w:right="1588" w:bottom="1247" w:left="1588" w:header="851" w:footer="992" w:gutter="0"/>
      <w:cols w:space="720" w:num="1"/>
      <w:titlePg/>
      <w:docGrid w:type="lines" w:linePitch="4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汉仪中黑简">
    <w:altName w:val="微软雅黑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汉仪书宋二简">
    <w:altName w:val="微软雅黑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ACADEMY ENGRAVED LET PLAIN:1.0">
    <w:altName w:val="Wide Lati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Wide Latin">
    <w:panose1 w:val="020A0A07050505020404"/>
    <w:charset w:val="00"/>
    <w:family w:val="auto"/>
    <w:pitch w:val="default"/>
    <w:sig w:usb0="00000003" w:usb1="00000000" w:usb2="00000000" w:usb3="00000000" w:csb0="20000001" w:csb1="00000000"/>
  </w:font>
  <w:font w:name="汉仪书宋一简">
    <w:altName w:val="微软雅黑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Sylfaen">
    <w:panose1 w:val="010A0502050306030303"/>
    <w:charset w:val="00"/>
    <w:family w:val="roman"/>
    <w:pitch w:val="default"/>
    <w:sig w:usb0="04000687" w:usb1="00000000" w:usb2="00000000" w:usb3="00000000" w:csb0="2000009F" w:csb1="00000000"/>
  </w:font>
  <w:font w:name="汉仪中等线简">
    <w:altName w:val="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汉仪粗黑简">
    <w:altName w:val="微软雅黑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Segoe UI Emoji">
    <w:panose1 w:val="020B0502040204020203"/>
    <w:charset w:val="00"/>
    <w:family w:val="auto"/>
    <w:pitch w:val="default"/>
    <w:sig w:usb0="00000001" w:usb1="02000000" w:usb2="08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2990A6">
    <w:pPr>
      <w:tabs>
        <w:tab w:val="center" w:pos="4153"/>
        <w:tab w:val="right" w:pos="8306"/>
      </w:tabs>
      <w:snapToGrid w:val="0"/>
      <w:ind w:firstLine="420"/>
      <w:jc w:val="right"/>
      <w:rPr>
        <w:rFonts w:ascii="Calibri" w:hAnsi="Calibri" w:cs="Times New Roman"/>
        <w:sz w:val="18"/>
        <w:szCs w:val="18"/>
      </w:rPr>
    </w:pPr>
    <w:r>
      <w:rPr>
        <w:rFonts w:eastAsia="汉仪书宋二简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4655820</wp:posOffset>
              </wp:positionH>
              <wp:positionV relativeFrom="paragraph">
                <wp:posOffset>97790</wp:posOffset>
              </wp:positionV>
              <wp:extent cx="864870" cy="377190"/>
              <wp:effectExtent l="0" t="0" r="11430" b="3810"/>
              <wp:wrapNone/>
              <wp:docPr id="275913545" name="文本框 2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4870" cy="3771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23B77D">
                          <w:pPr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right"/>
                            <w:rPr>
                              <w:rFonts w:ascii="汉仪书宋二简" w:hAnsi="Calibri" w:eastAsia="汉仪书宋二简" w:cs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  <w:lang w:val="zh-CN"/>
                            </w:rPr>
                            <w:t>5</w:t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  <w:lang w:val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文本框 228" o:spid="_x0000_s1026" o:spt="202" type="#_x0000_t202" style="position:absolute;left:0pt;margin-left:366.6pt;margin-top:7.7pt;height:29.7pt;width:68.1pt;mso-position-horizontal-relative:margin;z-index:251660288;mso-width-relative:page;mso-height-relative:page;" filled="f" stroked="f" coordsize="21600,21600" o:gfxdata="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BIGNM/YAAAACQEAAA8A&#10;AAAAAAAAAQAgAAAAIgAAAGRycy9kb3ducmV2LnhtbFBLAQIUABQAAAAIAIdO4kDKeC/iFwIAAA4E&#10;AAAOAAAAAAAAAAEAIAAAACcBAABkcnMvZTJvRG9jLnhtbFBLBQYAAAAABgAGAFkBAACw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E23B77D">
                    <w:pPr>
                      <w:tabs>
                        <w:tab w:val="center" w:pos="4153"/>
                        <w:tab w:val="right" w:pos="8306"/>
                      </w:tabs>
                      <w:snapToGrid w:val="0"/>
                      <w:jc w:val="right"/>
                      <w:rPr>
                        <w:rFonts w:ascii="汉仪书宋二简" w:hAnsi="Calibri" w:eastAsia="汉仪书宋二简" w:cs="Times New Roman"/>
                        <w:sz w:val="18"/>
                        <w:szCs w:val="18"/>
                      </w:rPr>
                    </w:pP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instrText xml:space="preserve"> PAGE   \* MERGEFORMAT </w:instrText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  <w:lang w:val="zh-CN"/>
                      </w:rPr>
                      <w:t>5</w:t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  <w:lang w:val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E29745">
    <w:pPr>
      <w:tabs>
        <w:tab w:val="center" w:pos="4153"/>
        <w:tab w:val="right" w:pos="8306"/>
      </w:tabs>
      <w:snapToGrid w:val="0"/>
      <w:ind w:firstLine="420"/>
      <w:jc w:val="left"/>
      <w:rPr>
        <w:rFonts w:ascii="Calibri" w:hAnsi="Calibri" w:cs="Times New Roman"/>
        <w:sz w:val="18"/>
        <w:szCs w:val="18"/>
      </w:rPr>
    </w:pPr>
    <w:r>
      <w:rPr>
        <w:rFonts w:eastAsia="汉仪书宋二简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-5080</wp:posOffset>
              </wp:positionH>
              <wp:positionV relativeFrom="paragraph">
                <wp:posOffset>97790</wp:posOffset>
              </wp:positionV>
              <wp:extent cx="342900" cy="330200"/>
              <wp:effectExtent l="0" t="0" r="0" b="12700"/>
              <wp:wrapNone/>
              <wp:docPr id="1300129273" name="文本框 2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" cy="33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7971AA6">
                          <w:pPr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汉仪书宋二简" w:hAnsi="Calibri" w:eastAsia="汉仪书宋二简" w:cs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t>4</w:t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文本框 229" o:spid="_x0000_s1026" o:spt="202" type="#_x0000_t202" style="position:absolute;left:0pt;margin-left:-0.4pt;margin-top:7.7pt;height:26pt;width:27pt;mso-position-horizontal-relative:margin;z-index:251661312;mso-width-relative:page;mso-height-relative:page;" filled="f" stroked="f" coordsize="21600,21600" o:gfxdata="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KrOvpbVAAAABgEAAA8AAAAAAAAA&#10;AQAgAAAAIgAAAGRycy9kb3ducmV2LnhtbFBLAQIUABQAAAAIAIdO4kDAksl0FAIAAA8EAAAOAAAA&#10;AAAAAAEAIAAAACQBAABkcnMvZTJvRG9jLnhtbFBLBQYAAAAABgAGAFkBAACq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7971AA6">
                    <w:pPr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汉仪书宋二简" w:hAnsi="Calibri" w:eastAsia="汉仪书宋二简" w:cs="Times New Roman"/>
                        <w:sz w:val="18"/>
                        <w:szCs w:val="18"/>
                      </w:rPr>
                    </w:pP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instrText xml:space="preserve"> PAGE  \* MERGEFORMAT </w:instrText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t>4</w:t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7794B9">
    <w:pPr>
      <w:tabs>
        <w:tab w:val="center" w:pos="4153"/>
        <w:tab w:val="right" w:pos="8306"/>
      </w:tabs>
      <w:snapToGrid w:val="0"/>
      <w:ind w:firstLine="420"/>
      <w:jc w:val="right"/>
      <w:rPr>
        <w:rFonts w:ascii="Calibri" w:hAnsi="Calibri" w:cs="Times New Roman"/>
        <w:sz w:val="18"/>
        <w:szCs w:val="18"/>
      </w:rPr>
    </w:pPr>
    <w:r>
      <w:rPr>
        <w:rFonts w:eastAsia="汉仪书宋二简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-17780</wp:posOffset>
              </wp:positionH>
              <wp:positionV relativeFrom="paragraph">
                <wp:posOffset>86995</wp:posOffset>
              </wp:positionV>
              <wp:extent cx="5581650" cy="330200"/>
              <wp:effectExtent l="0" t="0" r="0" b="12700"/>
              <wp:wrapNone/>
              <wp:docPr id="5" name="文本框 2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81650" cy="33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D16D3E">
                          <w:pPr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right"/>
                            <w:rPr>
                              <w:rFonts w:ascii="汉仪书宋二简" w:hAnsi="Calibri" w:eastAsia="汉仪书宋二简" w:cs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t>42</w:t>
                          </w:r>
                          <w:r>
                            <w:rPr>
                              <w:rFonts w:hint="eastAsia" w:ascii="汉仪书宋二简" w:hAnsi="Calibri" w:eastAsia="汉仪书宋二简" w:cs="Times New Roman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文本框 224" o:spid="_x0000_s1026" o:spt="202" type="#_x0000_t202" style="position:absolute;left:0pt;margin-left:-1.4pt;margin-top:6.85pt;height:26pt;width:439.5pt;mso-position-horizontal-relative:margin;z-index:251659264;mso-width-relative:page;mso-height-relative:page;" filled="f" stroked="f" coordsize="21600,21600" o:gfxdata="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D5uupU2AAAAAgBAAAPAAAAAAAAAAEA&#10;IAAAACIAAABkcnMvZG93bnJldi54bWxQSwECFAAUAAAACACHTuJAGkQnQg8CAAAHBAAADgAAAAAA&#10;AAABACAAAAAnAQAAZHJzL2Uyb0RvYy54bWxQSwUGAAAAAAYABgBZAQAAqA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8D16D3E">
                    <w:pPr>
                      <w:tabs>
                        <w:tab w:val="center" w:pos="4153"/>
                        <w:tab w:val="right" w:pos="8306"/>
                      </w:tabs>
                      <w:snapToGrid w:val="0"/>
                      <w:jc w:val="right"/>
                      <w:rPr>
                        <w:rFonts w:ascii="汉仪书宋二简" w:hAnsi="Calibri" w:eastAsia="汉仪书宋二简" w:cs="Times New Roman"/>
                        <w:sz w:val="18"/>
                        <w:szCs w:val="18"/>
                      </w:rPr>
                    </w:pP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instrText xml:space="preserve"> PAGE  \* MERGEFORMAT </w:instrText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t>42</w:t>
                    </w:r>
                    <w:r>
                      <w:rPr>
                        <w:rFonts w:hint="eastAsia" w:ascii="汉仪书宋二简" w:hAnsi="Calibri" w:eastAsia="汉仪书宋二简" w:cs="Times New Roman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C6EB36">
    <w:pPr>
      <w:pStyle w:val="22"/>
      <w:pBdr>
        <w:bottom w:val="none" w:color="auto" w:sz="0" w:space="1"/>
      </w:pBdr>
      <w:spacing w:line="207" w:lineRule="exact"/>
      <w:ind w:firstLine="340"/>
      <w:jc w:val="right"/>
      <w:rPr>
        <w:rFonts w:hint="eastAsia"/>
      </w:rPr>
    </w:pPr>
    <w:r>
      <w:rPr>
        <w:rFonts w:ascii="Arial" w:hAnsi="Arial" w:eastAsia="Arial" w:cs="Arial"/>
        <w:color w:val="FF0000"/>
        <w:sz w:val="17"/>
        <w:szCs w:val="17"/>
      </w:rPr>
      <w:t>|</w:t>
    </w:r>
    <w:r>
      <w:rPr>
        <w:rFonts w:ascii="汉仪中黑简" w:hAnsi="汉仪中黑简" w:eastAsia="汉仪中黑简" w:cs="汉仪中黑简"/>
        <w:color w:val="FF0000"/>
        <w:sz w:val="17"/>
        <w:szCs w:val="17"/>
      </w:rPr>
      <w:t xml:space="preserve"> </w:t>
    </w:r>
    <w:r>
      <w:rPr>
        <w:rFonts w:hint="eastAsia" w:ascii="汉仪中黑简" w:hAnsi="汉仪中黑简" w:eastAsia="汉仪中黑简" w:cs="汉仪中黑简"/>
        <w:color w:val="FF0000"/>
        <w:sz w:val="17"/>
        <w:szCs w:val="17"/>
      </w:rPr>
      <w:t xml:space="preserve">司法制度和法律职业道德 </w:t>
    </w:r>
    <w:r>
      <w:rPr>
        <w:rFonts w:ascii="Arial" w:hAnsi="Arial" w:eastAsia="Arial" w:cs="Arial"/>
        <w:color w:val="FF0000"/>
        <w:sz w:val="17"/>
        <w:szCs w:val="17"/>
      </w:rPr>
      <w:t>|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29750A">
    <w:pPr>
      <w:spacing w:line="207" w:lineRule="exact"/>
      <w:rPr>
        <w:rFonts w:hint="eastAsia"/>
      </w:rPr>
    </w:pPr>
    <w:r>
      <w:rPr>
        <w:rFonts w:ascii="Arial" w:hAnsi="Arial" w:eastAsia="Arial" w:cs="Arial"/>
        <w:sz w:val="17"/>
        <w:szCs w:val="17"/>
      </w:rPr>
      <w:t>202</w:t>
    </w:r>
    <w:r>
      <w:rPr>
        <w:rFonts w:hint="eastAsia" w:ascii="Arial" w:hAnsi="Arial" w:cs="Arial" w:eastAsiaTheme="minorEastAsia"/>
        <w:sz w:val="17"/>
        <w:szCs w:val="17"/>
      </w:rPr>
      <w:t>6</w:t>
    </w:r>
    <w:r>
      <w:rPr>
        <w:rFonts w:hint="eastAsia" w:ascii="汉仪中等线简" w:hAnsi="汉仪中黑简" w:eastAsia="汉仪中等线简" w:cs="汉仪中黑简"/>
        <w:sz w:val="17"/>
        <w:szCs w:val="17"/>
      </w:rPr>
      <w:t>年</w:t>
    </w:r>
    <w:r>
      <w:rPr>
        <w:rFonts w:ascii="汉仪中黑简" w:hAnsi="汉仪中黑简" w:eastAsia="汉仪中黑简" w:cs="汉仪中黑简"/>
        <w:color w:val="FF0000"/>
        <w:sz w:val="17"/>
        <w:szCs w:val="17"/>
      </w:rPr>
      <w:t>桑磊法考</w:t>
    </w:r>
    <w:r>
      <w:rPr>
        <w:rFonts w:hint="eastAsia" w:ascii="汉仪中黑简" w:hAnsi="汉仪中黑简" w:eastAsia="汉仪中黑简" w:cs="汉仪中黑简"/>
        <w:color w:val="FF0000"/>
        <w:sz w:val="17"/>
        <w:szCs w:val="17"/>
      </w:rPr>
      <w:t xml:space="preserve"> </w:t>
    </w:r>
    <w:r>
      <w:rPr>
        <w:rFonts w:hint="eastAsia" w:ascii="MS Mincho" w:hAnsi="MS Mincho" w:eastAsia="MS Mincho" w:cs="MS Mincho"/>
        <w:color w:val="FF0000"/>
        <w:position w:val="-5"/>
        <w:sz w:val="28"/>
        <w:szCs w:val="28"/>
      </w:rPr>
      <w:t>✍</w:t>
    </w:r>
    <w:r>
      <w:rPr>
        <w:rFonts w:ascii="汉仪中黑简" w:hAnsi="汉仪中黑简" w:eastAsia="汉仪中黑简" w:cs="汉仪中黑简"/>
        <w:color w:val="FF0000"/>
        <w:sz w:val="17"/>
        <w:szCs w:val="17"/>
      </w:rPr>
      <w:t xml:space="preserve"> 客观</w:t>
    </w:r>
    <w:r>
      <w:rPr>
        <w:rFonts w:hint="eastAsia" w:ascii="汉仪中黑简" w:hAnsi="汉仪中黑简" w:eastAsia="汉仪中黑简" w:cs="汉仪中黑简"/>
        <w:color w:val="FF0000"/>
        <w:sz w:val="17"/>
        <w:szCs w:val="17"/>
      </w:rPr>
      <w:t>题</w:t>
    </w:r>
    <w:r>
      <w:rPr>
        <w:rFonts w:hint="eastAsia" w:ascii="汉仪粗黑简" w:hAnsi="汉仪中黑简" w:eastAsia="汉仪粗黑简" w:cs="汉仪中黑简"/>
        <w:sz w:val="17"/>
        <w:szCs w:val="17"/>
      </w:rPr>
      <w:t>精华突破</w:t>
    </w:r>
    <w:r>
      <w:rPr>
        <w:rFonts w:hint="eastAsia" w:ascii="汉仪中黑简" w:hAnsi="汉仪中黑简" w:eastAsia="汉仪中黑简" w:cs="汉仪中黑简"/>
        <w:color w:val="FF0000"/>
        <w:sz w:val="17"/>
        <w:szCs w:val="17"/>
      </w:rPr>
      <w:t>内部讲义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C56C4E">
    <w:pPr>
      <w:rPr>
        <w:rFonts w:hint="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488F7FF"/>
    <w:multiLevelType w:val="singleLevel"/>
    <w:tmpl w:val="2488F7F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displayBackgroundShape w:val="1"/>
  <w:bordersDoNotSurroundHeader w:val="0"/>
  <w:bordersDoNotSurroundFooter w:val="0"/>
  <w:attachedTemplate r:id="rId1"/>
  <w:documentProtection w:edit="readOnly"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I1Njc2MDEyNDNkYjJiZjI5YTg3Njk3ZjIwNjliMDkifQ=="/>
  </w:docVars>
  <w:rsids>
    <w:rsidRoot w:val="00360F3D"/>
    <w:rsid w:val="000007C3"/>
    <w:rsid w:val="0000246F"/>
    <w:rsid w:val="00002A79"/>
    <w:rsid w:val="00004337"/>
    <w:rsid w:val="00007133"/>
    <w:rsid w:val="0001170A"/>
    <w:rsid w:val="00013903"/>
    <w:rsid w:val="00017B31"/>
    <w:rsid w:val="00021506"/>
    <w:rsid w:val="00023DA1"/>
    <w:rsid w:val="000311D3"/>
    <w:rsid w:val="00033663"/>
    <w:rsid w:val="000344AC"/>
    <w:rsid w:val="0003696A"/>
    <w:rsid w:val="00043F54"/>
    <w:rsid w:val="000454DB"/>
    <w:rsid w:val="00050B12"/>
    <w:rsid w:val="000520D9"/>
    <w:rsid w:val="00057389"/>
    <w:rsid w:val="0006444A"/>
    <w:rsid w:val="00065CDC"/>
    <w:rsid w:val="00067784"/>
    <w:rsid w:val="00074953"/>
    <w:rsid w:val="0007654A"/>
    <w:rsid w:val="00076829"/>
    <w:rsid w:val="00076E30"/>
    <w:rsid w:val="00084DD5"/>
    <w:rsid w:val="00085F43"/>
    <w:rsid w:val="00086912"/>
    <w:rsid w:val="00090A70"/>
    <w:rsid w:val="00092F62"/>
    <w:rsid w:val="00095109"/>
    <w:rsid w:val="000961A2"/>
    <w:rsid w:val="000A0F93"/>
    <w:rsid w:val="000A17DE"/>
    <w:rsid w:val="000A3DE8"/>
    <w:rsid w:val="000A4541"/>
    <w:rsid w:val="000B4132"/>
    <w:rsid w:val="000B41AA"/>
    <w:rsid w:val="000B615F"/>
    <w:rsid w:val="000B69C5"/>
    <w:rsid w:val="000C0AD8"/>
    <w:rsid w:val="000C118D"/>
    <w:rsid w:val="000C29E2"/>
    <w:rsid w:val="000C6D88"/>
    <w:rsid w:val="000D1555"/>
    <w:rsid w:val="000D1B25"/>
    <w:rsid w:val="000D2D2D"/>
    <w:rsid w:val="000D3147"/>
    <w:rsid w:val="000D6B00"/>
    <w:rsid w:val="000D7674"/>
    <w:rsid w:val="000D7B61"/>
    <w:rsid w:val="000E0BCF"/>
    <w:rsid w:val="000E30E1"/>
    <w:rsid w:val="000E5757"/>
    <w:rsid w:val="000E686F"/>
    <w:rsid w:val="000E6C3C"/>
    <w:rsid w:val="000E732A"/>
    <w:rsid w:val="000F033A"/>
    <w:rsid w:val="000F0DB3"/>
    <w:rsid w:val="000F13BF"/>
    <w:rsid w:val="000F142E"/>
    <w:rsid w:val="000F2150"/>
    <w:rsid w:val="000F2EB3"/>
    <w:rsid w:val="000F3220"/>
    <w:rsid w:val="000F4105"/>
    <w:rsid w:val="000F5B11"/>
    <w:rsid w:val="000F5CE5"/>
    <w:rsid w:val="000F7032"/>
    <w:rsid w:val="00100811"/>
    <w:rsid w:val="00100F9E"/>
    <w:rsid w:val="00102269"/>
    <w:rsid w:val="00103FAF"/>
    <w:rsid w:val="00105D3B"/>
    <w:rsid w:val="001132EF"/>
    <w:rsid w:val="001140F5"/>
    <w:rsid w:val="0011790C"/>
    <w:rsid w:val="0012211D"/>
    <w:rsid w:val="001233A7"/>
    <w:rsid w:val="00126916"/>
    <w:rsid w:val="001269BF"/>
    <w:rsid w:val="0013095D"/>
    <w:rsid w:val="00133BBA"/>
    <w:rsid w:val="0013470C"/>
    <w:rsid w:val="001363A1"/>
    <w:rsid w:val="00137ABD"/>
    <w:rsid w:val="001418E9"/>
    <w:rsid w:val="0014386A"/>
    <w:rsid w:val="0014417E"/>
    <w:rsid w:val="00152335"/>
    <w:rsid w:val="00153C01"/>
    <w:rsid w:val="00153E1E"/>
    <w:rsid w:val="001547A3"/>
    <w:rsid w:val="00157061"/>
    <w:rsid w:val="00161F71"/>
    <w:rsid w:val="0016532A"/>
    <w:rsid w:val="001673BB"/>
    <w:rsid w:val="00167640"/>
    <w:rsid w:val="00172F7F"/>
    <w:rsid w:val="00173787"/>
    <w:rsid w:val="001756E5"/>
    <w:rsid w:val="00177320"/>
    <w:rsid w:val="00177C41"/>
    <w:rsid w:val="00180579"/>
    <w:rsid w:val="00181036"/>
    <w:rsid w:val="00183BEB"/>
    <w:rsid w:val="00187190"/>
    <w:rsid w:val="00187318"/>
    <w:rsid w:val="00190902"/>
    <w:rsid w:val="00192A1C"/>
    <w:rsid w:val="00194314"/>
    <w:rsid w:val="001964CC"/>
    <w:rsid w:val="00197E6B"/>
    <w:rsid w:val="001A11C5"/>
    <w:rsid w:val="001A405E"/>
    <w:rsid w:val="001A416B"/>
    <w:rsid w:val="001A4F76"/>
    <w:rsid w:val="001A7A90"/>
    <w:rsid w:val="001B05EE"/>
    <w:rsid w:val="001B3205"/>
    <w:rsid w:val="001B7367"/>
    <w:rsid w:val="001C016C"/>
    <w:rsid w:val="001C2379"/>
    <w:rsid w:val="001C3CBB"/>
    <w:rsid w:val="001C447C"/>
    <w:rsid w:val="001C7326"/>
    <w:rsid w:val="001D1A85"/>
    <w:rsid w:val="001D322F"/>
    <w:rsid w:val="001D3907"/>
    <w:rsid w:val="001D52D4"/>
    <w:rsid w:val="001E1722"/>
    <w:rsid w:val="001E2761"/>
    <w:rsid w:val="001E2D1E"/>
    <w:rsid w:val="001E78FC"/>
    <w:rsid w:val="001F2BFD"/>
    <w:rsid w:val="001F3C16"/>
    <w:rsid w:val="001F4D13"/>
    <w:rsid w:val="00200F9E"/>
    <w:rsid w:val="00202671"/>
    <w:rsid w:val="00202F07"/>
    <w:rsid w:val="00203C17"/>
    <w:rsid w:val="00204D44"/>
    <w:rsid w:val="002070FD"/>
    <w:rsid w:val="002100A8"/>
    <w:rsid w:val="00213812"/>
    <w:rsid w:val="00217FAD"/>
    <w:rsid w:val="0022105C"/>
    <w:rsid w:val="002266A1"/>
    <w:rsid w:val="00230BB8"/>
    <w:rsid w:val="00232EF0"/>
    <w:rsid w:val="00243676"/>
    <w:rsid w:val="0024573C"/>
    <w:rsid w:val="002477E2"/>
    <w:rsid w:val="00247F31"/>
    <w:rsid w:val="00251092"/>
    <w:rsid w:val="00251654"/>
    <w:rsid w:val="00254628"/>
    <w:rsid w:val="00254BA5"/>
    <w:rsid w:val="002555F1"/>
    <w:rsid w:val="00256634"/>
    <w:rsid w:val="00261064"/>
    <w:rsid w:val="002732FC"/>
    <w:rsid w:val="00282DA7"/>
    <w:rsid w:val="0028378F"/>
    <w:rsid w:val="00283B62"/>
    <w:rsid w:val="00284155"/>
    <w:rsid w:val="00284B78"/>
    <w:rsid w:val="002870AB"/>
    <w:rsid w:val="00287A76"/>
    <w:rsid w:val="002939C0"/>
    <w:rsid w:val="00294CE5"/>
    <w:rsid w:val="00297FCB"/>
    <w:rsid w:val="002A020C"/>
    <w:rsid w:val="002A5115"/>
    <w:rsid w:val="002A6028"/>
    <w:rsid w:val="002A6559"/>
    <w:rsid w:val="002A799D"/>
    <w:rsid w:val="002B3CF2"/>
    <w:rsid w:val="002B581F"/>
    <w:rsid w:val="002B6AEE"/>
    <w:rsid w:val="002B78EC"/>
    <w:rsid w:val="002C07E6"/>
    <w:rsid w:val="002C1350"/>
    <w:rsid w:val="002C2E70"/>
    <w:rsid w:val="002D15F3"/>
    <w:rsid w:val="002D3D1C"/>
    <w:rsid w:val="002D5615"/>
    <w:rsid w:val="002D5A27"/>
    <w:rsid w:val="002D5CA1"/>
    <w:rsid w:val="002D73B3"/>
    <w:rsid w:val="002D7DE3"/>
    <w:rsid w:val="002E1B1A"/>
    <w:rsid w:val="002E30AC"/>
    <w:rsid w:val="002E3B4F"/>
    <w:rsid w:val="002E3DCA"/>
    <w:rsid w:val="002E4658"/>
    <w:rsid w:val="002E4965"/>
    <w:rsid w:val="002F549F"/>
    <w:rsid w:val="002F585A"/>
    <w:rsid w:val="002F67E2"/>
    <w:rsid w:val="002F70A7"/>
    <w:rsid w:val="003014F0"/>
    <w:rsid w:val="00301D06"/>
    <w:rsid w:val="00303719"/>
    <w:rsid w:val="00306526"/>
    <w:rsid w:val="003065D8"/>
    <w:rsid w:val="00312999"/>
    <w:rsid w:val="003146E6"/>
    <w:rsid w:val="00314DF0"/>
    <w:rsid w:val="003179BC"/>
    <w:rsid w:val="00322577"/>
    <w:rsid w:val="003228CE"/>
    <w:rsid w:val="00322D32"/>
    <w:rsid w:val="003238F4"/>
    <w:rsid w:val="003259F5"/>
    <w:rsid w:val="00325B01"/>
    <w:rsid w:val="00325D88"/>
    <w:rsid w:val="003261B9"/>
    <w:rsid w:val="00327470"/>
    <w:rsid w:val="00330C05"/>
    <w:rsid w:val="00333ECE"/>
    <w:rsid w:val="003365AA"/>
    <w:rsid w:val="00336B60"/>
    <w:rsid w:val="003412FE"/>
    <w:rsid w:val="00342880"/>
    <w:rsid w:val="00344654"/>
    <w:rsid w:val="00346E53"/>
    <w:rsid w:val="003472F2"/>
    <w:rsid w:val="003473D4"/>
    <w:rsid w:val="0034741C"/>
    <w:rsid w:val="003518D7"/>
    <w:rsid w:val="00352F10"/>
    <w:rsid w:val="00354661"/>
    <w:rsid w:val="00355944"/>
    <w:rsid w:val="00355F20"/>
    <w:rsid w:val="00356D16"/>
    <w:rsid w:val="00357C67"/>
    <w:rsid w:val="00360F3D"/>
    <w:rsid w:val="003614A4"/>
    <w:rsid w:val="003630B3"/>
    <w:rsid w:val="00363C3A"/>
    <w:rsid w:val="00366039"/>
    <w:rsid w:val="00366702"/>
    <w:rsid w:val="003703C4"/>
    <w:rsid w:val="00370E40"/>
    <w:rsid w:val="00371C97"/>
    <w:rsid w:val="003725C1"/>
    <w:rsid w:val="003741AE"/>
    <w:rsid w:val="00374F60"/>
    <w:rsid w:val="003761B2"/>
    <w:rsid w:val="00376461"/>
    <w:rsid w:val="003803D3"/>
    <w:rsid w:val="00380E51"/>
    <w:rsid w:val="0038107D"/>
    <w:rsid w:val="00382032"/>
    <w:rsid w:val="003828F0"/>
    <w:rsid w:val="00394026"/>
    <w:rsid w:val="00396620"/>
    <w:rsid w:val="003970ED"/>
    <w:rsid w:val="003A01BF"/>
    <w:rsid w:val="003A29A3"/>
    <w:rsid w:val="003A359A"/>
    <w:rsid w:val="003A48A4"/>
    <w:rsid w:val="003A630C"/>
    <w:rsid w:val="003A681E"/>
    <w:rsid w:val="003A7BDD"/>
    <w:rsid w:val="003B01EB"/>
    <w:rsid w:val="003B662E"/>
    <w:rsid w:val="003C3CAE"/>
    <w:rsid w:val="003C43C7"/>
    <w:rsid w:val="003C51C9"/>
    <w:rsid w:val="003C61AB"/>
    <w:rsid w:val="003D2FE7"/>
    <w:rsid w:val="003D5596"/>
    <w:rsid w:val="003D7E1F"/>
    <w:rsid w:val="003E1C37"/>
    <w:rsid w:val="003E4942"/>
    <w:rsid w:val="003E6C50"/>
    <w:rsid w:val="003E7623"/>
    <w:rsid w:val="003F02EB"/>
    <w:rsid w:val="003F177D"/>
    <w:rsid w:val="003F21B6"/>
    <w:rsid w:val="003F4E70"/>
    <w:rsid w:val="003F58AA"/>
    <w:rsid w:val="003F62EB"/>
    <w:rsid w:val="003F6F6E"/>
    <w:rsid w:val="003F76FD"/>
    <w:rsid w:val="00401081"/>
    <w:rsid w:val="004019BD"/>
    <w:rsid w:val="00403C26"/>
    <w:rsid w:val="004042BF"/>
    <w:rsid w:val="0040549C"/>
    <w:rsid w:val="00406C88"/>
    <w:rsid w:val="00407D06"/>
    <w:rsid w:val="00411B27"/>
    <w:rsid w:val="00412CA4"/>
    <w:rsid w:val="004150C2"/>
    <w:rsid w:val="004201EC"/>
    <w:rsid w:val="00424B9D"/>
    <w:rsid w:val="004257B6"/>
    <w:rsid w:val="00431A30"/>
    <w:rsid w:val="0043240A"/>
    <w:rsid w:val="00432C98"/>
    <w:rsid w:val="00434014"/>
    <w:rsid w:val="00436EC3"/>
    <w:rsid w:val="00440310"/>
    <w:rsid w:val="00442A94"/>
    <w:rsid w:val="004430B6"/>
    <w:rsid w:val="004457EB"/>
    <w:rsid w:val="0045551A"/>
    <w:rsid w:val="00455A56"/>
    <w:rsid w:val="00457860"/>
    <w:rsid w:val="00457F05"/>
    <w:rsid w:val="00461C58"/>
    <w:rsid w:val="00471A05"/>
    <w:rsid w:val="0047466D"/>
    <w:rsid w:val="00474C51"/>
    <w:rsid w:val="004754C7"/>
    <w:rsid w:val="004765F4"/>
    <w:rsid w:val="004770DD"/>
    <w:rsid w:val="00481D1F"/>
    <w:rsid w:val="00483C8C"/>
    <w:rsid w:val="00485E95"/>
    <w:rsid w:val="00485FB9"/>
    <w:rsid w:val="004878A2"/>
    <w:rsid w:val="004959CB"/>
    <w:rsid w:val="004A013B"/>
    <w:rsid w:val="004A28D5"/>
    <w:rsid w:val="004A3B7F"/>
    <w:rsid w:val="004A5017"/>
    <w:rsid w:val="004A579F"/>
    <w:rsid w:val="004A6EF7"/>
    <w:rsid w:val="004A7370"/>
    <w:rsid w:val="004B1002"/>
    <w:rsid w:val="004B3342"/>
    <w:rsid w:val="004B3CE2"/>
    <w:rsid w:val="004B4C6A"/>
    <w:rsid w:val="004B5A48"/>
    <w:rsid w:val="004B5B0E"/>
    <w:rsid w:val="004C0B5A"/>
    <w:rsid w:val="004C3678"/>
    <w:rsid w:val="004C7C5A"/>
    <w:rsid w:val="004C7E6C"/>
    <w:rsid w:val="004D0A90"/>
    <w:rsid w:val="004D79F4"/>
    <w:rsid w:val="004E2C23"/>
    <w:rsid w:val="004E75DC"/>
    <w:rsid w:val="004E7772"/>
    <w:rsid w:val="004E7918"/>
    <w:rsid w:val="004F1A62"/>
    <w:rsid w:val="004F1B06"/>
    <w:rsid w:val="004F49E7"/>
    <w:rsid w:val="004F5424"/>
    <w:rsid w:val="004F6FEB"/>
    <w:rsid w:val="004F70A7"/>
    <w:rsid w:val="005027F6"/>
    <w:rsid w:val="00503D15"/>
    <w:rsid w:val="00504DA0"/>
    <w:rsid w:val="005053EF"/>
    <w:rsid w:val="00510F70"/>
    <w:rsid w:val="00514274"/>
    <w:rsid w:val="0052019C"/>
    <w:rsid w:val="00520463"/>
    <w:rsid w:val="005214C9"/>
    <w:rsid w:val="00521FBD"/>
    <w:rsid w:val="005231EF"/>
    <w:rsid w:val="0052579F"/>
    <w:rsid w:val="005259A7"/>
    <w:rsid w:val="00525A23"/>
    <w:rsid w:val="00525B89"/>
    <w:rsid w:val="00527699"/>
    <w:rsid w:val="005306D2"/>
    <w:rsid w:val="00530CFB"/>
    <w:rsid w:val="0053228D"/>
    <w:rsid w:val="00532FF3"/>
    <w:rsid w:val="005411DA"/>
    <w:rsid w:val="0054192C"/>
    <w:rsid w:val="005419AF"/>
    <w:rsid w:val="00543048"/>
    <w:rsid w:val="0054781B"/>
    <w:rsid w:val="005501D0"/>
    <w:rsid w:val="00550990"/>
    <w:rsid w:val="00553F32"/>
    <w:rsid w:val="00554E0C"/>
    <w:rsid w:val="00556C1C"/>
    <w:rsid w:val="0056086C"/>
    <w:rsid w:val="00560BFC"/>
    <w:rsid w:val="0056173D"/>
    <w:rsid w:val="00563DFA"/>
    <w:rsid w:val="005641D1"/>
    <w:rsid w:val="005643CB"/>
    <w:rsid w:val="0056669F"/>
    <w:rsid w:val="00566CAF"/>
    <w:rsid w:val="00566FCF"/>
    <w:rsid w:val="00570C98"/>
    <w:rsid w:val="00570FBE"/>
    <w:rsid w:val="0057523B"/>
    <w:rsid w:val="0057567B"/>
    <w:rsid w:val="00585136"/>
    <w:rsid w:val="005856BE"/>
    <w:rsid w:val="005859EA"/>
    <w:rsid w:val="0059491D"/>
    <w:rsid w:val="005953B7"/>
    <w:rsid w:val="00596065"/>
    <w:rsid w:val="005A0CA0"/>
    <w:rsid w:val="005A270D"/>
    <w:rsid w:val="005A2AA0"/>
    <w:rsid w:val="005A3E70"/>
    <w:rsid w:val="005B296D"/>
    <w:rsid w:val="005B4926"/>
    <w:rsid w:val="005B658F"/>
    <w:rsid w:val="005C1301"/>
    <w:rsid w:val="005C1F5B"/>
    <w:rsid w:val="005C4F3E"/>
    <w:rsid w:val="005C5EBE"/>
    <w:rsid w:val="005C601F"/>
    <w:rsid w:val="005C79C6"/>
    <w:rsid w:val="005D066F"/>
    <w:rsid w:val="005D0CE1"/>
    <w:rsid w:val="005D1838"/>
    <w:rsid w:val="005D367D"/>
    <w:rsid w:val="005D5DB5"/>
    <w:rsid w:val="005E0780"/>
    <w:rsid w:val="005E106B"/>
    <w:rsid w:val="005E374C"/>
    <w:rsid w:val="005E3DAC"/>
    <w:rsid w:val="005E5E1E"/>
    <w:rsid w:val="005F2799"/>
    <w:rsid w:val="005F3784"/>
    <w:rsid w:val="005F4F3C"/>
    <w:rsid w:val="005F6BEF"/>
    <w:rsid w:val="005F724E"/>
    <w:rsid w:val="0060272D"/>
    <w:rsid w:val="0060342B"/>
    <w:rsid w:val="00605688"/>
    <w:rsid w:val="00606AEC"/>
    <w:rsid w:val="00607282"/>
    <w:rsid w:val="00613DBC"/>
    <w:rsid w:val="00617ED2"/>
    <w:rsid w:val="00620512"/>
    <w:rsid w:val="006234E4"/>
    <w:rsid w:val="006241E9"/>
    <w:rsid w:val="0062683D"/>
    <w:rsid w:val="0062710B"/>
    <w:rsid w:val="00632150"/>
    <w:rsid w:val="00632BB7"/>
    <w:rsid w:val="00633AF9"/>
    <w:rsid w:val="00633D8E"/>
    <w:rsid w:val="00633F77"/>
    <w:rsid w:val="00635174"/>
    <w:rsid w:val="00635BE7"/>
    <w:rsid w:val="0064116C"/>
    <w:rsid w:val="006427EB"/>
    <w:rsid w:val="006461A1"/>
    <w:rsid w:val="00647B59"/>
    <w:rsid w:val="00647D5B"/>
    <w:rsid w:val="00650A30"/>
    <w:rsid w:val="00652D8A"/>
    <w:rsid w:val="00653601"/>
    <w:rsid w:val="00654882"/>
    <w:rsid w:val="00656365"/>
    <w:rsid w:val="006568AE"/>
    <w:rsid w:val="00657CBE"/>
    <w:rsid w:val="0066166F"/>
    <w:rsid w:val="00664958"/>
    <w:rsid w:val="00665145"/>
    <w:rsid w:val="00665969"/>
    <w:rsid w:val="0067118B"/>
    <w:rsid w:val="006711A5"/>
    <w:rsid w:val="00673628"/>
    <w:rsid w:val="00674C45"/>
    <w:rsid w:val="00674DA0"/>
    <w:rsid w:val="00676A80"/>
    <w:rsid w:val="00680CA7"/>
    <w:rsid w:val="00682152"/>
    <w:rsid w:val="00684DDD"/>
    <w:rsid w:val="006878EE"/>
    <w:rsid w:val="006929BA"/>
    <w:rsid w:val="0069452C"/>
    <w:rsid w:val="00696ED9"/>
    <w:rsid w:val="006977F5"/>
    <w:rsid w:val="006A4853"/>
    <w:rsid w:val="006B2820"/>
    <w:rsid w:val="006B314A"/>
    <w:rsid w:val="006B47E2"/>
    <w:rsid w:val="006B7482"/>
    <w:rsid w:val="006C07D5"/>
    <w:rsid w:val="006C0E27"/>
    <w:rsid w:val="006C0EE8"/>
    <w:rsid w:val="006C38AA"/>
    <w:rsid w:val="006C79CB"/>
    <w:rsid w:val="006D29EE"/>
    <w:rsid w:val="006D47F9"/>
    <w:rsid w:val="006D58B3"/>
    <w:rsid w:val="006D6D02"/>
    <w:rsid w:val="006D7651"/>
    <w:rsid w:val="006E05A2"/>
    <w:rsid w:val="006E0DC5"/>
    <w:rsid w:val="006E1140"/>
    <w:rsid w:val="006E2B94"/>
    <w:rsid w:val="006E2EE8"/>
    <w:rsid w:val="006E41F9"/>
    <w:rsid w:val="006F18BB"/>
    <w:rsid w:val="006F24A8"/>
    <w:rsid w:val="006F2EA6"/>
    <w:rsid w:val="006F314B"/>
    <w:rsid w:val="006F4FDA"/>
    <w:rsid w:val="006F5697"/>
    <w:rsid w:val="00702FD4"/>
    <w:rsid w:val="00704C3D"/>
    <w:rsid w:val="00705F01"/>
    <w:rsid w:val="007078FF"/>
    <w:rsid w:val="007119E2"/>
    <w:rsid w:val="00711FE9"/>
    <w:rsid w:val="00712C80"/>
    <w:rsid w:val="00712E3E"/>
    <w:rsid w:val="00717681"/>
    <w:rsid w:val="00720AE6"/>
    <w:rsid w:val="00721316"/>
    <w:rsid w:val="00721503"/>
    <w:rsid w:val="007217A3"/>
    <w:rsid w:val="00721F4B"/>
    <w:rsid w:val="00723866"/>
    <w:rsid w:val="00726300"/>
    <w:rsid w:val="00726FEC"/>
    <w:rsid w:val="00730A24"/>
    <w:rsid w:val="00733233"/>
    <w:rsid w:val="007338D8"/>
    <w:rsid w:val="00736A28"/>
    <w:rsid w:val="00737388"/>
    <w:rsid w:val="007430B6"/>
    <w:rsid w:val="0074353C"/>
    <w:rsid w:val="00744B92"/>
    <w:rsid w:val="00746925"/>
    <w:rsid w:val="00750648"/>
    <w:rsid w:val="00751A54"/>
    <w:rsid w:val="00753E61"/>
    <w:rsid w:val="00753F64"/>
    <w:rsid w:val="0075426C"/>
    <w:rsid w:val="0075461C"/>
    <w:rsid w:val="007548B8"/>
    <w:rsid w:val="00755183"/>
    <w:rsid w:val="007614EB"/>
    <w:rsid w:val="00764E94"/>
    <w:rsid w:val="0076582C"/>
    <w:rsid w:val="0076624C"/>
    <w:rsid w:val="007716B1"/>
    <w:rsid w:val="007727AA"/>
    <w:rsid w:val="00772DF4"/>
    <w:rsid w:val="00774640"/>
    <w:rsid w:val="00774CC9"/>
    <w:rsid w:val="00774D23"/>
    <w:rsid w:val="00775915"/>
    <w:rsid w:val="00776571"/>
    <w:rsid w:val="00780CE5"/>
    <w:rsid w:val="0078225B"/>
    <w:rsid w:val="00786235"/>
    <w:rsid w:val="007869B5"/>
    <w:rsid w:val="00786A39"/>
    <w:rsid w:val="00787AF2"/>
    <w:rsid w:val="0079054B"/>
    <w:rsid w:val="007918BF"/>
    <w:rsid w:val="00793662"/>
    <w:rsid w:val="007946E2"/>
    <w:rsid w:val="007962E5"/>
    <w:rsid w:val="00796454"/>
    <w:rsid w:val="007A0798"/>
    <w:rsid w:val="007A2557"/>
    <w:rsid w:val="007A34B5"/>
    <w:rsid w:val="007A4858"/>
    <w:rsid w:val="007A48B4"/>
    <w:rsid w:val="007A4E5B"/>
    <w:rsid w:val="007A5DD6"/>
    <w:rsid w:val="007B3C02"/>
    <w:rsid w:val="007B3C7A"/>
    <w:rsid w:val="007B5B39"/>
    <w:rsid w:val="007B6FA1"/>
    <w:rsid w:val="007B7DE9"/>
    <w:rsid w:val="007C41CF"/>
    <w:rsid w:val="007C4362"/>
    <w:rsid w:val="007D0181"/>
    <w:rsid w:val="007E2104"/>
    <w:rsid w:val="007E359A"/>
    <w:rsid w:val="007E4E5B"/>
    <w:rsid w:val="007E72B2"/>
    <w:rsid w:val="007E7615"/>
    <w:rsid w:val="007E7B96"/>
    <w:rsid w:val="007F3F5A"/>
    <w:rsid w:val="007F46FE"/>
    <w:rsid w:val="008008E0"/>
    <w:rsid w:val="00800BEA"/>
    <w:rsid w:val="00802F08"/>
    <w:rsid w:val="00803F9A"/>
    <w:rsid w:val="00805EF9"/>
    <w:rsid w:val="00806443"/>
    <w:rsid w:val="00811753"/>
    <w:rsid w:val="0081253C"/>
    <w:rsid w:val="0081754F"/>
    <w:rsid w:val="00817B8B"/>
    <w:rsid w:val="00823D81"/>
    <w:rsid w:val="008242A0"/>
    <w:rsid w:val="00824CC6"/>
    <w:rsid w:val="00826530"/>
    <w:rsid w:val="00833280"/>
    <w:rsid w:val="008353B4"/>
    <w:rsid w:val="00837753"/>
    <w:rsid w:val="008411B7"/>
    <w:rsid w:val="00841BAA"/>
    <w:rsid w:val="00841CDD"/>
    <w:rsid w:val="008441E3"/>
    <w:rsid w:val="008476EC"/>
    <w:rsid w:val="00851757"/>
    <w:rsid w:val="008534EF"/>
    <w:rsid w:val="00855DDC"/>
    <w:rsid w:val="00856979"/>
    <w:rsid w:val="00860BC5"/>
    <w:rsid w:val="00862EB3"/>
    <w:rsid w:val="0086345A"/>
    <w:rsid w:val="00863FF5"/>
    <w:rsid w:val="00864C7B"/>
    <w:rsid w:val="008672C1"/>
    <w:rsid w:val="00870E9F"/>
    <w:rsid w:val="00874E7F"/>
    <w:rsid w:val="00874F8E"/>
    <w:rsid w:val="0087665B"/>
    <w:rsid w:val="0087737A"/>
    <w:rsid w:val="0088089C"/>
    <w:rsid w:val="0088136B"/>
    <w:rsid w:val="00885FBF"/>
    <w:rsid w:val="008866A9"/>
    <w:rsid w:val="0088691B"/>
    <w:rsid w:val="0089045B"/>
    <w:rsid w:val="0089098B"/>
    <w:rsid w:val="00891646"/>
    <w:rsid w:val="00892E92"/>
    <w:rsid w:val="0089320F"/>
    <w:rsid w:val="00893BD1"/>
    <w:rsid w:val="0089700D"/>
    <w:rsid w:val="008A3628"/>
    <w:rsid w:val="008A4D73"/>
    <w:rsid w:val="008A4FBD"/>
    <w:rsid w:val="008B2B62"/>
    <w:rsid w:val="008B3733"/>
    <w:rsid w:val="008B3C94"/>
    <w:rsid w:val="008B46D1"/>
    <w:rsid w:val="008B4BB1"/>
    <w:rsid w:val="008B5B19"/>
    <w:rsid w:val="008B689C"/>
    <w:rsid w:val="008B7AA4"/>
    <w:rsid w:val="008C091E"/>
    <w:rsid w:val="008C65E0"/>
    <w:rsid w:val="008D2E1D"/>
    <w:rsid w:val="008D4949"/>
    <w:rsid w:val="008D55B9"/>
    <w:rsid w:val="008D5BDF"/>
    <w:rsid w:val="008D7602"/>
    <w:rsid w:val="008E163E"/>
    <w:rsid w:val="008E1C55"/>
    <w:rsid w:val="008E1F34"/>
    <w:rsid w:val="008E2C25"/>
    <w:rsid w:val="008E4C20"/>
    <w:rsid w:val="008E6962"/>
    <w:rsid w:val="008F133D"/>
    <w:rsid w:val="008F1F02"/>
    <w:rsid w:val="008F28A2"/>
    <w:rsid w:val="008F2AAA"/>
    <w:rsid w:val="008F2F09"/>
    <w:rsid w:val="008F37F5"/>
    <w:rsid w:val="008F398F"/>
    <w:rsid w:val="008F3BA8"/>
    <w:rsid w:val="008F517D"/>
    <w:rsid w:val="008F7C05"/>
    <w:rsid w:val="008F7D68"/>
    <w:rsid w:val="009003BD"/>
    <w:rsid w:val="0090043D"/>
    <w:rsid w:val="00902F9D"/>
    <w:rsid w:val="00904AE1"/>
    <w:rsid w:val="0090670E"/>
    <w:rsid w:val="0090781E"/>
    <w:rsid w:val="0091071C"/>
    <w:rsid w:val="00910F43"/>
    <w:rsid w:val="00911149"/>
    <w:rsid w:val="00912E10"/>
    <w:rsid w:val="00916351"/>
    <w:rsid w:val="009169F4"/>
    <w:rsid w:val="00917477"/>
    <w:rsid w:val="00917847"/>
    <w:rsid w:val="00917B27"/>
    <w:rsid w:val="00922AD8"/>
    <w:rsid w:val="009251E5"/>
    <w:rsid w:val="00926DAD"/>
    <w:rsid w:val="0093393D"/>
    <w:rsid w:val="009352AD"/>
    <w:rsid w:val="009366D7"/>
    <w:rsid w:val="00936BB8"/>
    <w:rsid w:val="0093725B"/>
    <w:rsid w:val="00937A93"/>
    <w:rsid w:val="009428E5"/>
    <w:rsid w:val="00943A41"/>
    <w:rsid w:val="00944B7B"/>
    <w:rsid w:val="00947B10"/>
    <w:rsid w:val="0095088B"/>
    <w:rsid w:val="00974734"/>
    <w:rsid w:val="00977C65"/>
    <w:rsid w:val="00983F95"/>
    <w:rsid w:val="00986255"/>
    <w:rsid w:val="00987A8A"/>
    <w:rsid w:val="00987AA7"/>
    <w:rsid w:val="00990E42"/>
    <w:rsid w:val="00996848"/>
    <w:rsid w:val="009969F6"/>
    <w:rsid w:val="0099703F"/>
    <w:rsid w:val="00997C8F"/>
    <w:rsid w:val="009A14EF"/>
    <w:rsid w:val="009A25C6"/>
    <w:rsid w:val="009A2760"/>
    <w:rsid w:val="009A33F0"/>
    <w:rsid w:val="009A50CA"/>
    <w:rsid w:val="009B292A"/>
    <w:rsid w:val="009B7C61"/>
    <w:rsid w:val="009C282C"/>
    <w:rsid w:val="009C4A2A"/>
    <w:rsid w:val="009C5482"/>
    <w:rsid w:val="009C7E50"/>
    <w:rsid w:val="009D1A88"/>
    <w:rsid w:val="009D1F66"/>
    <w:rsid w:val="009D3326"/>
    <w:rsid w:val="009D4EBC"/>
    <w:rsid w:val="009D7581"/>
    <w:rsid w:val="009D7D04"/>
    <w:rsid w:val="009E23ED"/>
    <w:rsid w:val="009E2D91"/>
    <w:rsid w:val="009E5C1B"/>
    <w:rsid w:val="009F0322"/>
    <w:rsid w:val="009F12DE"/>
    <w:rsid w:val="009F3286"/>
    <w:rsid w:val="009F329C"/>
    <w:rsid w:val="009F32CA"/>
    <w:rsid w:val="009F3CB7"/>
    <w:rsid w:val="009F4144"/>
    <w:rsid w:val="009F706F"/>
    <w:rsid w:val="00A00C23"/>
    <w:rsid w:val="00A01BD7"/>
    <w:rsid w:val="00A02544"/>
    <w:rsid w:val="00A03638"/>
    <w:rsid w:val="00A042D4"/>
    <w:rsid w:val="00A07B21"/>
    <w:rsid w:val="00A10124"/>
    <w:rsid w:val="00A14513"/>
    <w:rsid w:val="00A14803"/>
    <w:rsid w:val="00A1654F"/>
    <w:rsid w:val="00A1662B"/>
    <w:rsid w:val="00A17253"/>
    <w:rsid w:val="00A17995"/>
    <w:rsid w:val="00A25A98"/>
    <w:rsid w:val="00A25DC5"/>
    <w:rsid w:val="00A26EE2"/>
    <w:rsid w:val="00A31307"/>
    <w:rsid w:val="00A339A7"/>
    <w:rsid w:val="00A33C1C"/>
    <w:rsid w:val="00A33F33"/>
    <w:rsid w:val="00A364AE"/>
    <w:rsid w:val="00A378DD"/>
    <w:rsid w:val="00A40796"/>
    <w:rsid w:val="00A4202C"/>
    <w:rsid w:val="00A430E5"/>
    <w:rsid w:val="00A45CBC"/>
    <w:rsid w:val="00A463D4"/>
    <w:rsid w:val="00A4710A"/>
    <w:rsid w:val="00A5322A"/>
    <w:rsid w:val="00A532E8"/>
    <w:rsid w:val="00A55295"/>
    <w:rsid w:val="00A55905"/>
    <w:rsid w:val="00A57CA4"/>
    <w:rsid w:val="00A632DB"/>
    <w:rsid w:val="00A640F5"/>
    <w:rsid w:val="00A64D66"/>
    <w:rsid w:val="00A717FE"/>
    <w:rsid w:val="00A732DB"/>
    <w:rsid w:val="00A81F68"/>
    <w:rsid w:val="00A874B9"/>
    <w:rsid w:val="00A9381A"/>
    <w:rsid w:val="00A949CF"/>
    <w:rsid w:val="00A94B78"/>
    <w:rsid w:val="00A9605E"/>
    <w:rsid w:val="00A96367"/>
    <w:rsid w:val="00A96EC6"/>
    <w:rsid w:val="00A97B50"/>
    <w:rsid w:val="00AA0148"/>
    <w:rsid w:val="00AA1326"/>
    <w:rsid w:val="00AA1DA9"/>
    <w:rsid w:val="00AA2C99"/>
    <w:rsid w:val="00AA4B96"/>
    <w:rsid w:val="00AA6A1D"/>
    <w:rsid w:val="00AA714A"/>
    <w:rsid w:val="00AA74B4"/>
    <w:rsid w:val="00AA7A72"/>
    <w:rsid w:val="00AB0B71"/>
    <w:rsid w:val="00AB24F3"/>
    <w:rsid w:val="00AB3F3B"/>
    <w:rsid w:val="00AB64D6"/>
    <w:rsid w:val="00AC00A8"/>
    <w:rsid w:val="00AC24E1"/>
    <w:rsid w:val="00AC4F58"/>
    <w:rsid w:val="00AC65B1"/>
    <w:rsid w:val="00AD7FF1"/>
    <w:rsid w:val="00AE2802"/>
    <w:rsid w:val="00AE2C45"/>
    <w:rsid w:val="00AE5EB6"/>
    <w:rsid w:val="00AE6EB9"/>
    <w:rsid w:val="00AF166D"/>
    <w:rsid w:val="00AF1B8C"/>
    <w:rsid w:val="00AF2428"/>
    <w:rsid w:val="00AF2473"/>
    <w:rsid w:val="00AF2565"/>
    <w:rsid w:val="00AF2CC6"/>
    <w:rsid w:val="00AF3ACF"/>
    <w:rsid w:val="00AF4F03"/>
    <w:rsid w:val="00AF6247"/>
    <w:rsid w:val="00B0081D"/>
    <w:rsid w:val="00B12D2B"/>
    <w:rsid w:val="00B23D61"/>
    <w:rsid w:val="00B31A88"/>
    <w:rsid w:val="00B33249"/>
    <w:rsid w:val="00B3498E"/>
    <w:rsid w:val="00B3564E"/>
    <w:rsid w:val="00B361A0"/>
    <w:rsid w:val="00B36ABD"/>
    <w:rsid w:val="00B37866"/>
    <w:rsid w:val="00B40F35"/>
    <w:rsid w:val="00B418C7"/>
    <w:rsid w:val="00B419B4"/>
    <w:rsid w:val="00B4238E"/>
    <w:rsid w:val="00B438A9"/>
    <w:rsid w:val="00B46592"/>
    <w:rsid w:val="00B46EB0"/>
    <w:rsid w:val="00B47563"/>
    <w:rsid w:val="00B50704"/>
    <w:rsid w:val="00B516B6"/>
    <w:rsid w:val="00B527C7"/>
    <w:rsid w:val="00B527D5"/>
    <w:rsid w:val="00B528B5"/>
    <w:rsid w:val="00B53886"/>
    <w:rsid w:val="00B54219"/>
    <w:rsid w:val="00B55049"/>
    <w:rsid w:val="00B56C17"/>
    <w:rsid w:val="00B640A1"/>
    <w:rsid w:val="00B64E53"/>
    <w:rsid w:val="00B64F78"/>
    <w:rsid w:val="00B6651B"/>
    <w:rsid w:val="00B71784"/>
    <w:rsid w:val="00B71DD5"/>
    <w:rsid w:val="00B73F21"/>
    <w:rsid w:val="00B7643A"/>
    <w:rsid w:val="00B7795E"/>
    <w:rsid w:val="00B77E47"/>
    <w:rsid w:val="00B8003F"/>
    <w:rsid w:val="00B814A5"/>
    <w:rsid w:val="00B820E0"/>
    <w:rsid w:val="00B8287D"/>
    <w:rsid w:val="00B82F75"/>
    <w:rsid w:val="00B85559"/>
    <w:rsid w:val="00B86F61"/>
    <w:rsid w:val="00B9343E"/>
    <w:rsid w:val="00B93CDE"/>
    <w:rsid w:val="00B93DA1"/>
    <w:rsid w:val="00B94035"/>
    <w:rsid w:val="00B95A61"/>
    <w:rsid w:val="00BA16A2"/>
    <w:rsid w:val="00BA6C51"/>
    <w:rsid w:val="00BA71D7"/>
    <w:rsid w:val="00BB6147"/>
    <w:rsid w:val="00BC064B"/>
    <w:rsid w:val="00BC1E6D"/>
    <w:rsid w:val="00BC2461"/>
    <w:rsid w:val="00BC564D"/>
    <w:rsid w:val="00BC6C4E"/>
    <w:rsid w:val="00BC6FE9"/>
    <w:rsid w:val="00BC708D"/>
    <w:rsid w:val="00BC723F"/>
    <w:rsid w:val="00BC77FE"/>
    <w:rsid w:val="00BD14C0"/>
    <w:rsid w:val="00BD2550"/>
    <w:rsid w:val="00BD25A9"/>
    <w:rsid w:val="00BD4709"/>
    <w:rsid w:val="00BD4861"/>
    <w:rsid w:val="00BE1486"/>
    <w:rsid w:val="00BE38C9"/>
    <w:rsid w:val="00BE5DC2"/>
    <w:rsid w:val="00BF1893"/>
    <w:rsid w:val="00BF4B94"/>
    <w:rsid w:val="00BF6652"/>
    <w:rsid w:val="00C00357"/>
    <w:rsid w:val="00C067DA"/>
    <w:rsid w:val="00C06876"/>
    <w:rsid w:val="00C07713"/>
    <w:rsid w:val="00C109E0"/>
    <w:rsid w:val="00C11DCD"/>
    <w:rsid w:val="00C123A7"/>
    <w:rsid w:val="00C217C3"/>
    <w:rsid w:val="00C2196B"/>
    <w:rsid w:val="00C22FB2"/>
    <w:rsid w:val="00C232F6"/>
    <w:rsid w:val="00C24417"/>
    <w:rsid w:val="00C25F6E"/>
    <w:rsid w:val="00C316CD"/>
    <w:rsid w:val="00C31DF6"/>
    <w:rsid w:val="00C35997"/>
    <w:rsid w:val="00C3669D"/>
    <w:rsid w:val="00C53B59"/>
    <w:rsid w:val="00C56394"/>
    <w:rsid w:val="00C60030"/>
    <w:rsid w:val="00C6095F"/>
    <w:rsid w:val="00C647D4"/>
    <w:rsid w:val="00C65990"/>
    <w:rsid w:val="00C65C31"/>
    <w:rsid w:val="00C66226"/>
    <w:rsid w:val="00C67093"/>
    <w:rsid w:val="00C71ED8"/>
    <w:rsid w:val="00C74EDC"/>
    <w:rsid w:val="00C75040"/>
    <w:rsid w:val="00C763DD"/>
    <w:rsid w:val="00C76B78"/>
    <w:rsid w:val="00C8314C"/>
    <w:rsid w:val="00C878C3"/>
    <w:rsid w:val="00C907EB"/>
    <w:rsid w:val="00C91AA3"/>
    <w:rsid w:val="00C956FB"/>
    <w:rsid w:val="00C97F94"/>
    <w:rsid w:val="00CA4FE0"/>
    <w:rsid w:val="00CB179F"/>
    <w:rsid w:val="00CB2156"/>
    <w:rsid w:val="00CB4B23"/>
    <w:rsid w:val="00CB4D0D"/>
    <w:rsid w:val="00CB5940"/>
    <w:rsid w:val="00CB5D8A"/>
    <w:rsid w:val="00CC31B5"/>
    <w:rsid w:val="00CC3968"/>
    <w:rsid w:val="00CD0E61"/>
    <w:rsid w:val="00CD22D7"/>
    <w:rsid w:val="00CD4A17"/>
    <w:rsid w:val="00CD4DDD"/>
    <w:rsid w:val="00CD5AC6"/>
    <w:rsid w:val="00CE0FDB"/>
    <w:rsid w:val="00CE1A37"/>
    <w:rsid w:val="00CF0EAF"/>
    <w:rsid w:val="00CF21EB"/>
    <w:rsid w:val="00CF48BB"/>
    <w:rsid w:val="00CF5E7F"/>
    <w:rsid w:val="00CF5EA4"/>
    <w:rsid w:val="00CF7506"/>
    <w:rsid w:val="00CF7996"/>
    <w:rsid w:val="00D0185A"/>
    <w:rsid w:val="00D02EB9"/>
    <w:rsid w:val="00D052D8"/>
    <w:rsid w:val="00D058F1"/>
    <w:rsid w:val="00D06943"/>
    <w:rsid w:val="00D07986"/>
    <w:rsid w:val="00D10D84"/>
    <w:rsid w:val="00D13A2C"/>
    <w:rsid w:val="00D13CAB"/>
    <w:rsid w:val="00D1529E"/>
    <w:rsid w:val="00D157F8"/>
    <w:rsid w:val="00D21AF6"/>
    <w:rsid w:val="00D273EC"/>
    <w:rsid w:val="00D27C00"/>
    <w:rsid w:val="00D3147C"/>
    <w:rsid w:val="00D33181"/>
    <w:rsid w:val="00D35D40"/>
    <w:rsid w:val="00D40318"/>
    <w:rsid w:val="00D4038B"/>
    <w:rsid w:val="00D4078F"/>
    <w:rsid w:val="00D4229B"/>
    <w:rsid w:val="00D42476"/>
    <w:rsid w:val="00D452C1"/>
    <w:rsid w:val="00D516ED"/>
    <w:rsid w:val="00D527DF"/>
    <w:rsid w:val="00D5606D"/>
    <w:rsid w:val="00D56074"/>
    <w:rsid w:val="00D570AE"/>
    <w:rsid w:val="00D6246C"/>
    <w:rsid w:val="00D62C68"/>
    <w:rsid w:val="00D642FD"/>
    <w:rsid w:val="00D64C10"/>
    <w:rsid w:val="00D65623"/>
    <w:rsid w:val="00D65FD4"/>
    <w:rsid w:val="00D660E7"/>
    <w:rsid w:val="00D66656"/>
    <w:rsid w:val="00D72808"/>
    <w:rsid w:val="00D73CD3"/>
    <w:rsid w:val="00D77B22"/>
    <w:rsid w:val="00D84D2F"/>
    <w:rsid w:val="00D8540F"/>
    <w:rsid w:val="00D8717A"/>
    <w:rsid w:val="00D879F5"/>
    <w:rsid w:val="00D87B5C"/>
    <w:rsid w:val="00D924D3"/>
    <w:rsid w:val="00DA267D"/>
    <w:rsid w:val="00DA3318"/>
    <w:rsid w:val="00DA4385"/>
    <w:rsid w:val="00DA5319"/>
    <w:rsid w:val="00DA62F9"/>
    <w:rsid w:val="00DA6A92"/>
    <w:rsid w:val="00DA6E6B"/>
    <w:rsid w:val="00DB27AF"/>
    <w:rsid w:val="00DB43D1"/>
    <w:rsid w:val="00DB454E"/>
    <w:rsid w:val="00DB5A16"/>
    <w:rsid w:val="00DC31E2"/>
    <w:rsid w:val="00DC6A5E"/>
    <w:rsid w:val="00DC6B29"/>
    <w:rsid w:val="00DD0582"/>
    <w:rsid w:val="00DD1DAF"/>
    <w:rsid w:val="00DD5107"/>
    <w:rsid w:val="00DD5645"/>
    <w:rsid w:val="00DD62E2"/>
    <w:rsid w:val="00DE08B9"/>
    <w:rsid w:val="00DE4E3E"/>
    <w:rsid w:val="00DE5AAD"/>
    <w:rsid w:val="00DE79D5"/>
    <w:rsid w:val="00DF023C"/>
    <w:rsid w:val="00DF1906"/>
    <w:rsid w:val="00DF3393"/>
    <w:rsid w:val="00DF6800"/>
    <w:rsid w:val="00DF6D15"/>
    <w:rsid w:val="00DF7DB0"/>
    <w:rsid w:val="00E0343B"/>
    <w:rsid w:val="00E03523"/>
    <w:rsid w:val="00E043C9"/>
    <w:rsid w:val="00E044C2"/>
    <w:rsid w:val="00E0656D"/>
    <w:rsid w:val="00E0657F"/>
    <w:rsid w:val="00E12E8C"/>
    <w:rsid w:val="00E2014C"/>
    <w:rsid w:val="00E20851"/>
    <w:rsid w:val="00E251D0"/>
    <w:rsid w:val="00E258B5"/>
    <w:rsid w:val="00E26A1D"/>
    <w:rsid w:val="00E26EE4"/>
    <w:rsid w:val="00E319E5"/>
    <w:rsid w:val="00E34755"/>
    <w:rsid w:val="00E35ACB"/>
    <w:rsid w:val="00E35B2B"/>
    <w:rsid w:val="00E36A67"/>
    <w:rsid w:val="00E37BD1"/>
    <w:rsid w:val="00E41F74"/>
    <w:rsid w:val="00E449AB"/>
    <w:rsid w:val="00E527C9"/>
    <w:rsid w:val="00E52A8A"/>
    <w:rsid w:val="00E52C3B"/>
    <w:rsid w:val="00E54600"/>
    <w:rsid w:val="00E62901"/>
    <w:rsid w:val="00E73D65"/>
    <w:rsid w:val="00E75506"/>
    <w:rsid w:val="00E7731B"/>
    <w:rsid w:val="00E838AD"/>
    <w:rsid w:val="00E840AD"/>
    <w:rsid w:val="00E84A76"/>
    <w:rsid w:val="00E866D7"/>
    <w:rsid w:val="00E87F68"/>
    <w:rsid w:val="00E9071D"/>
    <w:rsid w:val="00E93697"/>
    <w:rsid w:val="00E94358"/>
    <w:rsid w:val="00EA1CB5"/>
    <w:rsid w:val="00EA3323"/>
    <w:rsid w:val="00EA581E"/>
    <w:rsid w:val="00EA67B1"/>
    <w:rsid w:val="00EA7AE7"/>
    <w:rsid w:val="00EB15CC"/>
    <w:rsid w:val="00EB5BF6"/>
    <w:rsid w:val="00EB736D"/>
    <w:rsid w:val="00EB741B"/>
    <w:rsid w:val="00EC03A7"/>
    <w:rsid w:val="00EC03FB"/>
    <w:rsid w:val="00EC0C8E"/>
    <w:rsid w:val="00EC15A8"/>
    <w:rsid w:val="00EC3B93"/>
    <w:rsid w:val="00EC47AA"/>
    <w:rsid w:val="00ED0E34"/>
    <w:rsid w:val="00ED5318"/>
    <w:rsid w:val="00ED7B28"/>
    <w:rsid w:val="00EE17FF"/>
    <w:rsid w:val="00EE3A22"/>
    <w:rsid w:val="00EE4745"/>
    <w:rsid w:val="00EE6419"/>
    <w:rsid w:val="00EE6A79"/>
    <w:rsid w:val="00EF46E2"/>
    <w:rsid w:val="00EF4753"/>
    <w:rsid w:val="00F00A5A"/>
    <w:rsid w:val="00F01971"/>
    <w:rsid w:val="00F02FAA"/>
    <w:rsid w:val="00F03612"/>
    <w:rsid w:val="00F068D0"/>
    <w:rsid w:val="00F0702F"/>
    <w:rsid w:val="00F07776"/>
    <w:rsid w:val="00F07D6C"/>
    <w:rsid w:val="00F13D5B"/>
    <w:rsid w:val="00F163AE"/>
    <w:rsid w:val="00F209B9"/>
    <w:rsid w:val="00F20BD8"/>
    <w:rsid w:val="00F22173"/>
    <w:rsid w:val="00F24085"/>
    <w:rsid w:val="00F26B3F"/>
    <w:rsid w:val="00F30281"/>
    <w:rsid w:val="00F30CD0"/>
    <w:rsid w:val="00F30F09"/>
    <w:rsid w:val="00F34B97"/>
    <w:rsid w:val="00F3546F"/>
    <w:rsid w:val="00F362F8"/>
    <w:rsid w:val="00F369ED"/>
    <w:rsid w:val="00F37972"/>
    <w:rsid w:val="00F40257"/>
    <w:rsid w:val="00F41253"/>
    <w:rsid w:val="00F42BFA"/>
    <w:rsid w:val="00F44382"/>
    <w:rsid w:val="00F44DAD"/>
    <w:rsid w:val="00F460F0"/>
    <w:rsid w:val="00F4681D"/>
    <w:rsid w:val="00F54530"/>
    <w:rsid w:val="00F54CC0"/>
    <w:rsid w:val="00F55DFA"/>
    <w:rsid w:val="00F57561"/>
    <w:rsid w:val="00F60161"/>
    <w:rsid w:val="00F609B8"/>
    <w:rsid w:val="00F61BD6"/>
    <w:rsid w:val="00F627EB"/>
    <w:rsid w:val="00F639E3"/>
    <w:rsid w:val="00F64DF1"/>
    <w:rsid w:val="00F7127F"/>
    <w:rsid w:val="00F7136B"/>
    <w:rsid w:val="00F7370A"/>
    <w:rsid w:val="00F75484"/>
    <w:rsid w:val="00F756E4"/>
    <w:rsid w:val="00F75D8D"/>
    <w:rsid w:val="00F814A7"/>
    <w:rsid w:val="00F83191"/>
    <w:rsid w:val="00F83216"/>
    <w:rsid w:val="00F83980"/>
    <w:rsid w:val="00F85A6B"/>
    <w:rsid w:val="00F86A40"/>
    <w:rsid w:val="00F9070C"/>
    <w:rsid w:val="00F9182A"/>
    <w:rsid w:val="00F93B72"/>
    <w:rsid w:val="00F95F92"/>
    <w:rsid w:val="00FA7E8F"/>
    <w:rsid w:val="00FB0459"/>
    <w:rsid w:val="00FB56B2"/>
    <w:rsid w:val="00FB7F80"/>
    <w:rsid w:val="00FC0726"/>
    <w:rsid w:val="00FC3C9F"/>
    <w:rsid w:val="00FC6510"/>
    <w:rsid w:val="00FD34AE"/>
    <w:rsid w:val="00FD3A57"/>
    <w:rsid w:val="00FD3F34"/>
    <w:rsid w:val="00FD4E0D"/>
    <w:rsid w:val="00FD5470"/>
    <w:rsid w:val="00FD745C"/>
    <w:rsid w:val="00FD7A3A"/>
    <w:rsid w:val="00FE1628"/>
    <w:rsid w:val="00FE1759"/>
    <w:rsid w:val="00FE4422"/>
    <w:rsid w:val="00FE4CCE"/>
    <w:rsid w:val="00FE532A"/>
    <w:rsid w:val="00FF2379"/>
    <w:rsid w:val="00FF4857"/>
    <w:rsid w:val="00FF4A2E"/>
    <w:rsid w:val="00FF6D69"/>
    <w:rsid w:val="142631A6"/>
    <w:rsid w:val="161A0108"/>
    <w:rsid w:val="1B4030D7"/>
    <w:rsid w:val="1C2507D9"/>
    <w:rsid w:val="20CA653B"/>
    <w:rsid w:val="235822A6"/>
    <w:rsid w:val="24342B56"/>
    <w:rsid w:val="37E10CD2"/>
    <w:rsid w:val="38AC41A0"/>
    <w:rsid w:val="3D014158"/>
    <w:rsid w:val="41F30DBB"/>
    <w:rsid w:val="44C958B7"/>
    <w:rsid w:val="45D471E6"/>
    <w:rsid w:val="4A767548"/>
    <w:rsid w:val="4C323943"/>
    <w:rsid w:val="53025078"/>
    <w:rsid w:val="566F344D"/>
    <w:rsid w:val="593B28A8"/>
    <w:rsid w:val="5AEE74A6"/>
    <w:rsid w:val="63716114"/>
    <w:rsid w:val="64F76AE8"/>
    <w:rsid w:val="656B1338"/>
    <w:rsid w:val="6BB73461"/>
    <w:rsid w:val="6FAE395C"/>
    <w:rsid w:val="702603CC"/>
    <w:rsid w:val="713315CA"/>
    <w:rsid w:val="729B1611"/>
    <w:rsid w:val="734C3358"/>
    <w:rsid w:val="739637F5"/>
    <w:rsid w:val="75F02CD1"/>
    <w:rsid w:val="780E3485"/>
    <w:rsid w:val="7D480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nhideWhenUsed="0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semiHidden="0" w:name="annotation reference"/>
    <w:lsdException w:uiPriority="99" w:name="line number"/>
    <w:lsdException w:qFormat="1" w:uiPriority="99" w:semiHidden="0" w:name="page number"/>
    <w:lsdException w:qFormat="1" w:uiPriority="99" w:semiHidden="0" w:name="endnote reference"/>
    <w:lsdException w:qFormat="1" w:uiPriority="99" w:semiHidden="0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iPriority="29" w:name="Quote"/>
    <w:lsdException w:qFormat="1" w:uiPriority="3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宋体"/>
      <w:color w:val="000000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45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46"/>
    <w:qFormat/>
    <w:uiPriority w:val="9"/>
    <w:pPr>
      <w:keepNext/>
      <w:keepLines/>
      <w:spacing w:before="260" w:after="260" w:line="416" w:lineRule="auto"/>
      <w:outlineLvl w:val="1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4">
    <w:name w:val="heading 3"/>
    <w:basedOn w:val="1"/>
    <w:next w:val="1"/>
    <w:link w:val="47"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link w:val="48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color w:val="auto"/>
      <w:sz w:val="28"/>
      <w:szCs w:val="28"/>
    </w:rPr>
  </w:style>
  <w:style w:type="paragraph" w:styleId="6">
    <w:name w:val="heading 5"/>
    <w:basedOn w:val="1"/>
    <w:next w:val="1"/>
    <w:link w:val="49"/>
    <w:qFormat/>
    <w:uiPriority w:val="9"/>
    <w:pPr>
      <w:keepNext/>
      <w:keepLines/>
      <w:tabs>
        <w:tab w:val="left" w:pos="420"/>
      </w:tabs>
      <w:spacing w:line="384" w:lineRule="exact"/>
      <w:ind w:firstLine="721" w:firstLineChars="200"/>
      <w:outlineLvl w:val="4"/>
    </w:pPr>
    <w:rPr>
      <w:rFonts w:eastAsia="汉仪中黑简"/>
      <w:bCs/>
    </w:rPr>
  </w:style>
  <w:style w:type="paragraph" w:styleId="7">
    <w:name w:val="heading 6"/>
    <w:basedOn w:val="1"/>
    <w:next w:val="1"/>
    <w:link w:val="141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="等线" w:hAnsi="等线" w:eastAsia="等线" w:cs="Times New Roman"/>
      <w:b/>
      <w:bCs/>
      <w:color w:val="0F4761"/>
      <w:kern w:val="0"/>
      <w:sz w:val="20"/>
      <w:szCs w:val="20"/>
    </w:rPr>
  </w:style>
  <w:style w:type="paragraph" w:styleId="8">
    <w:name w:val="heading 7"/>
    <w:basedOn w:val="1"/>
    <w:next w:val="1"/>
    <w:link w:val="142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rFonts w:ascii="等线" w:hAnsi="等线" w:eastAsia="等线" w:cs="Times New Roman"/>
      <w:b/>
      <w:bCs/>
      <w:color w:val="595959"/>
      <w:kern w:val="0"/>
      <w:sz w:val="20"/>
      <w:szCs w:val="20"/>
    </w:rPr>
  </w:style>
  <w:style w:type="paragraph" w:styleId="9">
    <w:name w:val="heading 8"/>
    <w:basedOn w:val="1"/>
    <w:next w:val="1"/>
    <w:link w:val="143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="等线" w:hAnsi="等线" w:eastAsia="等线" w:cs="Times New Roman"/>
      <w:color w:val="595959"/>
      <w:kern w:val="0"/>
      <w:sz w:val="20"/>
      <w:szCs w:val="20"/>
    </w:rPr>
  </w:style>
  <w:style w:type="paragraph" w:styleId="10">
    <w:name w:val="heading 9"/>
    <w:basedOn w:val="1"/>
    <w:next w:val="1"/>
    <w:link w:val="144"/>
    <w:semiHidden/>
    <w:unhideWhenUsed/>
    <w:qFormat/>
    <w:uiPriority w:val="9"/>
    <w:pPr>
      <w:keepNext/>
      <w:keepLines/>
      <w:spacing w:before="240" w:after="64" w:line="320" w:lineRule="auto"/>
      <w:outlineLvl w:val="8"/>
    </w:pPr>
    <w:rPr>
      <w:rFonts w:ascii="等线" w:hAnsi="等线" w:eastAsia="等线 Light" w:cs="Times New Roman"/>
      <w:color w:val="595959"/>
      <w:kern w:val="0"/>
      <w:sz w:val="20"/>
      <w:szCs w:val="20"/>
    </w:rPr>
  </w:style>
  <w:style w:type="character" w:default="1" w:styleId="36">
    <w:name w:val="Default Paragraph Font"/>
    <w:semiHidden/>
    <w:unhideWhenUsed/>
    <w:qFormat/>
    <w:uiPriority w:val="1"/>
  </w:style>
  <w:style w:type="table" w:default="1" w:styleId="3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ind w:left="1260"/>
    </w:pPr>
  </w:style>
  <w:style w:type="paragraph" w:styleId="12">
    <w:name w:val="Document Map"/>
    <w:basedOn w:val="1"/>
    <w:link w:val="50"/>
    <w:unhideWhenUsed/>
    <w:qFormat/>
    <w:uiPriority w:val="99"/>
    <w:rPr>
      <w:sz w:val="24"/>
      <w:szCs w:val="24"/>
    </w:rPr>
  </w:style>
  <w:style w:type="paragraph" w:styleId="13">
    <w:name w:val="annotation text"/>
    <w:basedOn w:val="1"/>
    <w:link w:val="51"/>
    <w:unhideWhenUsed/>
    <w:qFormat/>
    <w:uiPriority w:val="99"/>
    <w:pPr>
      <w:jc w:val="left"/>
    </w:pPr>
  </w:style>
  <w:style w:type="paragraph" w:styleId="14">
    <w:name w:val="toc 5"/>
    <w:basedOn w:val="1"/>
    <w:next w:val="1"/>
    <w:unhideWhenUsed/>
    <w:qFormat/>
    <w:uiPriority w:val="39"/>
    <w:pPr>
      <w:ind w:left="840"/>
    </w:pPr>
  </w:style>
  <w:style w:type="paragraph" w:styleId="15">
    <w:name w:val="toc 3"/>
    <w:basedOn w:val="1"/>
    <w:next w:val="1"/>
    <w:unhideWhenUsed/>
    <w:qFormat/>
    <w:uiPriority w:val="39"/>
    <w:pPr>
      <w:ind w:left="420"/>
    </w:pPr>
  </w:style>
  <w:style w:type="paragraph" w:styleId="16">
    <w:name w:val="Plain Text"/>
    <w:basedOn w:val="1"/>
    <w:link w:val="52"/>
    <w:unhideWhenUsed/>
    <w:qFormat/>
    <w:uiPriority w:val="99"/>
    <w:rPr>
      <w:rFonts w:hAnsi="Courier New" w:cs="Courier New"/>
      <w:kern w:val="0"/>
      <w:sz w:val="20"/>
    </w:rPr>
  </w:style>
  <w:style w:type="paragraph" w:styleId="17">
    <w:name w:val="toc 8"/>
    <w:basedOn w:val="1"/>
    <w:next w:val="1"/>
    <w:unhideWhenUsed/>
    <w:qFormat/>
    <w:uiPriority w:val="39"/>
    <w:pPr>
      <w:ind w:left="1470"/>
    </w:pPr>
  </w:style>
  <w:style w:type="paragraph" w:styleId="18">
    <w:name w:val="Date"/>
    <w:basedOn w:val="1"/>
    <w:next w:val="1"/>
    <w:link w:val="53"/>
    <w:unhideWhenUsed/>
    <w:qFormat/>
    <w:uiPriority w:val="99"/>
    <w:pPr>
      <w:ind w:left="100" w:leftChars="2500"/>
    </w:pPr>
    <w:rPr>
      <w:rFonts w:ascii="等线" w:hAnsi="等线" w:eastAsia="等线" w:cs="Times New Roman"/>
      <w:color w:val="auto"/>
      <w:szCs w:val="22"/>
    </w:rPr>
  </w:style>
  <w:style w:type="paragraph" w:styleId="19">
    <w:name w:val="endnote text"/>
    <w:basedOn w:val="1"/>
    <w:link w:val="54"/>
    <w:unhideWhenUsed/>
    <w:qFormat/>
    <w:uiPriority w:val="99"/>
    <w:pPr>
      <w:tabs>
        <w:tab w:val="left" w:pos="420"/>
      </w:tabs>
      <w:snapToGrid w:val="0"/>
      <w:spacing w:line="384" w:lineRule="exact"/>
      <w:ind w:firstLine="721" w:firstLineChars="200"/>
      <w:jc w:val="left"/>
    </w:pPr>
    <w:rPr>
      <w:rFonts w:eastAsia="汉仪书宋二简"/>
    </w:rPr>
  </w:style>
  <w:style w:type="paragraph" w:styleId="20">
    <w:name w:val="Balloon Text"/>
    <w:basedOn w:val="1"/>
    <w:link w:val="55"/>
    <w:unhideWhenUsed/>
    <w:qFormat/>
    <w:uiPriority w:val="99"/>
    <w:rPr>
      <w:sz w:val="18"/>
      <w:szCs w:val="18"/>
    </w:rPr>
  </w:style>
  <w:style w:type="paragraph" w:styleId="21">
    <w:name w:val="footer"/>
    <w:basedOn w:val="1"/>
    <w:link w:val="5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2">
    <w:name w:val="header"/>
    <w:basedOn w:val="1"/>
    <w:link w:val="5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3">
    <w:name w:val="toc 1"/>
    <w:basedOn w:val="1"/>
    <w:next w:val="1"/>
    <w:unhideWhenUsed/>
    <w:qFormat/>
    <w:uiPriority w:val="39"/>
  </w:style>
  <w:style w:type="paragraph" w:styleId="24">
    <w:name w:val="toc 4"/>
    <w:basedOn w:val="1"/>
    <w:next w:val="1"/>
    <w:unhideWhenUsed/>
    <w:qFormat/>
    <w:uiPriority w:val="39"/>
    <w:pPr>
      <w:ind w:left="630"/>
    </w:pPr>
  </w:style>
  <w:style w:type="paragraph" w:styleId="25">
    <w:name w:val="Subtitle"/>
    <w:basedOn w:val="1"/>
    <w:next w:val="1"/>
    <w:link w:val="58"/>
    <w:qFormat/>
    <w:uiPriority w:val="11"/>
    <w:pPr>
      <w:spacing w:before="240" w:after="60" w:line="312" w:lineRule="auto"/>
      <w:jc w:val="center"/>
      <w:outlineLvl w:val="1"/>
    </w:pPr>
    <w:rPr>
      <w:rFonts w:ascii="等线" w:hAnsi="等线" w:eastAsia="等线" w:cs="Times New Roman"/>
      <w:b/>
      <w:bCs/>
      <w:color w:val="auto"/>
      <w:kern w:val="28"/>
      <w:sz w:val="32"/>
      <w:szCs w:val="32"/>
    </w:rPr>
  </w:style>
  <w:style w:type="paragraph" w:styleId="26">
    <w:name w:val="footnote text"/>
    <w:basedOn w:val="1"/>
    <w:link w:val="59"/>
    <w:unhideWhenUsed/>
    <w:qFormat/>
    <w:uiPriority w:val="99"/>
    <w:pPr>
      <w:snapToGrid w:val="0"/>
      <w:jc w:val="left"/>
    </w:pPr>
    <w:rPr>
      <w:sz w:val="18"/>
    </w:rPr>
  </w:style>
  <w:style w:type="paragraph" w:styleId="27">
    <w:name w:val="toc 6"/>
    <w:basedOn w:val="1"/>
    <w:next w:val="1"/>
    <w:unhideWhenUsed/>
    <w:qFormat/>
    <w:uiPriority w:val="39"/>
    <w:pPr>
      <w:ind w:left="1050"/>
    </w:pPr>
  </w:style>
  <w:style w:type="paragraph" w:styleId="28">
    <w:name w:val="toc 2"/>
    <w:basedOn w:val="1"/>
    <w:next w:val="1"/>
    <w:unhideWhenUsed/>
    <w:qFormat/>
    <w:uiPriority w:val="39"/>
    <w:pPr>
      <w:ind w:left="210"/>
    </w:pPr>
  </w:style>
  <w:style w:type="paragraph" w:styleId="29">
    <w:name w:val="toc 9"/>
    <w:basedOn w:val="1"/>
    <w:next w:val="1"/>
    <w:unhideWhenUsed/>
    <w:qFormat/>
    <w:uiPriority w:val="39"/>
    <w:pPr>
      <w:ind w:left="1680"/>
    </w:pPr>
  </w:style>
  <w:style w:type="paragraph" w:styleId="30">
    <w:name w:val="HTML Preformatted"/>
    <w:basedOn w:val="1"/>
    <w:link w:val="60"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eastAsia="等线" w:cs="Courier New"/>
      <w:color w:val="auto"/>
      <w:kern w:val="0"/>
      <w:sz w:val="20"/>
      <w:szCs w:val="20"/>
    </w:rPr>
  </w:style>
  <w:style w:type="paragraph" w:styleId="31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paragraph" w:styleId="32">
    <w:name w:val="Title"/>
    <w:basedOn w:val="1"/>
    <w:next w:val="1"/>
    <w:link w:val="61"/>
    <w:qFormat/>
    <w:uiPriority w:val="10"/>
    <w:pPr>
      <w:spacing w:before="240" w:after="60"/>
      <w:jc w:val="center"/>
      <w:outlineLvl w:val="0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3">
    <w:name w:val="annotation subject"/>
    <w:basedOn w:val="13"/>
    <w:next w:val="13"/>
    <w:link w:val="62"/>
    <w:unhideWhenUsed/>
    <w:qFormat/>
    <w:uiPriority w:val="99"/>
    <w:rPr>
      <w:b/>
      <w:bCs/>
    </w:rPr>
  </w:style>
  <w:style w:type="table" w:styleId="35">
    <w:name w:val="Table Grid"/>
    <w:basedOn w:val="34"/>
    <w:qFormat/>
    <w:uiPriority w:val="39"/>
    <w:rPr>
      <w:rFonts w:ascii="等线" w:hAnsi="等线" w:eastAsia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7">
    <w:name w:val="Strong"/>
    <w:qFormat/>
    <w:uiPriority w:val="22"/>
    <w:rPr>
      <w:b/>
    </w:rPr>
  </w:style>
  <w:style w:type="character" w:styleId="38">
    <w:name w:val="endnote reference"/>
    <w:basedOn w:val="36"/>
    <w:unhideWhenUsed/>
    <w:qFormat/>
    <w:uiPriority w:val="99"/>
    <w:rPr>
      <w:vertAlign w:val="superscript"/>
    </w:rPr>
  </w:style>
  <w:style w:type="character" w:styleId="39">
    <w:name w:val="page number"/>
    <w:basedOn w:val="36"/>
    <w:unhideWhenUsed/>
    <w:qFormat/>
    <w:uiPriority w:val="99"/>
  </w:style>
  <w:style w:type="character" w:styleId="40">
    <w:name w:val="FollowedHyperlink"/>
    <w:basedOn w:val="36"/>
    <w:unhideWhenUsed/>
    <w:qFormat/>
    <w:uiPriority w:val="99"/>
    <w:rPr>
      <w:color w:val="954F72"/>
      <w:u w:val="single"/>
    </w:rPr>
  </w:style>
  <w:style w:type="character" w:styleId="41">
    <w:name w:val="Emphasis"/>
    <w:basedOn w:val="36"/>
    <w:qFormat/>
    <w:uiPriority w:val="20"/>
    <w:rPr>
      <w:i/>
      <w:iCs/>
    </w:rPr>
  </w:style>
  <w:style w:type="character" w:styleId="42">
    <w:name w:val="Hyperlink"/>
    <w:basedOn w:val="36"/>
    <w:unhideWhenUsed/>
    <w:qFormat/>
    <w:uiPriority w:val="99"/>
    <w:rPr>
      <w:color w:val="0563C1"/>
      <w:u w:val="single"/>
    </w:rPr>
  </w:style>
  <w:style w:type="character" w:styleId="43">
    <w:name w:val="annotation reference"/>
    <w:basedOn w:val="36"/>
    <w:unhideWhenUsed/>
    <w:qFormat/>
    <w:uiPriority w:val="99"/>
    <w:rPr>
      <w:sz w:val="21"/>
      <w:szCs w:val="21"/>
    </w:rPr>
  </w:style>
  <w:style w:type="character" w:styleId="44">
    <w:name w:val="footnote reference"/>
    <w:basedOn w:val="36"/>
    <w:unhideWhenUsed/>
    <w:qFormat/>
    <w:uiPriority w:val="99"/>
    <w:rPr>
      <w:vertAlign w:val="superscript"/>
    </w:rPr>
  </w:style>
  <w:style w:type="character" w:customStyle="1" w:styleId="45">
    <w:name w:val="标题 1 字符"/>
    <w:link w:val="2"/>
    <w:qFormat/>
    <w:uiPriority w:val="9"/>
    <w:rPr>
      <w:b/>
      <w:bCs/>
      <w:kern w:val="44"/>
      <w:sz w:val="44"/>
      <w:szCs w:val="44"/>
    </w:rPr>
  </w:style>
  <w:style w:type="character" w:customStyle="1" w:styleId="46">
    <w:name w:val="标题 2 字符"/>
    <w:basedOn w:val="36"/>
    <w:link w:val="3"/>
    <w:qFormat/>
    <w:uiPriority w:val="9"/>
    <w:rPr>
      <w:rFonts w:ascii="等线 Light" w:hAnsi="等线 Light" w:eastAsia="等线 Light" w:cs="Times New Roman"/>
      <w:b/>
      <w:bCs/>
      <w:kern w:val="2"/>
      <w:sz w:val="32"/>
      <w:szCs w:val="32"/>
    </w:rPr>
  </w:style>
  <w:style w:type="character" w:customStyle="1" w:styleId="47">
    <w:name w:val="标题 3 字符"/>
    <w:basedOn w:val="36"/>
    <w:link w:val="4"/>
    <w:qFormat/>
    <w:uiPriority w:val="9"/>
    <w:rPr>
      <w:rFonts w:hint="eastAsia" w:ascii="宋体" w:hAnsi="宋体" w:eastAsia="宋体" w:cs="宋体"/>
      <w:b/>
      <w:kern w:val="2"/>
      <w:sz w:val="32"/>
      <w:szCs w:val="32"/>
    </w:rPr>
  </w:style>
  <w:style w:type="character" w:customStyle="1" w:styleId="48">
    <w:name w:val="标题 4 字符"/>
    <w:basedOn w:val="36"/>
    <w:link w:val="5"/>
    <w:qFormat/>
    <w:uiPriority w:val="9"/>
    <w:rPr>
      <w:rFonts w:ascii="Cambria" w:hAnsi="Cambria" w:cs="宋体"/>
      <w:b/>
      <w:bCs/>
      <w:kern w:val="2"/>
      <w:sz w:val="28"/>
      <w:szCs w:val="28"/>
    </w:rPr>
  </w:style>
  <w:style w:type="character" w:customStyle="1" w:styleId="49">
    <w:name w:val="标题 5 字符"/>
    <w:basedOn w:val="36"/>
    <w:link w:val="6"/>
    <w:qFormat/>
    <w:uiPriority w:val="9"/>
    <w:rPr>
      <w:rFonts w:ascii="宋体" w:hAnsi="宋体" w:eastAsia="汉仪中黑简" w:cs="宋体"/>
      <w:bCs/>
      <w:color w:val="000000"/>
      <w:kern w:val="2"/>
      <w:sz w:val="21"/>
      <w:szCs w:val="21"/>
    </w:rPr>
  </w:style>
  <w:style w:type="character" w:customStyle="1" w:styleId="50">
    <w:name w:val="文档结构图 字符"/>
    <w:basedOn w:val="36"/>
    <w:link w:val="12"/>
    <w:qFormat/>
    <w:uiPriority w:val="99"/>
    <w:rPr>
      <w:rFonts w:ascii="宋体" w:hAnsi="宋体" w:cs="宋体"/>
      <w:color w:val="000000"/>
      <w:kern w:val="2"/>
      <w:sz w:val="24"/>
      <w:szCs w:val="24"/>
    </w:rPr>
  </w:style>
  <w:style w:type="character" w:customStyle="1" w:styleId="51">
    <w:name w:val="批注文字 字符"/>
    <w:basedOn w:val="36"/>
    <w:link w:val="13"/>
    <w:qFormat/>
    <w:uiPriority w:val="99"/>
    <w:rPr>
      <w:rFonts w:ascii="宋体" w:hAnsi="宋体" w:cs="宋体"/>
      <w:color w:val="000000"/>
      <w:kern w:val="2"/>
      <w:sz w:val="21"/>
      <w:szCs w:val="21"/>
    </w:rPr>
  </w:style>
  <w:style w:type="character" w:customStyle="1" w:styleId="52">
    <w:name w:val="纯文本 字符"/>
    <w:link w:val="16"/>
    <w:qFormat/>
    <w:uiPriority w:val="99"/>
    <w:rPr>
      <w:rFonts w:ascii="宋体" w:hAnsi="Courier New" w:cs="Courier New"/>
      <w:szCs w:val="21"/>
    </w:rPr>
  </w:style>
  <w:style w:type="character" w:customStyle="1" w:styleId="53">
    <w:name w:val="日期 字符"/>
    <w:basedOn w:val="36"/>
    <w:link w:val="18"/>
    <w:qFormat/>
    <w:uiPriority w:val="99"/>
    <w:rPr>
      <w:rFonts w:ascii="等线" w:hAnsi="等线" w:eastAsia="等线" w:cs="Times New Roman"/>
      <w:kern w:val="2"/>
      <w:sz w:val="21"/>
      <w:szCs w:val="22"/>
    </w:rPr>
  </w:style>
  <w:style w:type="character" w:customStyle="1" w:styleId="54">
    <w:name w:val="尾注文本 字符"/>
    <w:basedOn w:val="36"/>
    <w:link w:val="19"/>
    <w:qFormat/>
    <w:uiPriority w:val="99"/>
    <w:rPr>
      <w:rFonts w:ascii="宋体" w:hAnsi="宋体" w:eastAsia="汉仪书宋二简" w:cs="宋体"/>
      <w:color w:val="000000"/>
      <w:kern w:val="2"/>
      <w:sz w:val="21"/>
      <w:szCs w:val="21"/>
    </w:rPr>
  </w:style>
  <w:style w:type="character" w:customStyle="1" w:styleId="55">
    <w:name w:val="批注框文本 字符"/>
    <w:basedOn w:val="36"/>
    <w:link w:val="20"/>
    <w:qFormat/>
    <w:uiPriority w:val="99"/>
    <w:rPr>
      <w:rFonts w:ascii="宋体" w:hAnsi="宋体" w:cs="宋体"/>
      <w:color w:val="000000"/>
      <w:kern w:val="2"/>
      <w:sz w:val="18"/>
      <w:szCs w:val="18"/>
    </w:rPr>
  </w:style>
  <w:style w:type="character" w:customStyle="1" w:styleId="56">
    <w:name w:val="页脚 字符"/>
    <w:basedOn w:val="36"/>
    <w:link w:val="21"/>
    <w:qFormat/>
    <w:uiPriority w:val="99"/>
    <w:rPr>
      <w:rFonts w:ascii="宋体" w:hAnsi="宋体" w:cs="宋体"/>
      <w:color w:val="000000"/>
      <w:kern w:val="2"/>
      <w:sz w:val="18"/>
      <w:szCs w:val="18"/>
    </w:rPr>
  </w:style>
  <w:style w:type="character" w:customStyle="1" w:styleId="57">
    <w:name w:val="页眉 字符"/>
    <w:basedOn w:val="36"/>
    <w:link w:val="22"/>
    <w:qFormat/>
    <w:uiPriority w:val="99"/>
    <w:rPr>
      <w:rFonts w:ascii="宋体" w:hAnsi="宋体" w:cs="宋体"/>
      <w:color w:val="000000"/>
      <w:kern w:val="2"/>
      <w:sz w:val="18"/>
      <w:szCs w:val="18"/>
    </w:rPr>
  </w:style>
  <w:style w:type="character" w:customStyle="1" w:styleId="58">
    <w:name w:val="副标题 字符"/>
    <w:basedOn w:val="36"/>
    <w:link w:val="25"/>
    <w:qFormat/>
    <w:uiPriority w:val="11"/>
    <w:rPr>
      <w:rFonts w:ascii="等线" w:hAnsi="等线" w:eastAsia="等线" w:cs="Times New Roman"/>
      <w:b/>
      <w:bCs/>
      <w:kern w:val="28"/>
      <w:sz w:val="32"/>
      <w:szCs w:val="32"/>
    </w:rPr>
  </w:style>
  <w:style w:type="character" w:customStyle="1" w:styleId="59">
    <w:name w:val="脚注文本 字符"/>
    <w:basedOn w:val="36"/>
    <w:link w:val="26"/>
    <w:qFormat/>
    <w:uiPriority w:val="99"/>
    <w:rPr>
      <w:rFonts w:hint="eastAsia" w:ascii="宋体" w:hAnsi="宋体" w:eastAsia="宋体" w:cs="宋体"/>
      <w:kern w:val="2"/>
      <w:sz w:val="18"/>
      <w:szCs w:val="18"/>
    </w:rPr>
  </w:style>
  <w:style w:type="character" w:customStyle="1" w:styleId="60">
    <w:name w:val="HTML 预设格式 字符"/>
    <w:basedOn w:val="36"/>
    <w:link w:val="30"/>
    <w:qFormat/>
    <w:uiPriority w:val="99"/>
    <w:rPr>
      <w:rFonts w:ascii="Courier New" w:hAnsi="Courier New" w:eastAsia="等线" w:cs="Courier New"/>
    </w:rPr>
  </w:style>
  <w:style w:type="character" w:customStyle="1" w:styleId="61">
    <w:name w:val="标题 字符"/>
    <w:basedOn w:val="36"/>
    <w:link w:val="32"/>
    <w:qFormat/>
    <w:uiPriority w:val="10"/>
    <w:rPr>
      <w:rFonts w:ascii="等线 Light" w:hAnsi="等线 Light" w:eastAsia="等线 Light" w:cs="Times New Roman"/>
      <w:b/>
      <w:bCs/>
      <w:color w:val="000000"/>
      <w:kern w:val="2"/>
      <w:sz w:val="32"/>
      <w:szCs w:val="32"/>
    </w:rPr>
  </w:style>
  <w:style w:type="character" w:customStyle="1" w:styleId="62">
    <w:name w:val="批注主题 字符"/>
    <w:basedOn w:val="51"/>
    <w:link w:val="33"/>
    <w:qFormat/>
    <w:uiPriority w:val="99"/>
    <w:rPr>
      <w:rFonts w:ascii="宋体" w:hAnsi="宋体" w:cs="宋体"/>
      <w:b/>
      <w:bCs/>
      <w:color w:val="000000"/>
      <w:kern w:val="2"/>
      <w:sz w:val="21"/>
      <w:szCs w:val="21"/>
    </w:rPr>
  </w:style>
  <w:style w:type="paragraph" w:styleId="63">
    <w:name w:val="List Paragraph"/>
    <w:basedOn w:val="1"/>
    <w:qFormat/>
    <w:uiPriority w:val="34"/>
    <w:pPr>
      <w:ind w:firstLine="420" w:firstLineChars="200"/>
    </w:pPr>
  </w:style>
  <w:style w:type="table" w:customStyle="1" w:styleId="64">
    <w:name w:val="网格型1"/>
    <w:basedOn w:val="34"/>
    <w:qFormat/>
    <w:uiPriority w:val="0"/>
    <w:rPr>
      <w:rFonts w:ascii="等线" w:hAnsi="等线" w:eastAsia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5">
    <w:name w:val="msolistparagraph"/>
    <w:basedOn w:val="1"/>
    <w:qFormat/>
    <w:uiPriority w:val="0"/>
    <w:pPr>
      <w:ind w:firstLine="420" w:firstLineChars="200"/>
    </w:pPr>
    <w:rPr>
      <w:rFonts w:hint="eastAsia" w:cs="Times New Roman"/>
      <w:sz w:val="24"/>
      <w:szCs w:val="24"/>
    </w:rPr>
  </w:style>
  <w:style w:type="character" w:customStyle="1" w:styleId="66">
    <w:name w:val="页脚 字符1"/>
    <w:basedOn w:val="36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67">
    <w:name w:val="批注框文本 字符1"/>
    <w:basedOn w:val="36"/>
    <w:semiHidden/>
    <w:qFormat/>
    <w:uiPriority w:val="99"/>
    <w:rPr>
      <w:rFonts w:ascii="宋体" w:hAnsi="Calibri" w:eastAsia="宋体" w:cs="Times New Roman"/>
      <w:sz w:val="18"/>
      <w:szCs w:val="18"/>
    </w:rPr>
  </w:style>
  <w:style w:type="character" w:customStyle="1" w:styleId="68">
    <w:name w:val="文档结构图 字符1"/>
    <w:basedOn w:val="36"/>
    <w:semiHidden/>
    <w:qFormat/>
    <w:uiPriority w:val="99"/>
    <w:rPr>
      <w:rFonts w:ascii="ACADEMY ENGRAVED LET PLAIN:1.0" w:hAnsi="ACADEMY ENGRAVED LET PLAIN:1.0" w:eastAsia="宋体" w:cs="Times New Roman"/>
      <w:sz w:val="26"/>
      <w:szCs w:val="26"/>
    </w:rPr>
  </w:style>
  <w:style w:type="character" w:customStyle="1" w:styleId="69">
    <w:name w:val="纯文本 字符1"/>
    <w:basedOn w:val="36"/>
    <w:qFormat/>
    <w:uiPriority w:val="99"/>
    <w:rPr>
      <w:rFonts w:ascii="等线" w:hAnsi="Courier New" w:cs="Courier New"/>
      <w:sz w:val="21"/>
    </w:rPr>
  </w:style>
  <w:style w:type="character" w:customStyle="1" w:styleId="70">
    <w:name w:val="脚注文本 字符1"/>
    <w:basedOn w:val="36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71">
    <w:name w:val="页眉 字符1"/>
    <w:basedOn w:val="36"/>
    <w:semiHidden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72">
    <w:name w:val="列出段落1"/>
    <w:basedOn w:val="1"/>
    <w:qFormat/>
    <w:uiPriority w:val="34"/>
    <w:pPr>
      <w:ind w:firstLine="420" w:firstLineChars="200"/>
    </w:pPr>
    <w:rPr>
      <w:rFonts w:ascii="Calibri" w:hAnsi="Calibri" w:cs="Times New Roman"/>
      <w:color w:val="auto"/>
      <w:szCs w:val="24"/>
    </w:rPr>
  </w:style>
  <w:style w:type="paragraph" w:customStyle="1" w:styleId="73">
    <w:name w:val="无间隔1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74">
    <w:name w:val="列出段落11"/>
    <w:basedOn w:val="1"/>
    <w:qFormat/>
    <w:uiPriority w:val="34"/>
    <w:pPr>
      <w:ind w:firstLine="420" w:firstLineChars="200"/>
    </w:pPr>
    <w:rPr>
      <w:rFonts w:ascii="Calibri" w:hAnsi="Calibri" w:cs="Times New Roman"/>
      <w:color w:val="auto"/>
      <w:szCs w:val="24"/>
    </w:rPr>
  </w:style>
  <w:style w:type="table" w:customStyle="1" w:styleId="75">
    <w:name w:val="Table Normal"/>
    <w:qFormat/>
    <w:uiPriority w:val="0"/>
    <w:rPr>
      <w:rFonts w:eastAsia="等线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76">
    <w:name w:val="无"/>
    <w:qFormat/>
    <w:uiPriority w:val="0"/>
  </w:style>
  <w:style w:type="table" w:customStyle="1" w:styleId="77">
    <w:name w:val="Table Normal1"/>
    <w:qFormat/>
    <w:uiPriority w:val="0"/>
    <w:rPr>
      <w:rFonts w:eastAsia="等线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78">
    <w:name w:val="Hyperlink.1"/>
    <w:basedOn w:val="76"/>
    <w:qFormat/>
    <w:uiPriority w:val="0"/>
    <w:rPr>
      <w:rFonts w:ascii="宋体" w:hAnsi="宋体" w:eastAsia="宋体" w:cs="宋体"/>
      <w:color w:val="000000"/>
      <w:lang w:val="zh-TW" w:eastAsia="zh-TW"/>
    </w:rPr>
  </w:style>
  <w:style w:type="character" w:customStyle="1" w:styleId="79">
    <w:name w:val="纯文本 Char"/>
    <w:qFormat/>
    <w:uiPriority w:val="0"/>
    <w:rPr>
      <w:rFonts w:ascii="宋体" w:hAnsi="Courier New" w:eastAsia="宋体" w:cs="Courier New"/>
      <w:szCs w:val="21"/>
    </w:rPr>
  </w:style>
  <w:style w:type="character" w:customStyle="1" w:styleId="80">
    <w:name w:val="纯文本 Char1"/>
    <w:qFormat/>
    <w:uiPriority w:val="0"/>
    <w:rPr>
      <w:rFonts w:ascii="宋体" w:hAnsi="Courier New" w:eastAsia="宋体" w:cs="Courier New"/>
      <w:szCs w:val="21"/>
    </w:rPr>
  </w:style>
  <w:style w:type="paragraph" w:customStyle="1" w:styleId="81">
    <w:name w:val="Other|1"/>
    <w:basedOn w:val="1"/>
    <w:qFormat/>
    <w:uiPriority w:val="0"/>
    <w:pPr>
      <w:spacing w:line="293" w:lineRule="exact"/>
    </w:pPr>
    <w:rPr>
      <w:color w:val="2C1B1C"/>
      <w:sz w:val="19"/>
      <w:szCs w:val="19"/>
      <w:lang w:val="zh-TW" w:eastAsia="zh-TW" w:bidi="zh-TW"/>
    </w:rPr>
  </w:style>
  <w:style w:type="paragraph" w:customStyle="1" w:styleId="82">
    <w:name w:val="彩色列表 - 着色 11"/>
    <w:basedOn w:val="1"/>
    <w:unhideWhenUsed/>
    <w:qFormat/>
    <w:uiPriority w:val="34"/>
    <w:pPr>
      <w:ind w:firstLine="420" w:firstLineChars="200"/>
    </w:pPr>
    <w:rPr>
      <w:rFonts w:ascii="Calibri" w:hAnsi="Calibri" w:cs="Times New Roman"/>
      <w:color w:val="auto"/>
      <w:szCs w:val="24"/>
    </w:rPr>
  </w:style>
  <w:style w:type="paragraph" w:customStyle="1" w:styleId="83">
    <w:name w:val="列出段落2"/>
    <w:basedOn w:val="1"/>
    <w:qFormat/>
    <w:uiPriority w:val="99"/>
    <w:pPr>
      <w:ind w:firstLine="420" w:firstLineChars="200"/>
    </w:pPr>
  </w:style>
  <w:style w:type="table" w:customStyle="1" w:styleId="84">
    <w:name w:val="网格型2"/>
    <w:basedOn w:val="34"/>
    <w:qFormat/>
    <w:uiPriority w:val="0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5">
    <w:name w:val="网格型11"/>
    <w:basedOn w:val="34"/>
    <w:qFormat/>
    <w:uiPriority w:val="59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6">
    <w:name w:val="表格标题"/>
    <w:basedOn w:val="1"/>
    <w:qFormat/>
    <w:uiPriority w:val="0"/>
    <w:pPr>
      <w:tabs>
        <w:tab w:val="left" w:pos="420"/>
      </w:tabs>
      <w:spacing w:before="10" w:beforeLines="10" w:after="20" w:afterLines="20" w:line="280" w:lineRule="exact"/>
      <w:ind w:firstLine="721" w:firstLineChars="200"/>
      <w:jc w:val="center"/>
    </w:pPr>
    <w:rPr>
      <w:rFonts w:hint="eastAsia" w:eastAsia="汉仪中黑简"/>
      <w:color w:val="FF0000"/>
      <w:sz w:val="20"/>
    </w:rPr>
  </w:style>
  <w:style w:type="paragraph" w:customStyle="1" w:styleId="87">
    <w:name w:val="表格标题1"/>
    <w:basedOn w:val="1"/>
    <w:qFormat/>
    <w:uiPriority w:val="0"/>
    <w:pPr>
      <w:tabs>
        <w:tab w:val="left" w:pos="420"/>
      </w:tabs>
      <w:spacing w:before="10" w:beforeLines="10" w:after="20" w:afterLines="20" w:line="280" w:lineRule="exact"/>
      <w:jc w:val="center"/>
    </w:pPr>
    <w:rPr>
      <w:rFonts w:eastAsia="汉仪中黑简"/>
      <w:color w:val="FF0000"/>
      <w:sz w:val="20"/>
    </w:rPr>
  </w:style>
  <w:style w:type="paragraph" w:customStyle="1" w:styleId="88">
    <w:name w:val="表格正文1"/>
    <w:basedOn w:val="1"/>
    <w:qFormat/>
    <w:uiPriority w:val="0"/>
    <w:pPr>
      <w:tabs>
        <w:tab w:val="left" w:pos="420"/>
      </w:tabs>
      <w:spacing w:before="10" w:beforeLines="10" w:after="20" w:afterLines="20" w:line="280" w:lineRule="exact"/>
      <w:jc w:val="left"/>
    </w:pPr>
    <w:rPr>
      <w:rFonts w:ascii="汉仪书宋一简" w:hAnsi="汉仪书宋一简" w:eastAsia="汉仪书宋一简"/>
      <w:color w:val="auto"/>
      <w:sz w:val="20"/>
      <w:szCs w:val="20"/>
    </w:rPr>
  </w:style>
  <w:style w:type="paragraph" w:customStyle="1" w:styleId="89">
    <w:name w:val="补四级标题"/>
    <w:basedOn w:val="1"/>
    <w:qFormat/>
    <w:uiPriority w:val="0"/>
    <w:pPr>
      <w:tabs>
        <w:tab w:val="left" w:pos="420"/>
      </w:tabs>
      <w:spacing w:line="384" w:lineRule="exact"/>
      <w:ind w:firstLine="202" w:firstLineChars="202"/>
    </w:pPr>
    <w:rPr>
      <w:rFonts w:ascii="汉仪中黑简" w:hAnsi="汉仪中黑简" w:eastAsia="汉仪中黑简" w:cs="汉仪中黑简"/>
      <w:bCs/>
      <w:color w:val="auto"/>
      <w:kern w:val="44"/>
      <w:szCs w:val="24"/>
    </w:rPr>
  </w:style>
  <w:style w:type="paragraph" w:customStyle="1" w:styleId="90">
    <w:name w:val="导图文字"/>
    <w:qFormat/>
    <w:uiPriority w:val="0"/>
    <w:pPr>
      <w:spacing w:line="384" w:lineRule="exact"/>
    </w:pPr>
    <w:rPr>
      <w:rFonts w:hint="eastAsia" w:ascii="汉仪书宋二简" w:hAnsi="汉仪书宋二简" w:eastAsia="汉仪书宋二简" w:cs="汉仪书宋二简"/>
      <w:b/>
      <w:color w:val="000000"/>
      <w:szCs w:val="21"/>
      <w:lang w:val="en-US" w:eastAsia="zh-CN" w:bidi="ar-SA"/>
    </w:rPr>
  </w:style>
  <w:style w:type="paragraph" w:customStyle="1" w:styleId="91">
    <w:name w:val="导图正文2"/>
    <w:qFormat/>
    <w:uiPriority w:val="0"/>
    <w:pPr>
      <w:spacing w:line="384" w:lineRule="exact"/>
    </w:pPr>
    <w:rPr>
      <w:rFonts w:hint="eastAsia" w:ascii="汉仪书宋二简" w:hAnsi="汉仪书宋二简" w:eastAsia="汉仪书宋二简" w:cs="汉仪书宋二简"/>
      <w:color w:val="000000"/>
      <w:szCs w:val="21"/>
      <w:lang w:val="en-US" w:eastAsia="zh-CN" w:bidi="ar-SA"/>
    </w:rPr>
  </w:style>
  <w:style w:type="paragraph" w:customStyle="1" w:styleId="92">
    <w:name w:val="修订1"/>
    <w:semiHidden/>
    <w:qFormat/>
    <w:uiPriority w:val="99"/>
    <w:rPr>
      <w:rFonts w:ascii="宋体" w:hAnsi="宋体" w:eastAsia="汉仪书宋二简" w:cs="宋体"/>
      <w:color w:val="000000"/>
      <w:kern w:val="2"/>
      <w:sz w:val="21"/>
      <w:szCs w:val="21"/>
      <w:lang w:val="en-US" w:eastAsia="zh-CN" w:bidi="ar-SA"/>
    </w:rPr>
  </w:style>
  <w:style w:type="character" w:customStyle="1" w:styleId="93">
    <w:name w:val="apple-converted-space"/>
    <w:basedOn w:val="36"/>
    <w:qFormat/>
    <w:uiPriority w:val="0"/>
  </w:style>
  <w:style w:type="paragraph" w:customStyle="1" w:styleId="94">
    <w:name w:val="目录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="等线 Light" w:hAnsi="等线 Light" w:eastAsia="等线 Light" w:cs="Times New Roman"/>
      <w:color w:val="2F5496"/>
      <w:kern w:val="0"/>
      <w:sz w:val="28"/>
      <w:szCs w:val="28"/>
    </w:rPr>
  </w:style>
  <w:style w:type="table" w:customStyle="1" w:styleId="95">
    <w:name w:val="网格型12"/>
    <w:basedOn w:val="34"/>
    <w:qFormat/>
    <w:uiPriority w:val="59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6">
    <w:name w:val="网格型13"/>
    <w:basedOn w:val="34"/>
    <w:qFormat/>
    <w:uiPriority w:val="59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7">
    <w:name w:val="网格型14"/>
    <w:basedOn w:val="34"/>
    <w:qFormat/>
    <w:uiPriority w:val="59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8">
    <w:name w:val="网格型21"/>
    <w:basedOn w:val="34"/>
    <w:qFormat/>
    <w:uiPriority w:val="59"/>
    <w:pPr>
      <w:widowControl w:val="0"/>
      <w:jc w:val="both"/>
    </w:pPr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9">
    <w:name w:val="网格型3"/>
    <w:basedOn w:val="34"/>
    <w:qFormat/>
    <w:uiPriority w:val="59"/>
    <w:pPr>
      <w:widowControl w:val="0"/>
      <w:jc w:val="both"/>
    </w:pPr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0">
    <w:name w:val="网格型4"/>
    <w:basedOn w:val="34"/>
    <w:qFormat/>
    <w:uiPriority w:val="59"/>
    <w:pPr>
      <w:widowControl w:val="0"/>
      <w:jc w:val="both"/>
    </w:pPr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1">
    <w:name w:val="网格型5"/>
    <w:basedOn w:val="34"/>
    <w:qFormat/>
    <w:uiPriority w:val="39"/>
    <w:pPr>
      <w:widowControl w:val="0"/>
      <w:jc w:val="both"/>
    </w:pPr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2">
    <w:name w:val="网格型6"/>
    <w:basedOn w:val="34"/>
    <w:qFormat/>
    <w:uiPriority w:val="39"/>
    <w:pPr>
      <w:widowControl w:val="0"/>
      <w:jc w:val="both"/>
    </w:pPr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3">
    <w:name w:val="标题 字符1"/>
    <w:basedOn w:val="36"/>
    <w:qFormat/>
    <w:uiPriority w:val="10"/>
    <w:rPr>
      <w:rFonts w:ascii="等线 Light" w:hAnsi="等线 Light" w:eastAsia="等线 Light" w:cs="Times New Roman"/>
      <w:b/>
      <w:bCs/>
      <w:sz w:val="32"/>
      <w:szCs w:val="32"/>
    </w:rPr>
  </w:style>
  <w:style w:type="character" w:customStyle="1" w:styleId="104">
    <w:name w:val="批注文字 字符1"/>
    <w:basedOn w:val="36"/>
    <w:semiHidden/>
    <w:qFormat/>
    <w:uiPriority w:val="99"/>
    <w:rPr>
      <w:rFonts w:ascii="Calibri" w:hAnsi="Calibri" w:cs="Times New Roman"/>
      <w:szCs w:val="22"/>
    </w:rPr>
  </w:style>
  <w:style w:type="character" w:customStyle="1" w:styleId="105">
    <w:name w:val="HTML 预设格式 字符1"/>
    <w:basedOn w:val="36"/>
    <w:semiHidden/>
    <w:qFormat/>
    <w:uiPriority w:val="99"/>
    <w:rPr>
      <w:rFonts w:ascii="Courier New" w:hAnsi="Courier New" w:cs="Courier New"/>
      <w:sz w:val="20"/>
      <w:szCs w:val="20"/>
    </w:rPr>
  </w:style>
  <w:style w:type="paragraph" w:customStyle="1" w:styleId="106">
    <w:name w:val="彩色列表 - 强调文字颜色 11"/>
    <w:basedOn w:val="1"/>
    <w:qFormat/>
    <w:uiPriority w:val="34"/>
    <w:pPr>
      <w:ind w:firstLine="420" w:firstLineChars="200"/>
    </w:pPr>
    <w:rPr>
      <w:rFonts w:ascii="Calibri" w:hAnsi="Calibri" w:cs="Times New Roman"/>
      <w:color w:val="auto"/>
      <w:szCs w:val="22"/>
    </w:rPr>
  </w:style>
  <w:style w:type="paragraph" w:customStyle="1" w:styleId="107">
    <w:name w:val="Body text (2)2"/>
    <w:basedOn w:val="1"/>
    <w:qFormat/>
    <w:uiPriority w:val="0"/>
    <w:pPr>
      <w:shd w:val="clear" w:color="auto" w:fill="FFFFFF"/>
      <w:jc w:val="left"/>
    </w:pPr>
    <w:rPr>
      <w:rFonts w:ascii="Calibri" w:hAnsi="Calibri" w:cs="Times New Roman"/>
      <w:color w:val="auto"/>
      <w:sz w:val="20"/>
      <w:szCs w:val="20"/>
    </w:rPr>
  </w:style>
  <w:style w:type="table" w:customStyle="1" w:styleId="108">
    <w:name w:val="网格型7"/>
    <w:basedOn w:val="34"/>
    <w:qFormat/>
    <w:uiPriority w:val="0"/>
    <w:pPr>
      <w:widowControl w:val="0"/>
      <w:jc w:val="both"/>
    </w:pPr>
    <w:rPr>
      <w:rFonts w:ascii="Calibri" w:hAnsi="Calibri" w:eastAsia="Times New Roman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9">
    <w:name w:val="标题 1 Char"/>
    <w:basedOn w:val="36"/>
    <w:qFormat/>
    <w:uiPriority w:val="9"/>
    <w:rPr>
      <w:b/>
      <w:bCs/>
      <w:kern w:val="44"/>
      <w:sz w:val="44"/>
      <w:szCs w:val="44"/>
    </w:rPr>
  </w:style>
  <w:style w:type="character" w:customStyle="1" w:styleId="110">
    <w:name w:val="标题 2 Char"/>
    <w:basedOn w:val="36"/>
    <w:semiHidden/>
    <w:qFormat/>
    <w:uiPriority w:val="9"/>
    <w:rPr>
      <w:rFonts w:ascii="等线 Light" w:hAnsi="等线 Light" w:eastAsia="等线 Light" w:cs="Times New Roman"/>
      <w:b/>
      <w:bCs/>
      <w:sz w:val="32"/>
      <w:szCs w:val="32"/>
    </w:rPr>
  </w:style>
  <w:style w:type="character" w:customStyle="1" w:styleId="111">
    <w:name w:val="标题 3 Char"/>
    <w:basedOn w:val="36"/>
    <w:semiHidden/>
    <w:qFormat/>
    <w:uiPriority w:val="9"/>
    <w:rPr>
      <w:b/>
      <w:bCs/>
      <w:sz w:val="32"/>
      <w:szCs w:val="32"/>
    </w:rPr>
  </w:style>
  <w:style w:type="character" w:customStyle="1" w:styleId="112">
    <w:name w:val="description"/>
    <w:basedOn w:val="36"/>
    <w:qFormat/>
    <w:uiPriority w:val="0"/>
  </w:style>
  <w:style w:type="character" w:customStyle="1" w:styleId="113">
    <w:name w:val="页眉 Char"/>
    <w:basedOn w:val="36"/>
    <w:link w:val="114"/>
    <w:qFormat/>
    <w:uiPriority w:val="99"/>
    <w:rPr>
      <w:sz w:val="18"/>
      <w:szCs w:val="18"/>
    </w:rPr>
  </w:style>
  <w:style w:type="paragraph" w:customStyle="1" w:styleId="114">
    <w:name w:val="页眉1"/>
    <w:basedOn w:val="1"/>
    <w:next w:val="22"/>
    <w:link w:val="1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color w:val="auto"/>
      <w:kern w:val="0"/>
      <w:sz w:val="18"/>
      <w:szCs w:val="18"/>
    </w:rPr>
  </w:style>
  <w:style w:type="character" w:customStyle="1" w:styleId="115">
    <w:name w:val="页脚 Char"/>
    <w:basedOn w:val="36"/>
    <w:link w:val="116"/>
    <w:qFormat/>
    <w:uiPriority w:val="99"/>
    <w:rPr>
      <w:sz w:val="18"/>
      <w:szCs w:val="18"/>
    </w:rPr>
  </w:style>
  <w:style w:type="paragraph" w:customStyle="1" w:styleId="116">
    <w:name w:val="页脚1"/>
    <w:basedOn w:val="1"/>
    <w:next w:val="21"/>
    <w:link w:val="1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color w:val="auto"/>
      <w:kern w:val="0"/>
      <w:sz w:val="18"/>
      <w:szCs w:val="18"/>
    </w:rPr>
  </w:style>
  <w:style w:type="character" w:customStyle="1" w:styleId="117">
    <w:name w:val="文档结构图 Char"/>
    <w:basedOn w:val="36"/>
    <w:semiHidden/>
    <w:qFormat/>
    <w:uiPriority w:val="99"/>
    <w:rPr>
      <w:rFonts w:ascii="宋体" w:eastAsia="宋体"/>
      <w:sz w:val="18"/>
      <w:szCs w:val="18"/>
    </w:rPr>
  </w:style>
  <w:style w:type="character" w:customStyle="1" w:styleId="118">
    <w:name w:val="脚注文本 Char"/>
    <w:basedOn w:val="36"/>
    <w:semiHidden/>
    <w:qFormat/>
    <w:uiPriority w:val="99"/>
    <w:rPr>
      <w:sz w:val="18"/>
      <w:szCs w:val="18"/>
    </w:rPr>
  </w:style>
  <w:style w:type="character" w:customStyle="1" w:styleId="119">
    <w:name w:val="不明显强调1"/>
    <w:basedOn w:val="36"/>
    <w:qFormat/>
    <w:uiPriority w:val="19"/>
    <w:rPr>
      <w:i/>
      <w:iCs/>
      <w:color w:val="3F3F3F"/>
    </w:rPr>
  </w:style>
  <w:style w:type="character" w:customStyle="1" w:styleId="120">
    <w:name w:val="占位符文本1"/>
    <w:basedOn w:val="36"/>
    <w:semiHidden/>
    <w:qFormat/>
    <w:uiPriority w:val="99"/>
    <w:rPr>
      <w:color w:val="808080"/>
    </w:rPr>
  </w:style>
  <w:style w:type="character" w:customStyle="1" w:styleId="121">
    <w:name w:val="标题 1字符"/>
    <w:basedOn w:val="36"/>
    <w:qFormat/>
    <w:uiPriority w:val="9"/>
    <w:rPr>
      <w:rFonts w:ascii="等线" w:hAnsi="等线" w:eastAsia="等线" w:cs="Times New Roman"/>
      <w:b/>
      <w:bCs/>
      <w:kern w:val="44"/>
      <w:sz w:val="44"/>
      <w:szCs w:val="44"/>
    </w:rPr>
  </w:style>
  <w:style w:type="paragraph" w:customStyle="1" w:styleId="122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character" w:customStyle="1" w:styleId="123">
    <w:name w:val="ref"/>
    <w:basedOn w:val="36"/>
    <w:qFormat/>
    <w:uiPriority w:val="0"/>
  </w:style>
  <w:style w:type="paragraph" w:customStyle="1" w:styleId="124">
    <w:name w:val="正文文本1"/>
    <w:basedOn w:val="1"/>
    <w:link w:val="125"/>
    <w:qFormat/>
    <w:uiPriority w:val="0"/>
    <w:pPr>
      <w:shd w:val="clear" w:color="auto" w:fill="FFFFFF"/>
      <w:spacing w:before="480" w:line="317" w:lineRule="exact"/>
      <w:ind w:hanging="240"/>
      <w:jc w:val="distribute"/>
    </w:pPr>
    <w:rPr>
      <w:color w:val="auto"/>
      <w:spacing w:val="-10"/>
      <w:sz w:val="20"/>
      <w:szCs w:val="20"/>
    </w:rPr>
  </w:style>
  <w:style w:type="character" w:customStyle="1" w:styleId="125">
    <w:name w:val="正文文本_"/>
    <w:basedOn w:val="36"/>
    <w:link w:val="124"/>
    <w:qFormat/>
    <w:uiPriority w:val="0"/>
    <w:rPr>
      <w:rFonts w:ascii="宋体" w:hAnsi="宋体" w:cs="宋体"/>
      <w:spacing w:val="-10"/>
      <w:kern w:val="2"/>
      <w:shd w:val="clear" w:color="auto" w:fill="FFFFFF"/>
    </w:rPr>
  </w:style>
  <w:style w:type="character" w:customStyle="1" w:styleId="126">
    <w:name w:val="正文文本 + Sylfaen"/>
    <w:basedOn w:val="125"/>
    <w:qFormat/>
    <w:uiPriority w:val="0"/>
    <w:rPr>
      <w:rFonts w:ascii="Sylfaen" w:hAnsi="Sylfaen" w:eastAsia="Sylfaen" w:cs="Sylfaen"/>
      <w:color w:val="000000"/>
      <w:spacing w:val="0"/>
      <w:w w:val="100"/>
      <w:kern w:val="2"/>
      <w:position w:val="0"/>
      <w:sz w:val="19"/>
      <w:szCs w:val="19"/>
      <w:shd w:val="clear" w:color="auto" w:fill="FFFFFF"/>
      <w:lang w:val="zh-CN" w:eastAsia="zh-CN" w:bidi="zh-CN"/>
    </w:rPr>
  </w:style>
  <w:style w:type="character" w:customStyle="1" w:styleId="127">
    <w:name w:val="正文文本 + 间距 -2 pt"/>
    <w:basedOn w:val="125"/>
    <w:qFormat/>
    <w:uiPriority w:val="0"/>
    <w:rPr>
      <w:rFonts w:ascii="宋体" w:hAnsi="宋体" w:cs="宋体"/>
      <w:color w:val="000000"/>
      <w:spacing w:val="-40"/>
      <w:w w:val="100"/>
      <w:kern w:val="2"/>
      <w:position w:val="0"/>
      <w:shd w:val="clear" w:color="auto" w:fill="FFFFFF"/>
      <w:lang w:val="zh-CN" w:eastAsia="zh-CN" w:bidi="zh-CN"/>
    </w:rPr>
  </w:style>
  <w:style w:type="character" w:styleId="128">
    <w:name w:val="Placeholder Text"/>
    <w:basedOn w:val="36"/>
    <w:semiHidden/>
    <w:qFormat/>
    <w:uiPriority w:val="99"/>
    <w:rPr>
      <w:color w:val="808080"/>
    </w:rPr>
  </w:style>
  <w:style w:type="character" w:customStyle="1" w:styleId="129">
    <w:name w:val="未处理的提及1"/>
    <w:basedOn w:val="36"/>
    <w:unhideWhenUsed/>
    <w:qFormat/>
    <w:uiPriority w:val="99"/>
    <w:rPr>
      <w:color w:val="605E5C"/>
      <w:shd w:val="clear" w:color="auto" w:fill="E1DFDD"/>
    </w:rPr>
  </w:style>
  <w:style w:type="character" w:customStyle="1" w:styleId="130">
    <w:name w:val="未处理的提及2"/>
    <w:basedOn w:val="36"/>
    <w:unhideWhenUsed/>
    <w:qFormat/>
    <w:uiPriority w:val="99"/>
    <w:rPr>
      <w:color w:val="605E5C"/>
      <w:shd w:val="clear" w:color="auto" w:fill="E1DFDD"/>
    </w:rPr>
  </w:style>
  <w:style w:type="table" w:customStyle="1" w:styleId="131">
    <w:name w:val="网格型8"/>
    <w:basedOn w:val="34"/>
    <w:qFormat/>
    <w:uiPriority w:val="0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2">
    <w:name w:val="网格型15"/>
    <w:basedOn w:val="34"/>
    <w:qFormat/>
    <w:uiPriority w:val="59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3">
    <w:name w:val="网格型22"/>
    <w:basedOn w:val="34"/>
    <w:qFormat/>
    <w:uiPriority w:val="59"/>
    <w:pPr>
      <w:widowControl w:val="0"/>
      <w:jc w:val="both"/>
    </w:pPr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34">
    <w:name w:val="未处理的提及3"/>
    <w:basedOn w:val="36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35">
    <w:name w:val="Table Text"/>
    <w:basedOn w:val="1"/>
    <w:semiHidden/>
    <w:qFormat/>
    <w:uiPriority w:val="0"/>
    <w:rPr>
      <w:rFonts w:ascii="微软雅黑" w:hAnsi="微软雅黑" w:eastAsia="微软雅黑" w:cs="微软雅黑"/>
      <w:lang w:eastAsia="en-US"/>
    </w:rPr>
  </w:style>
  <w:style w:type="character" w:customStyle="1" w:styleId="136">
    <w:name w:val="Unresolved Mention"/>
    <w:basedOn w:val="36"/>
    <w:semiHidden/>
    <w:unhideWhenUsed/>
    <w:uiPriority w:val="99"/>
    <w:rPr>
      <w:color w:val="605E5C"/>
      <w:shd w:val="clear" w:color="auto" w:fill="E1DFDD"/>
    </w:rPr>
  </w:style>
  <w:style w:type="paragraph" w:customStyle="1" w:styleId="137">
    <w:name w:val="标题 61"/>
    <w:basedOn w:val="1"/>
    <w:next w:val="1"/>
    <w:semiHidden/>
    <w:unhideWhenUsed/>
    <w:qFormat/>
    <w:uiPriority w:val="9"/>
    <w:pPr>
      <w:keepNext/>
      <w:keepLines/>
      <w:spacing w:before="40"/>
      <w:outlineLvl w:val="5"/>
    </w:pPr>
    <w:rPr>
      <w:rFonts w:ascii="等线" w:hAnsi="等线" w:eastAsia="等线" w:cs="Times New Roman"/>
      <w:b/>
      <w:bCs/>
      <w:color w:val="0F4761"/>
      <w:sz w:val="24"/>
      <w:szCs w:val="24"/>
    </w:rPr>
  </w:style>
  <w:style w:type="paragraph" w:customStyle="1" w:styleId="138">
    <w:name w:val="标题 71"/>
    <w:basedOn w:val="1"/>
    <w:next w:val="1"/>
    <w:semiHidden/>
    <w:unhideWhenUsed/>
    <w:qFormat/>
    <w:uiPriority w:val="9"/>
    <w:pPr>
      <w:keepNext/>
      <w:keepLines/>
      <w:spacing w:before="40"/>
      <w:outlineLvl w:val="6"/>
    </w:pPr>
    <w:rPr>
      <w:rFonts w:ascii="等线" w:hAnsi="等线" w:eastAsia="等线" w:cs="Times New Roman"/>
      <w:b/>
      <w:bCs/>
      <w:color w:val="595959"/>
      <w:sz w:val="24"/>
      <w:szCs w:val="24"/>
    </w:rPr>
  </w:style>
  <w:style w:type="paragraph" w:customStyle="1" w:styleId="139">
    <w:name w:val="标题 81"/>
    <w:basedOn w:val="1"/>
    <w:next w:val="1"/>
    <w:semiHidden/>
    <w:unhideWhenUsed/>
    <w:qFormat/>
    <w:uiPriority w:val="9"/>
    <w:pPr>
      <w:keepNext/>
      <w:keepLines/>
      <w:outlineLvl w:val="7"/>
    </w:pPr>
    <w:rPr>
      <w:rFonts w:ascii="等线" w:hAnsi="等线" w:eastAsia="等线" w:cs="Times New Roman"/>
      <w:color w:val="595959"/>
      <w:sz w:val="24"/>
      <w:szCs w:val="24"/>
    </w:rPr>
  </w:style>
  <w:style w:type="paragraph" w:customStyle="1" w:styleId="140">
    <w:name w:val="标题 91"/>
    <w:basedOn w:val="1"/>
    <w:next w:val="1"/>
    <w:semiHidden/>
    <w:unhideWhenUsed/>
    <w:qFormat/>
    <w:uiPriority w:val="9"/>
    <w:pPr>
      <w:keepNext/>
      <w:keepLines/>
      <w:outlineLvl w:val="8"/>
    </w:pPr>
    <w:rPr>
      <w:rFonts w:ascii="等线" w:hAnsi="等线" w:eastAsia="等线 Light" w:cs="Times New Roman"/>
      <w:color w:val="595959"/>
      <w:sz w:val="24"/>
      <w:szCs w:val="24"/>
    </w:rPr>
  </w:style>
  <w:style w:type="character" w:customStyle="1" w:styleId="141">
    <w:name w:val="标题 6 字符"/>
    <w:basedOn w:val="36"/>
    <w:link w:val="7"/>
    <w:semiHidden/>
    <w:qFormat/>
    <w:uiPriority w:val="9"/>
    <w:rPr>
      <w:rFonts w:ascii="等线" w:hAnsi="等线" w:eastAsia="等线" w:cs="Times New Roman"/>
      <w:b/>
      <w:bCs/>
      <w:color w:val="0F4761"/>
    </w:rPr>
  </w:style>
  <w:style w:type="character" w:customStyle="1" w:styleId="142">
    <w:name w:val="标题 7 字符"/>
    <w:basedOn w:val="36"/>
    <w:link w:val="8"/>
    <w:semiHidden/>
    <w:uiPriority w:val="9"/>
    <w:rPr>
      <w:rFonts w:ascii="等线" w:hAnsi="等线" w:eastAsia="等线" w:cs="Times New Roman"/>
      <w:b/>
      <w:bCs/>
      <w:color w:val="595959"/>
    </w:rPr>
  </w:style>
  <w:style w:type="character" w:customStyle="1" w:styleId="143">
    <w:name w:val="标题 8 字符"/>
    <w:basedOn w:val="36"/>
    <w:link w:val="9"/>
    <w:semiHidden/>
    <w:qFormat/>
    <w:uiPriority w:val="9"/>
    <w:rPr>
      <w:rFonts w:ascii="等线" w:hAnsi="等线" w:eastAsia="等线" w:cs="Times New Roman"/>
      <w:color w:val="595959"/>
    </w:rPr>
  </w:style>
  <w:style w:type="character" w:customStyle="1" w:styleId="144">
    <w:name w:val="标题 9 字符"/>
    <w:basedOn w:val="36"/>
    <w:link w:val="10"/>
    <w:semiHidden/>
    <w:qFormat/>
    <w:uiPriority w:val="9"/>
    <w:rPr>
      <w:rFonts w:ascii="等线" w:hAnsi="等线" w:eastAsia="等线 Light" w:cs="Times New Roman"/>
      <w:color w:val="595959"/>
    </w:rPr>
  </w:style>
  <w:style w:type="paragraph" w:customStyle="1" w:styleId="145">
    <w:name w:val="引用1"/>
    <w:basedOn w:val="1"/>
    <w:next w:val="1"/>
    <w:qFormat/>
    <w:uiPriority w:val="29"/>
    <w:pPr>
      <w:spacing w:before="160" w:after="160"/>
      <w:jc w:val="center"/>
    </w:pPr>
    <w:rPr>
      <w:rFonts w:ascii="Times New Roman" w:hAnsi="Times New Roman" w:cs="微软雅黑"/>
      <w:i/>
      <w:iCs/>
      <w:color w:val="404040"/>
      <w:sz w:val="24"/>
      <w:szCs w:val="24"/>
    </w:rPr>
  </w:style>
  <w:style w:type="character" w:customStyle="1" w:styleId="146">
    <w:name w:val="引用 字符"/>
    <w:basedOn w:val="36"/>
    <w:link w:val="147"/>
    <w:qFormat/>
    <w:uiPriority w:val="29"/>
    <w:rPr>
      <w:i/>
      <w:iCs/>
      <w:color w:val="404040"/>
    </w:rPr>
  </w:style>
  <w:style w:type="paragraph" w:styleId="147">
    <w:name w:val="Quote"/>
    <w:basedOn w:val="1"/>
    <w:next w:val="1"/>
    <w:link w:val="146"/>
    <w:semiHidden/>
    <w:unhideWhenUsed/>
    <w:uiPriority w:val="29"/>
    <w:pPr>
      <w:spacing w:before="200" w:after="160"/>
      <w:ind w:left="864" w:right="864"/>
      <w:jc w:val="center"/>
    </w:pPr>
    <w:rPr>
      <w:rFonts w:ascii="Times New Roman" w:hAnsi="Times New Roman" w:cs="Times New Roman"/>
      <w:i/>
      <w:iCs/>
      <w:color w:val="404040"/>
      <w:kern w:val="0"/>
      <w:sz w:val="20"/>
      <w:szCs w:val="20"/>
    </w:rPr>
  </w:style>
  <w:style w:type="character" w:customStyle="1" w:styleId="148">
    <w:name w:val="明显强调1"/>
    <w:basedOn w:val="36"/>
    <w:qFormat/>
    <w:uiPriority w:val="21"/>
    <w:rPr>
      <w:i/>
      <w:iCs/>
      <w:color w:val="0F4761"/>
    </w:rPr>
  </w:style>
  <w:style w:type="paragraph" w:customStyle="1" w:styleId="149">
    <w:name w:val="明显引用1"/>
    <w:basedOn w:val="1"/>
    <w:next w:val="1"/>
    <w:qFormat/>
    <w:uiPriority w:val="30"/>
    <w:pPr>
      <w:pBdr>
        <w:top w:val="single" w:color="0F4761" w:sz="4" w:space="10"/>
        <w:bottom w:val="single" w:color="0F4761" w:sz="4" w:space="10"/>
      </w:pBdr>
      <w:spacing w:before="360" w:after="360"/>
      <w:ind w:left="864" w:right="864"/>
      <w:jc w:val="center"/>
    </w:pPr>
    <w:rPr>
      <w:rFonts w:ascii="Times New Roman" w:hAnsi="Times New Roman" w:cs="微软雅黑"/>
      <w:i/>
      <w:iCs/>
      <w:color w:val="0F4761"/>
      <w:sz w:val="24"/>
      <w:szCs w:val="24"/>
    </w:rPr>
  </w:style>
  <w:style w:type="character" w:customStyle="1" w:styleId="150">
    <w:name w:val="明显引用 字符"/>
    <w:basedOn w:val="36"/>
    <w:link w:val="151"/>
    <w:qFormat/>
    <w:uiPriority w:val="30"/>
    <w:rPr>
      <w:i/>
      <w:iCs/>
      <w:color w:val="0F4761"/>
    </w:rPr>
  </w:style>
  <w:style w:type="paragraph" w:styleId="151">
    <w:name w:val="Intense Quote"/>
    <w:basedOn w:val="1"/>
    <w:next w:val="1"/>
    <w:link w:val="150"/>
    <w:semiHidden/>
    <w:unhideWhenUsed/>
    <w:qFormat/>
    <w:uiPriority w:val="30"/>
    <w:pPr>
      <w:pBdr>
        <w:top w:val="single" w:color="4472C4" w:themeColor="accent1" w:sz="4" w:space="10"/>
        <w:bottom w:val="single" w:color="4472C4" w:themeColor="accent1" w:sz="4" w:space="10"/>
      </w:pBdr>
      <w:spacing w:before="360" w:after="360"/>
      <w:ind w:left="864" w:right="864"/>
      <w:jc w:val="center"/>
    </w:pPr>
    <w:rPr>
      <w:rFonts w:ascii="Times New Roman" w:hAnsi="Times New Roman" w:cs="Times New Roman"/>
      <w:i/>
      <w:iCs/>
      <w:color w:val="0F4761"/>
      <w:kern w:val="0"/>
      <w:sz w:val="20"/>
      <w:szCs w:val="20"/>
    </w:rPr>
  </w:style>
  <w:style w:type="character" w:customStyle="1" w:styleId="152">
    <w:name w:val="明显参考1"/>
    <w:basedOn w:val="36"/>
    <w:qFormat/>
    <w:uiPriority w:val="32"/>
    <w:rPr>
      <w:b/>
      <w:bCs/>
      <w:smallCaps/>
      <w:color w:val="0F4761"/>
      <w:spacing w:val="5"/>
    </w:rPr>
  </w:style>
  <w:style w:type="table" w:customStyle="1" w:styleId="153">
    <w:name w:val="网格型9"/>
    <w:basedOn w:val="34"/>
    <w:qFormat/>
    <w:uiPriority w:val="39"/>
    <w:rPr>
      <w:rFonts w:cs="微软雅黑"/>
      <w:kern w:val="2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54">
    <w:name w:val="标题 6 字符1"/>
    <w:basedOn w:val="36"/>
    <w:semiHidden/>
    <w:qFormat/>
    <w:uiPriority w:val="9"/>
    <w:rPr>
      <w:rFonts w:asciiTheme="majorHAnsi" w:hAnsiTheme="majorHAnsi" w:eastAsiaTheme="majorEastAsia" w:cstheme="majorBidi"/>
      <w:b/>
      <w:bCs/>
      <w:color w:val="000000"/>
      <w:kern w:val="2"/>
      <w:sz w:val="24"/>
      <w:szCs w:val="24"/>
    </w:rPr>
  </w:style>
  <w:style w:type="character" w:customStyle="1" w:styleId="155">
    <w:name w:val="标题 7 字符1"/>
    <w:basedOn w:val="36"/>
    <w:semiHidden/>
    <w:qFormat/>
    <w:uiPriority w:val="9"/>
    <w:rPr>
      <w:rFonts w:ascii="宋体" w:hAnsi="宋体" w:cs="宋体"/>
      <w:b/>
      <w:bCs/>
      <w:color w:val="000000"/>
      <w:kern w:val="2"/>
      <w:sz w:val="24"/>
      <w:szCs w:val="24"/>
    </w:rPr>
  </w:style>
  <w:style w:type="character" w:customStyle="1" w:styleId="156">
    <w:name w:val="标题 8 字符1"/>
    <w:basedOn w:val="36"/>
    <w:semiHidden/>
    <w:qFormat/>
    <w:uiPriority w:val="9"/>
    <w:rPr>
      <w:rFonts w:asciiTheme="majorHAnsi" w:hAnsiTheme="majorHAnsi" w:eastAsiaTheme="majorEastAsia" w:cstheme="majorBidi"/>
      <w:color w:val="000000"/>
      <w:kern w:val="2"/>
      <w:sz w:val="24"/>
      <w:szCs w:val="24"/>
    </w:rPr>
  </w:style>
  <w:style w:type="character" w:customStyle="1" w:styleId="157">
    <w:name w:val="标题 9 字符1"/>
    <w:basedOn w:val="36"/>
    <w:semiHidden/>
    <w:qFormat/>
    <w:uiPriority w:val="9"/>
    <w:rPr>
      <w:rFonts w:asciiTheme="majorHAnsi" w:hAnsiTheme="majorHAnsi" w:eastAsiaTheme="majorEastAsia" w:cstheme="majorBidi"/>
      <w:color w:val="000000"/>
      <w:kern w:val="2"/>
      <w:sz w:val="21"/>
      <w:szCs w:val="21"/>
    </w:rPr>
  </w:style>
  <w:style w:type="character" w:customStyle="1" w:styleId="158">
    <w:name w:val="引用 字符1"/>
    <w:basedOn w:val="36"/>
    <w:semiHidden/>
    <w:qFormat/>
    <w:uiPriority w:val="99"/>
    <w:rPr>
      <w:rFonts w:ascii="宋体" w:hAnsi="宋体" w:cs="宋体"/>
      <w:i/>
      <w:iCs/>
      <w:color w:val="404040" w:themeColor="text1" w:themeTint="BF"/>
      <w:kern w:val="2"/>
      <w:sz w:val="21"/>
      <w:szCs w:val="21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59">
    <w:name w:val="Intense Emphasis"/>
    <w:basedOn w:val="36"/>
    <w:qFormat/>
    <w:uiPriority w:val="21"/>
    <w:rPr>
      <w:i/>
      <w:iCs/>
      <w:color w:val="4472C4" w:themeColor="accent1"/>
      <w14:textFill>
        <w14:solidFill>
          <w14:schemeClr w14:val="accent1"/>
        </w14:solidFill>
      </w14:textFill>
    </w:rPr>
  </w:style>
  <w:style w:type="character" w:customStyle="1" w:styleId="160">
    <w:name w:val="明显引用 字符1"/>
    <w:basedOn w:val="36"/>
    <w:semiHidden/>
    <w:qFormat/>
    <w:uiPriority w:val="99"/>
    <w:rPr>
      <w:rFonts w:ascii="宋体" w:hAnsi="宋体" w:cs="宋体"/>
      <w:i/>
      <w:iCs/>
      <w:color w:val="4472C4" w:themeColor="accent1"/>
      <w:kern w:val="2"/>
      <w:sz w:val="21"/>
      <w:szCs w:val="21"/>
      <w14:textFill>
        <w14:solidFill>
          <w14:schemeClr w14:val="accent1"/>
        </w14:solidFill>
      </w14:textFill>
    </w:rPr>
  </w:style>
  <w:style w:type="character" w:customStyle="1" w:styleId="161">
    <w:name w:val="Intense Reference"/>
    <w:basedOn w:val="36"/>
    <w:qFormat/>
    <w:uiPriority w:val="32"/>
    <w:rPr>
      <w:b/>
      <w:bCs/>
      <w:smallCaps/>
      <w:color w:val="4472C4" w:themeColor="accent1"/>
      <w:spacing w:val="5"/>
      <w14:textFill>
        <w14:solidFill>
          <w14:schemeClr w14:val="accent1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11243\Desktop\&#29702;&#35770;&#27861;&#20116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1E1D17D-DC21-41B4-AB6C-405EFE34788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理论法五.dot</Template>
  <Pages>5</Pages>
  <Words>4381</Words>
  <Characters>4452</Characters>
  <Lines>1554</Lines>
  <Paragraphs>437</Paragraphs>
  <TotalTime>15</TotalTime>
  <ScaleCrop>false</ScaleCrop>
  <LinksUpToDate>false</LinksUpToDate>
  <CharactersWithSpaces>4471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2024-05-13T05:43:00Z</dcterms:created>
  <dc:creator>张月慈</dc:creator>
  <cp:lastModifiedBy>yjx</cp:lastModifiedBy>
  <cp:lastPrinted>2026-05-21T06:46:00Z</cp:lastPrinted>
  <dcterms:modified xsi:type="dcterms:W3CDTF">2026-07-21T14:49:29Z</dcterms:modified>
  <cp:revision>143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08D6AC1927024F57AD992BB12E266A55_13</vt:lpwstr>
  </property>
  <property fmtid="{D5CDD505-2E9C-101B-9397-08002B2CF9AE}" pid="4" name="KSOTemplateDocerSaveRecord">
    <vt:lpwstr>eyJoZGlkIjoiZjYwY2M2ZjQ5ZWNkOGRjZGMxNTYwMjdhMWExMWUwZmQiLCJ1c2VySWQiOiI3MzExMzM3NjgifQ==</vt:lpwstr>
  </property>
</Properties>
</file>