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0A1539">
      <w:pPr>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2026刑法主观专题突破第二讲案例补充</w:t>
      </w:r>
    </w:p>
    <w:p w14:paraId="4DCB5A7E">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 xml:space="preserve">案例1:汪天佑与汪某某系邻居，双方曾因汪某某家建房产生矛盾，后经调解解决。2017年8月6日晚8时许，汪某某的女婿燕某某驾车与赵某、杨某某来到汪天佑家北门口，准备质问汪天佑。下车后，燕某某与赵某敲汪天佑家北门，汪天佑因不认识燕某某和赵某，遂询问二人有什么事，但燕某某等始终未表明身份，汪天佑拒绝开门。燕某某、赵某踹开纱门，闯入汪天佑家过道屋。汪天佑被突然开启的纱门打伤右脸，从过道屋西侧橱柜上拿起一铁质摩托车减震器，与燕某某、赵某厮打。汪天佑用摩托车减震器先后将燕某某和赵某头部打伤，致赵某轻伤一级、燕某某轻微伤。  </w:t>
      </w:r>
    </w:p>
    <w:p w14:paraId="56330014">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作答要点：</w:t>
      </w:r>
      <w:r>
        <w:rPr>
          <w:rFonts w:hint="eastAsia" w:ascii="楷体" w:hAnsi="楷体" w:eastAsia="楷体" w:cs="楷体"/>
          <w:b w:val="0"/>
          <w:bCs w:val="0"/>
          <w:sz w:val="28"/>
          <w:szCs w:val="28"/>
          <w:u w:val="single"/>
          <w:lang w:val="en-US" w:eastAsia="zh-CN"/>
        </w:rPr>
        <w:t>对于非法侵入他人住宅等不法侵害，可以实行防卫。</w:t>
      </w:r>
      <w:r>
        <w:rPr>
          <w:rFonts w:hint="eastAsia" w:ascii="楷体" w:hAnsi="楷体" w:eastAsia="楷体" w:cs="楷体"/>
          <w:b w:val="0"/>
          <w:bCs w:val="0"/>
          <w:sz w:val="28"/>
          <w:szCs w:val="28"/>
          <w:lang w:val="en-US" w:eastAsia="zh-CN"/>
        </w:rPr>
        <w:t>本案中，燕某某、赵某与汪天佑并不相识，且不表明身份、天黑时强行踹开纱门闯入汪天佑家，该非法侵入住宅的行为不仅侵害了他人的居住安宁，而且已对他人的人身、财产造成严重威胁，应当认定为“不法侵害”，可以进行防卫。因此，汪天佑为制止不法侵害，随手拿起摩托车减震器，在双方厮打过程中将燕某某、赵某打伤，致一人轻伤一级、一人轻微伤的行为属于正当防卫。</w:t>
      </w:r>
    </w:p>
    <w:p w14:paraId="0D79680B">
      <w:pPr>
        <w:jc w:val="both"/>
        <w:rPr>
          <w:rFonts w:hint="eastAsia" w:ascii="楷体" w:hAnsi="楷体" w:eastAsia="楷体" w:cs="楷体"/>
          <w:b w:val="0"/>
          <w:bCs w:val="0"/>
          <w:sz w:val="28"/>
          <w:szCs w:val="28"/>
          <w:lang w:val="en-US" w:eastAsia="zh-CN"/>
        </w:rPr>
      </w:pPr>
    </w:p>
    <w:p w14:paraId="29767A0B">
      <w:pPr>
        <w:jc w:val="both"/>
        <w:rPr>
          <w:rFonts w:hint="default"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案例2:2018年7月30日，传销人员郭某（已判刑）以谈恋爱为名将盛春平骗至杭州市桐庐县。根据以“天津天狮”名义活动的传销组织安排，郭某等人接站后将盛春平诱至传销窝点。盛春平发觉情况异常予以拒绝。后在多次请求离开被拒并遭唐某某等人逼近时，拿出随身携带的水果刀予以警告，同时提出愿交付随身携带的钱财以求离开，但仍遭拒绝。之后，事先躲藏的传销人员邓某某、郭某某、刘某某（已判刑）等人也先后来到客厅。成某某等人陆续向盛春平逼近，盛春平被逼后退，当成某某上前意图夺刀时，盛春平持刀挥刺，划伤成某某右手腕及左颈，刺中成某某的左侧胸部，致心脏破裂死亡。</w:t>
      </w:r>
    </w:p>
    <w:p w14:paraId="4E55A775">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作答要点：防卫是否“明显超过必要限度”，应当综合不法侵害的性质、手段、强度、危害程度和防卫的时机、手段、强度、损害后果等情节，考虑双方力量对比，立足防卫人防卫时所处情境，结合社会公众的一般认知作出判断。</w:t>
      </w:r>
      <w:r>
        <w:rPr>
          <w:rFonts w:hint="eastAsia" w:ascii="楷体" w:hAnsi="楷体" w:eastAsia="楷体" w:cs="楷体"/>
          <w:b w:val="0"/>
          <w:bCs w:val="0"/>
          <w:sz w:val="28"/>
          <w:szCs w:val="28"/>
          <w:u w:val="single"/>
          <w:lang w:val="en-US" w:eastAsia="zh-CN"/>
        </w:rPr>
        <w:t>在判断不法侵害的危害程度时，不仅要考虑已经造成的损害，还要考虑造成进一步损害的紧迫危险性和现实可能性。</w:t>
      </w:r>
      <w:r>
        <w:rPr>
          <w:rFonts w:hint="eastAsia" w:ascii="楷体" w:hAnsi="楷体" w:eastAsia="楷体" w:cs="楷体"/>
          <w:b w:val="0"/>
          <w:bCs w:val="0"/>
          <w:sz w:val="28"/>
          <w:szCs w:val="28"/>
          <w:lang w:val="en-US" w:eastAsia="zh-CN"/>
        </w:rPr>
        <w:t>本案中，考虑案发当场双方力量对比情况，特别是盛春平所面临的不法侵害的严重程度，应当认为盛春平的防卫行为没有明显超过必要限度，符合正当防卫的限度条件。</w:t>
      </w:r>
    </w:p>
    <w:p w14:paraId="0DC26CC5">
      <w:pPr>
        <w:jc w:val="both"/>
        <w:rPr>
          <w:rFonts w:hint="eastAsia" w:ascii="楷体" w:hAnsi="楷体" w:eastAsia="楷体" w:cs="楷体"/>
          <w:b w:val="0"/>
          <w:bCs w:val="0"/>
          <w:sz w:val="28"/>
          <w:szCs w:val="28"/>
          <w:lang w:val="en-US" w:eastAsia="zh-CN"/>
        </w:rPr>
      </w:pPr>
    </w:p>
    <w:p w14:paraId="51AEA542">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案例3:2014年3月12日晚，被告人陈天杰和其妻子孙某某等水泥工在海南省三亚市某工地加班搅拌、运送混凝土。22时许，被害人周某某、容某甲、容某乙（殁年19岁）和纪某某饮酒后，看到孙某某一人卸混凝土，便言语调戏孙某某。陈天杰推着手推车过来装混凝土时，孙某某将被调戏的情况告诉陈天杰。陈天杰便生气地叫容某乙等人离开，但容某乙等人不予理会。此后，周某某摸了一下孙某某的大腿，陈天杰遂与周某某等人发生争吵。周某某、容某乙和纪某某先后冲过来对陈天杰拳打脚踢，陈天杰边退边用拳脚还击。接着，容某乙、纪某某从地上捡起钢管（长约1米，空心，直径约4厘米）冲上去打陈天杰。在此过程中，陈天杰半蹲着用左手护住孙某某，右手拿出随身携带的一把折叠式单刃小刀乱挥、乱捅，致容某乙、周某某、纪某某、刘某甲受伤。周某某、容某乙和纪某某见状便逃离现场，逃跑时还拿石头、酒瓶等物品对着陈天杰砸过来。容某乙被陈天杰持小刀捅伤后跑到工地的地下室里倒地，后因失血过多死亡。</w:t>
      </w:r>
    </w:p>
    <w:p w14:paraId="4E289180">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作答要点：正当防卫与相互斗殴在外观上具有相似性，但性质存在本质差异。对于因琐事发生争执，引发打斗的，在判断行为人的行为是互殴还是防卫时，要</w:t>
      </w:r>
      <w:r>
        <w:rPr>
          <w:rFonts w:hint="eastAsia" w:ascii="楷体" w:hAnsi="楷体" w:eastAsia="楷体" w:cs="楷体"/>
          <w:b w:val="0"/>
          <w:bCs w:val="0"/>
          <w:sz w:val="28"/>
          <w:szCs w:val="28"/>
          <w:u w:val="single"/>
          <w:lang w:val="en-US" w:eastAsia="zh-CN"/>
        </w:rPr>
        <w:t>综合考量案发的起因、对冲突升级是否有过错、是否使用或者准备使用凶器、是否采用明显不相当的暴力、是否纠集他人参与打斗等客观情节，准确判断行为人的主观意图和行为性质</w:t>
      </w:r>
      <w:r>
        <w:rPr>
          <w:rFonts w:hint="eastAsia" w:ascii="楷体" w:hAnsi="楷体" w:eastAsia="楷体" w:cs="楷体"/>
          <w:b w:val="0"/>
          <w:bCs w:val="0"/>
          <w:sz w:val="28"/>
          <w:szCs w:val="28"/>
          <w:lang w:val="en-US" w:eastAsia="zh-CN"/>
        </w:rPr>
        <w:t>。本案中，陈天杰是在其妻子被羞辱、自己被打后为维护自己与妻子的尊严、保护自己与妻子的人身安全，防止不法侵害而被动进行的还击，其行为属于防卫而非斗殴。</w:t>
      </w:r>
    </w:p>
    <w:p w14:paraId="0E5EEF05">
      <w:pPr>
        <w:jc w:val="both"/>
        <w:rPr>
          <w:rFonts w:hint="eastAsia" w:ascii="楷体" w:hAnsi="楷体" w:eastAsia="楷体" w:cs="楷体"/>
          <w:b w:val="0"/>
          <w:bCs w:val="0"/>
          <w:sz w:val="28"/>
          <w:szCs w:val="28"/>
          <w:lang w:val="en-US" w:eastAsia="zh-CN"/>
        </w:rPr>
      </w:pPr>
    </w:p>
    <w:p w14:paraId="4277B7E5">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案例4:二小因三丰在食堂排队就餐时插队发生口角，二小扬言让三丰给自己等着，三丰回“谁怕谁呀，等着你来”。半小时后，二小带着数人找到三丰挑衅，三丰并未理会，二小等人便上前动手持械殴打三丰，三丰只能拿出事先准备的水果刀刺向三丰腹部，将三丰刺死。</w:t>
      </w:r>
    </w:p>
    <w:p w14:paraId="69BC66DF">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作答要点：实践中，防卫行为在客观上也可能表现为双方相互打斗，具有互殴的形式与外观。二者界分的关键就在于</w:t>
      </w:r>
      <w:r>
        <w:rPr>
          <w:rFonts w:hint="eastAsia" w:ascii="楷体" w:hAnsi="楷体" w:eastAsia="楷体" w:cs="楷体"/>
          <w:b w:val="0"/>
          <w:bCs w:val="0"/>
          <w:sz w:val="28"/>
          <w:szCs w:val="28"/>
          <w:u w:val="single"/>
          <w:lang w:val="en-US" w:eastAsia="zh-CN"/>
        </w:rPr>
        <w:t>行为人是具有防卫意图还是斗殴意图</w:t>
      </w:r>
      <w:r>
        <w:rPr>
          <w:rFonts w:hint="eastAsia" w:ascii="楷体" w:hAnsi="楷体" w:eastAsia="楷体" w:cs="楷体"/>
          <w:b w:val="0"/>
          <w:bCs w:val="0"/>
          <w:sz w:val="28"/>
          <w:szCs w:val="28"/>
          <w:lang w:val="en-US" w:eastAsia="zh-CN"/>
        </w:rPr>
        <w:t>。三丰为防卫可能发生的不法侵害，准备防卫工具的，不必然影响正当防卫的认定。准备刀具系出于防卫目的。三丰持刀刺向二小，该行为是为了制止正在进行的不法侵害，应当认定为防卫行为。</w:t>
      </w:r>
    </w:p>
    <w:p w14:paraId="47392B1C">
      <w:pPr>
        <w:jc w:val="both"/>
        <w:rPr>
          <w:rFonts w:hint="eastAsia" w:ascii="楷体" w:hAnsi="楷体" w:eastAsia="楷体" w:cs="楷体"/>
          <w:b w:val="0"/>
          <w:bCs w:val="0"/>
          <w:sz w:val="28"/>
          <w:szCs w:val="28"/>
          <w:lang w:val="en-US" w:eastAsia="zh-CN"/>
        </w:rPr>
      </w:pPr>
    </w:p>
    <w:p w14:paraId="790D09DB">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案例5:二小打算入户盗窃，三丰知情后将撬门工具提供给甲。二小携带该撬门工具和自己准备的万能钥匙前往美丽家，先使用万能钥匙打开了美丽家的门，窃取了巨额财物。三丰提供撬门工具的行为，虽然与二小的盗窃结果之间没有物理的因果性，但该行为强化、促进了二小的盗窃犯意，因而与盗窃结果之间具有心理的因果性。三丰成立盗窃罪（既遂）。</w:t>
      </w:r>
    </w:p>
    <w:p w14:paraId="148DC538">
      <w:pPr>
        <w:jc w:val="both"/>
        <w:rPr>
          <w:rFonts w:hint="eastAsia" w:ascii="楷体" w:hAnsi="楷体" w:eastAsia="楷体" w:cs="楷体"/>
          <w:b w:val="0"/>
          <w:bCs w:val="0"/>
          <w:sz w:val="28"/>
          <w:szCs w:val="28"/>
          <w:lang w:val="en-US" w:eastAsia="zh-CN"/>
        </w:rPr>
      </w:pPr>
    </w:p>
    <w:p w14:paraId="5934E73B">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例6:三丰将盗窃金库所用的钥匙提供给二小，二小使用该钥匙时用力过猛，导致钥匙断在锁中，于是，二小采用爆破方法打开了金库，盗走了巨额现金。可以认为，二小使用帮助犯提供的钥匙时，已经着手实行盗窃行为，三丰的行为的确促进了二小的盗窃行为。但是，由于二小以其他方法打开了金库，故不能认为三丰的行为促进了盗窃结果。三丰成立盗窃罪未遂的帮助犯。</w:t>
      </w:r>
    </w:p>
    <w:p w14:paraId="78A54F74">
      <w:pPr>
        <w:jc w:val="both"/>
        <w:rPr>
          <w:rFonts w:hint="eastAsia" w:ascii="楷体" w:hAnsi="楷体" w:eastAsia="楷体" w:cs="楷体"/>
          <w:b w:val="0"/>
          <w:bCs w:val="0"/>
          <w:sz w:val="28"/>
          <w:szCs w:val="28"/>
          <w:lang w:val="en-US" w:eastAsia="zh-CN"/>
        </w:rPr>
      </w:pPr>
    </w:p>
    <w:p w14:paraId="095A1637">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例7:二小欲入户盗窃美丽的财物，让三丰将美丽家的钥匙放在自己家的信箱里，三丰答应后将美丽家的钥匙错放在陈老师的信箱里。二小没有发现钥匙，就撬门入户盗窃了财物。三丰的帮助行为与二小的盗窃行为、盗窃结果之间没有因果性，是帮助未遂，而不是对未遂犯的帮助，更不是对既遂犯的帮助。</w:t>
      </w:r>
    </w:p>
    <w:p w14:paraId="44FA6A79">
      <w:pPr>
        <w:jc w:val="both"/>
        <w:rPr>
          <w:rFonts w:hint="eastAsia" w:ascii="楷体" w:hAnsi="楷体" w:eastAsia="楷体" w:cs="楷体"/>
          <w:b w:val="0"/>
          <w:bCs w:val="0"/>
          <w:sz w:val="28"/>
          <w:szCs w:val="28"/>
          <w:lang w:val="en-US" w:eastAsia="zh-CN"/>
        </w:rPr>
      </w:pPr>
    </w:p>
    <w:p w14:paraId="5662B165">
      <w:pPr>
        <w:jc w:val="both"/>
        <w:rPr>
          <w:rFonts w:hint="default"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例8:二小教唆三丰杀美丽，为防止其认错，把照片提前给了三丰，三丰还是把陈老师误认为了是美丽，将陈老师杀害。三丰是具体的对象认识错误，无论按照何种学说，不影响故意杀人罪既遂的成立。二小则是具体的打击错误，因为其着手实施教唆行为时并没有认错行为对象，按照法定符合说，成立故意杀人罪教唆既遂，按照具体符合说成立故意杀人罪教唆未遂。</w:t>
      </w:r>
    </w:p>
    <w:p w14:paraId="4D559734">
      <w:pPr>
        <w:jc w:val="both"/>
        <w:rPr>
          <w:rFonts w:hint="eastAsia" w:ascii="楷体" w:hAnsi="楷体" w:eastAsia="楷体" w:cs="楷体"/>
          <w:b w:val="0"/>
          <w:bCs w:val="0"/>
          <w:sz w:val="28"/>
          <w:szCs w:val="28"/>
          <w:lang w:val="en-US" w:eastAsia="zh-CN"/>
        </w:rPr>
      </w:pPr>
      <w:r>
        <w:rPr>
          <w:rFonts w:hint="eastAsia" w:ascii="楷体" w:hAnsi="楷体" w:eastAsia="楷体" w:cs="楷体"/>
          <w:b w:val="0"/>
          <w:bCs w:val="0"/>
          <w:sz w:val="28"/>
          <w:szCs w:val="28"/>
          <w:lang w:val="en-US" w:eastAsia="zh-CN"/>
        </w:rPr>
        <w:t xml:space="preserve">    </w:t>
      </w: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苹方-简">
    <w:panose1 w:val="020B0400000000000000"/>
    <w:charset w:val="86"/>
    <w:family w:val="auto"/>
    <w:pitch w:val="default"/>
    <w:sig w:usb0="A00002FF" w:usb1="7ACFFDFB" w:usb2="00000017" w:usb3="00000000" w:csb0="00040001" w:csb1="00000000"/>
  </w:font>
  <w:font w:name="楷体">
    <w:altName w:val="汉仪楷体KW"/>
    <w:panose1 w:val="00000000000000000000"/>
    <w:charset w:val="00"/>
    <w:family w:val="auto"/>
    <w:pitch w:val="default"/>
    <w:sig w:usb0="00000000" w:usb1="00000000" w:usb2="00000000" w:usb3="00000000" w:csb0="00000000" w:csb1="00000000"/>
  </w:font>
  <w:font w:name="汉仪楷体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A1FE1">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DA732CB">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4DA732CB">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E90E5A"/>
    <w:rsid w:val="6FE90E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13</TotalTime>
  <ScaleCrop>false</ScaleCrop>
  <LinksUpToDate>false</LinksUpToDate>
  <CharactersWithSpaces>0</CharactersWithSpaces>
  <Application>WPS Office_12.1.26026.26026_F1E327BC-269C-435d-A152-05C5408002CA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2026-07-15T19:04:00Z</dcterms:created>
  <dc:creator>mouse^V^</dc:creator>
  <cp:lastModifiedBy>mouse^V^</cp:lastModifiedBy>
  <dcterms:modified xsi:type="dcterms:W3CDTF">2026-07-15T19:25:23Z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2052-12.1.26026.26026</vt:lpwstr>
  </property>
  <property fmtid="{D5CDD505-2E9C-101B-9397-08002B2CF9AE}" pid="3" name="ICV">
    <vt:lpwstr>DFB12A65BE507FD24469576A1B9A5650_41</vt:lpwstr>
  </property>
</Properties>
</file>