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5DBF8A">
      <w:pPr>
        <w:rPr>
          <w:rFonts w:hint="default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6"/>
          <w:sz w:val="21"/>
          <w:szCs w:val="21"/>
          <w:lang w:val="en-US" w:eastAsia="zh-CN"/>
        </w:rPr>
        <w:t>1.因果关系：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  <w:lang w:val="en-US" w:eastAsia="zh-CN"/>
        </w:rPr>
        <w:t>“一个中心，两个基本点”：相当说为中心；一是特殊体质不中断因果；二是介入因素。</w:t>
      </w:r>
    </w:p>
    <w:p w14:paraId="11F757BD">
      <w:pPr>
        <w:rPr>
          <w:rFonts w:hint="default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6"/>
          <w:sz w:val="21"/>
          <w:szCs w:val="21"/>
          <w:lang w:val="en-US" w:eastAsia="zh-CN"/>
        </w:rPr>
        <w:t>2.事实认识错误：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  <w:lang w:val="en-US" w:eastAsia="zh-CN"/>
        </w:rPr>
        <w:t>建立体系；抽象、具体的判断；抽象找重合，找不到分开看；具体错误分两种类型，两种学说。</w:t>
      </w:r>
    </w:p>
    <w:p w14:paraId="2545D552">
      <w:pPr>
        <w:pStyle w:val="2"/>
        <w:spacing w:before="0" w:after="0" w:line="440" w:lineRule="exact"/>
        <w:jc w:val="center"/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6"/>
          <w:sz w:val="21"/>
          <w:szCs w:val="21"/>
        </w:rPr>
      </w:pPr>
      <w:bookmarkStart w:id="0" w:name="_Toc230796547"/>
    </w:p>
    <w:p w14:paraId="1DAA7445">
      <w:pPr>
        <w:pStyle w:val="2"/>
        <w:spacing w:before="0" w:after="0" w:line="440" w:lineRule="exact"/>
        <w:jc w:val="center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position w:val="6"/>
          <w:sz w:val="21"/>
          <w:szCs w:val="21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6"/>
          <w:sz w:val="21"/>
          <w:szCs w:val="21"/>
        </w:rPr>
        <w:t xml:space="preserve">专题三  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6"/>
          <w:sz w:val="21"/>
          <w:szCs w:val="21"/>
        </w:rPr>
        <w:t>正当防卫</w:t>
      </w:r>
      <w:bookmarkEnd w:id="0"/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6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6"/>
          <w:sz w:val="21"/>
          <w:szCs w:val="21"/>
          <w:lang w:val="en-US" w:eastAsia="zh-CN"/>
        </w:rPr>
        <w:t>19:37—21:40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6"/>
          <w:sz w:val="21"/>
          <w:szCs w:val="21"/>
          <w:lang w:eastAsia="zh-CN"/>
        </w:rPr>
        <w:t>）</w:t>
      </w:r>
    </w:p>
    <w:p w14:paraId="1309C20C">
      <w:pPr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</w:pPr>
    </w:p>
    <w:p w14:paraId="173BC223">
      <w:pPr>
        <w:spacing w:line="384" w:lineRule="exact"/>
        <w:jc w:val="left"/>
        <w:rPr>
          <w:rFonts w:hint="eastAsia" w:asciiTheme="minorEastAsia" w:hAnsiTheme="minorEastAsia" w:eastAsiaTheme="minorEastAsia" w:cstheme="minorEastAsia"/>
          <w:b/>
          <w:bCs w:val="0"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pacing w:val="0"/>
          <w:position w:val="6"/>
          <w:sz w:val="21"/>
          <w:szCs w:val="21"/>
        </w:rPr>
        <w:t>一、成立条件</w:t>
      </w:r>
    </w:p>
    <w:p w14:paraId="7F2880C5">
      <w:pPr>
        <w:spacing w:line="384" w:lineRule="exact"/>
        <w:ind w:firstLine="273" w:firstLineChars="130"/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（一）</w:t>
      </w: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  <w:lang w:val="en-US" w:eastAsia="zh-CN"/>
        </w:rPr>
        <w:t>起因条件：</w:t>
      </w: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存在现实的不法侵害</w:t>
      </w:r>
    </w:p>
    <w:p w14:paraId="73F0745E">
      <w:pPr>
        <w:spacing w:line="384" w:lineRule="exact"/>
        <w:ind w:firstLine="273" w:firstLineChars="130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  <w:t>不法侵害</w:t>
      </w: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既包括侵犯生命、健康权利的行为，也包括侵犯人身自由、公私财产等权利的行为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  <w:t>；</w:t>
      </w: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既包括犯罪行为，也包括违法行为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  <w:t>。不法侵害既包括针对本人的不法侵害，也</w:t>
      </w: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包括危害国家、公共利益或者针对他人的不法侵害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  <w:t>。</w:t>
      </w:r>
    </w:p>
    <w:p w14:paraId="051D46AC">
      <w:pPr>
        <w:spacing w:line="384" w:lineRule="exact"/>
        <w:ind w:firstLine="273" w:firstLineChars="130"/>
        <w:rPr>
          <w:rFonts w:hint="eastAsia" w:asciiTheme="minorEastAsia" w:hAnsiTheme="minorEastAsia" w:eastAsiaTheme="minorEastAsia" w:cstheme="minorEastAsia"/>
          <w:b/>
          <w:bCs/>
          <w:color w:val="FF0000"/>
          <w:spacing w:val="0"/>
          <w:position w:val="6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FF0000"/>
          <w:spacing w:val="0"/>
          <w:position w:val="6"/>
          <w:sz w:val="21"/>
          <w:szCs w:val="21"/>
          <w:lang w:val="en-US" w:eastAsia="zh-CN"/>
        </w:rPr>
        <w:t>注意：上课举例的破坏军用设施、抢夺方向盘的行为，是侵害国家、公共利益的行为，可以正当防卫。</w:t>
      </w:r>
    </w:p>
    <w:p w14:paraId="3ECC7513">
      <w:pPr>
        <w:spacing w:line="384" w:lineRule="exact"/>
        <w:ind w:firstLine="273" w:firstLineChars="130"/>
        <w:rPr>
          <w:rFonts w:hint="default" w:asciiTheme="minorEastAsia" w:hAnsiTheme="minorEastAsia" w:eastAsiaTheme="minorEastAsia" w:cstheme="minorEastAsia"/>
          <w:b/>
          <w:bCs/>
          <w:color w:val="FF0000"/>
          <w:spacing w:val="0"/>
          <w:position w:val="6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FF0000"/>
          <w:spacing w:val="0"/>
          <w:position w:val="6"/>
          <w:sz w:val="21"/>
          <w:szCs w:val="21"/>
          <w:lang w:val="en-US" w:eastAsia="zh-CN"/>
        </w:rPr>
        <w:t>动物的不法侵害：“打狗还要看主人”，狗被当作违法犯罪工具的，可以防卫。</w:t>
      </w:r>
    </w:p>
    <w:p w14:paraId="7D74D289">
      <w:pPr>
        <w:spacing w:line="384" w:lineRule="exact"/>
        <w:ind w:firstLine="273" w:firstLineChars="130"/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（二）</w:t>
      </w: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  <w:lang w:val="en-US" w:eastAsia="zh-CN"/>
        </w:rPr>
        <w:t>时间条件：</w:t>
      </w: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不法侵害必须正在进行</w:t>
      </w:r>
    </w:p>
    <w:p w14:paraId="1ADB2C12">
      <w:pPr>
        <w:tabs>
          <w:tab w:val="left" w:pos="420"/>
          <w:tab w:val="left" w:pos="659"/>
        </w:tabs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  <w:t>正当防卫必须是针对正在进行的不法侵害。对于不法侵害已经形成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pacing w:val="0"/>
          <w:position w:val="6"/>
          <w:sz w:val="21"/>
          <w:szCs w:val="21"/>
        </w:rPr>
        <w:t>现实、紧迫</w:t>
      </w: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危险的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  <w:t>，应当认定为不法侵害已经开始。</w:t>
      </w: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在财产犯罪中，不法侵害人虽已取得财物，但通过追赶、阻击等措施能够追回财物的，可以视为不法侵害仍在进行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  <w:t>。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6"/>
          <w:sz w:val="21"/>
          <w:szCs w:val="21"/>
          <w:lang w:val="en-US" w:eastAsia="zh-CN"/>
        </w:rPr>
        <w:t>背后原理：财产犯罪中，通过公安机关追回财物的可能性小，且公安机关办案积极性不高。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  <w:lang w:eastAsia="zh-CN"/>
        </w:rPr>
        <w:t>）</w:t>
      </w:r>
    </w:p>
    <w:p w14:paraId="31061747">
      <w:pPr>
        <w:spacing w:line="384" w:lineRule="exact"/>
        <w:ind w:firstLine="273" w:firstLineChars="130"/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（三）</w:t>
      </w: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  <w:lang w:val="en-US" w:eastAsia="zh-CN"/>
        </w:rPr>
        <w:t>对象条件：</w:t>
      </w: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针对不法侵害人本人进行防卫</w:t>
      </w:r>
    </w:p>
    <w:p w14:paraId="15CD8737">
      <w:pPr>
        <w:spacing w:line="384" w:lineRule="exact"/>
        <w:ind w:firstLine="273" w:firstLineChars="130"/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（四）</w:t>
      </w: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  <w:lang w:val="en-US" w:eastAsia="zh-CN"/>
        </w:rPr>
        <w:t>限度条件：</w:t>
      </w: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没有明显超过必要限度，造成重大损害</w:t>
      </w:r>
    </w:p>
    <w:p w14:paraId="6C1C4B9C">
      <w:pPr>
        <w:tabs>
          <w:tab w:val="left" w:pos="420"/>
          <w:tab w:val="left" w:pos="659"/>
        </w:tabs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防卫过当应当同时具备“明显超过必要限度”和“造成重大损害”两个条件，缺一不可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  <w:t>。防卫是否“明显超过必要限度”，应当综合不法侵害的性质、手段、强度、危害程度和防卫的时机、手段、强度、损害后果等情节，考虑双方力量对比，立足防卫人防卫时所处情境，结合社会公众的一般认知作出判断。</w:t>
      </w:r>
    </w:p>
    <w:p w14:paraId="30E6BC0F">
      <w:pPr>
        <w:tabs>
          <w:tab w:val="left" w:pos="420"/>
          <w:tab w:val="left" w:pos="659"/>
        </w:tabs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  <w:t>“造成重大损害”是指</w:t>
      </w: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造成不法侵害人重伤、死亡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  <w:t>。造成轻伤及以下损害的，不属于重大损害。</w:t>
      </w:r>
    </w:p>
    <w:p w14:paraId="22FF955E">
      <w:pPr>
        <w:spacing w:line="384" w:lineRule="exact"/>
        <w:ind w:firstLine="273" w:firstLineChars="130"/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（五）</w:t>
      </w: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  <w:lang w:val="en-US" w:eastAsia="zh-CN"/>
        </w:rPr>
        <w:t>防卫意识：</w:t>
      </w: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为了使国家、公共利益、本人或者他人的人身、财产和其他权利免受不法侵害</w:t>
      </w:r>
    </w:p>
    <w:p w14:paraId="44854C3F">
      <w:pPr>
        <w:tabs>
          <w:tab w:val="left" w:pos="420"/>
          <w:tab w:val="left" w:pos="659"/>
        </w:tabs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  <w:lang w:val="en-US" w:eastAsia="zh-CN"/>
        </w:rPr>
        <w:t>防卫意识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  <w:t>包括防卫认识与防卫意志。</w:t>
      </w:r>
    </w:p>
    <w:p w14:paraId="48CADB30">
      <w:pPr>
        <w:tabs>
          <w:tab w:val="left" w:pos="420"/>
          <w:tab w:val="left" w:pos="659"/>
        </w:tabs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6"/>
          <w:sz w:val="21"/>
          <w:szCs w:val="21"/>
        </w:rPr>
        <w:t>与防卫意识要件有关的争议问题主要包括以下两个：</w:t>
      </w:r>
    </w:p>
    <w:p w14:paraId="29479329">
      <w:pPr>
        <w:tabs>
          <w:tab w:val="left" w:pos="420"/>
          <w:tab w:val="left" w:pos="659"/>
        </w:tabs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  <w:t>1．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  <w:t>防卫挑拨</w:t>
      </w:r>
    </w:p>
    <w:p w14:paraId="39E553C0">
      <w:pPr>
        <w:tabs>
          <w:tab w:val="left" w:pos="420"/>
          <w:tab w:val="left" w:pos="659"/>
        </w:tabs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  <w:t>防卫挑拨，是指行为人为了加害对方而故意挑逗他人为一定的不法侵害或攻击，然后在正当防卫的借口下以防卫行为加害他人的情形。</w:t>
      </w: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对于故意以语言、行为等挑动对方侵害自己再予以反击的防卫挑拨，不应认定为防卫行为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  <w:t>。</w:t>
      </w:r>
    </w:p>
    <w:p w14:paraId="2DCACE02">
      <w:pPr>
        <w:tabs>
          <w:tab w:val="left" w:pos="420"/>
          <w:tab w:val="left" w:pos="659"/>
        </w:tabs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  <w:t>2．相互斗殴</w:t>
      </w:r>
    </w:p>
    <w:p w14:paraId="418BE79C">
      <w:pPr>
        <w:tabs>
          <w:tab w:val="left" w:pos="420"/>
          <w:tab w:val="left" w:pos="659"/>
        </w:tabs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  <w:t>因琐事发生争执，双方均不能保持克制而引发打斗，对于有过错的一方先动手且手段明显过激，或者一方先动手，在对方努力避免冲突的情况下仍继续侵害的，还击一方的行为一般应当认定为防卫行为。</w:t>
      </w:r>
    </w:p>
    <w:p w14:paraId="2F4118A0">
      <w:pPr>
        <w:tabs>
          <w:tab w:val="left" w:pos="420"/>
          <w:tab w:val="left" w:pos="659"/>
        </w:tabs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  <w:t>双方因琐事发生冲突，冲突结束后，一方又实施不法侵害，对方还击，包括使用工具还击的，一般应当认定为防卫行为。不能仅因行为人事先进行防卫准备，就影响对其防卫意图的认定。</w:t>
      </w:r>
    </w:p>
    <w:p w14:paraId="3977522F">
      <w:pPr>
        <w:tabs>
          <w:tab w:val="left" w:pos="420"/>
          <w:tab w:val="left" w:pos="659"/>
        </w:tabs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FF0000"/>
          <w:spacing w:val="0"/>
          <w:position w:val="6"/>
          <w:sz w:val="21"/>
          <w:szCs w:val="21"/>
          <w:lang w:val="en-US" w:eastAsia="zh-CN"/>
        </w:rPr>
        <w:t>注意：综合判断，最关键看主观上有无防卫意图，客观上有无不法侵害。</w:t>
      </w:r>
    </w:p>
    <w:p w14:paraId="47D76DBC">
      <w:pPr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</w:pPr>
    </w:p>
    <w:p w14:paraId="4078613B">
      <w:pPr>
        <w:spacing w:line="384" w:lineRule="exact"/>
        <w:jc w:val="left"/>
        <w:rPr>
          <w:rFonts w:hint="eastAsia" w:asciiTheme="minorEastAsia" w:hAnsiTheme="minorEastAsia" w:eastAsiaTheme="minorEastAsia" w:cstheme="minorEastAsia"/>
          <w:b/>
          <w:bCs w:val="0"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pacing w:val="0"/>
          <w:position w:val="6"/>
          <w:sz w:val="21"/>
          <w:szCs w:val="21"/>
        </w:rPr>
        <w:t>二、特殊防卫</w:t>
      </w:r>
    </w:p>
    <w:p w14:paraId="081D7C92">
      <w:pPr>
        <w:tabs>
          <w:tab w:val="left" w:pos="420"/>
          <w:tab w:val="left" w:pos="659"/>
        </w:tabs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  <w:t>1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  <w:t>．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  <w:t>有关“行凶”的理解。（1）使用致命性凶器，严重危及他人人身安全的；（2）未使用凶器或者未使用致命性凶器，但是根据不法侵害的人数、打击部位和力度等情况，确已严重危及他人人身安全的。虽然尚未造成实际损害，但已对人身安全造成严重、紧迫危险的，可以认定为“行凶”。</w:t>
      </w:r>
    </w:p>
    <w:p w14:paraId="6E409C9E">
      <w:pPr>
        <w:tabs>
          <w:tab w:val="left" w:pos="420"/>
          <w:tab w:val="left" w:pos="659"/>
        </w:tabs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  <w:t>2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  <w:t>．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  <w:t>对“杀人、抢劫、强奸、绑架”的理解。指</w:t>
      </w: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具体犯罪行为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  <w:t>而不是具体罪名。在实施不法侵害过程中存在杀人、抢劫、强奸、绑架等严重危及人身安全的暴力犯罪行为的，如以暴力手段抢劫枪支、弹药、爆炸物或者以绑架手段拐卖妇女、儿童的，可以实行特殊防卫。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6"/>
          <w:sz w:val="21"/>
          <w:szCs w:val="21"/>
        </w:rPr>
        <w:t>有关行为没有严重危及人身安全的，应当适用一般防卫的法律规定。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6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pacing w:val="0"/>
          <w:position w:val="6"/>
          <w:sz w:val="21"/>
          <w:szCs w:val="21"/>
          <w:lang w:val="en-US" w:eastAsia="zh-CN"/>
        </w:rPr>
        <w:t>命题容易挖坑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6"/>
          <w:sz w:val="21"/>
          <w:szCs w:val="21"/>
          <w:lang w:eastAsia="zh-CN"/>
        </w:rPr>
        <w:t>）</w:t>
      </w:r>
    </w:p>
    <w:p w14:paraId="3FC5405A">
      <w:pPr>
        <w:tabs>
          <w:tab w:val="left" w:pos="420"/>
          <w:tab w:val="left" w:pos="659"/>
        </w:tabs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  <w:t>3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  <w:t>．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  <w:t>对“其他严重危及人身安全的暴力犯罪”的理解。应当是与杀人、抢劫、强奸、绑架行为相当，并</w:t>
      </w: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具有致人重伤或者死亡的紧迫危险和现实可能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  <w:t>的暴力犯罪。</w:t>
      </w:r>
    </w:p>
    <w:p w14:paraId="0D42865A">
      <w:pPr>
        <w:tabs>
          <w:tab w:val="left" w:pos="420"/>
          <w:tab w:val="left" w:pos="659"/>
        </w:tabs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  <w:t>对于不符合特殊防卫起因条件的防卫行为，致不法侵害人伤亡的，如果没有明显超过必要限度，也应当认定为正当防卫，不负刑事责任。</w:t>
      </w:r>
    </w:p>
    <w:p w14:paraId="57D966B5">
      <w:pPr>
        <w:spacing w:line="384" w:lineRule="exact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</w:pPr>
    </w:p>
    <w:p w14:paraId="4A4607BE">
      <w:pPr>
        <w:spacing w:line="384" w:lineRule="exact"/>
        <w:jc w:val="left"/>
        <w:rPr>
          <w:rFonts w:hint="eastAsia" w:asciiTheme="minorEastAsia" w:hAnsiTheme="minorEastAsia" w:eastAsiaTheme="minorEastAsia" w:cstheme="minorEastAsia"/>
          <w:b/>
          <w:bCs w:val="0"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pacing w:val="0"/>
          <w:position w:val="6"/>
          <w:sz w:val="21"/>
          <w:szCs w:val="21"/>
        </w:rPr>
        <w:t>三、正当防卫与紧急避险的区分</w:t>
      </w:r>
    </w:p>
    <w:p w14:paraId="65A2FD2E">
      <w:pPr>
        <w:spacing w:before="156" w:beforeLines="50"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6"/>
          <w:sz w:val="21"/>
          <w:szCs w:val="21"/>
          <w:lang w:val="en-US" w:eastAsia="zh-CN"/>
        </w:rPr>
        <w:t>正当防卫的本质是“以正对不正”，紧急避险的本质是“以正对正”。</w:t>
      </w:r>
    </w:p>
    <w:p w14:paraId="5FB76438">
      <w:pPr>
        <w:spacing w:before="156" w:beforeLines="50"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6"/>
          <w:sz w:val="21"/>
          <w:szCs w:val="21"/>
          <w:lang w:val="en-US" w:eastAsia="zh-CN"/>
        </w:rPr>
        <w:t>在客观条件上：起因方面，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  <w:lang w:val="en-US" w:eastAsia="zh-CN"/>
        </w:rPr>
        <w:t>正当防卫的起因是不法侵害（限于人的行为，且具有不法性），紧急避险的起因是现实的危险（来源包括人的行为、自然原因、动物侵袭、疫病等）。时间方面，正当防卫要求不法侵害正在进行（危险可能），紧急避险要求危险正在发生。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6"/>
          <w:sz w:val="21"/>
          <w:szCs w:val="21"/>
          <w:lang w:val="en-US" w:eastAsia="zh-CN"/>
        </w:rPr>
        <w:t>对象方面，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  <w:lang w:val="en-US" w:eastAsia="zh-CN"/>
        </w:rPr>
        <w:t>正当防卫针对不法侵害者本人，紧急避险针对合法权益（通常是第三人的权益）。是否要求“不得已”方面，正当防卫无此要求，紧急避险要求避险是唯一方法，即不得已。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6"/>
          <w:sz w:val="21"/>
          <w:szCs w:val="21"/>
          <w:lang w:val="en-US" w:eastAsia="zh-CN"/>
        </w:rPr>
        <w:t>限度方面，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  <w:lang w:val="en-US" w:eastAsia="zh-CN"/>
        </w:rPr>
        <w:t>正当防卫要求未超过必要限度造成重大损害，且保护的利益可以小于损害的利益；紧急避险要求未超过必要限度造成不应有损害，且所保护的利益必须大于或等于所损害的利益。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6"/>
          <w:sz w:val="21"/>
          <w:szCs w:val="21"/>
          <w:lang w:val="en-US" w:eastAsia="zh-CN"/>
        </w:rPr>
        <w:t>主体方面，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  <w:lang w:val="en-US" w:eastAsia="zh-CN"/>
        </w:rPr>
        <w:t>正当防卫无限制，紧急避险中避免本人危险不适用于职务上、业务上负有特定责任的人。</w:t>
      </w:r>
    </w:p>
    <w:p w14:paraId="17E0BF1C">
      <w:pPr>
        <w:spacing w:before="156" w:beforeLines="50"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6"/>
          <w:sz w:val="21"/>
          <w:szCs w:val="21"/>
          <w:lang w:val="en-US" w:eastAsia="zh-CN"/>
        </w:rPr>
        <w:t>在主观条件上，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  <w:lang w:val="en-US" w:eastAsia="zh-CN"/>
        </w:rPr>
        <w:t>二者均要求具备相应的主观意识：正当防卫需具备防卫认识和防卫意志，紧急避险需具备避险认识和避险意志。</w:t>
      </w:r>
    </w:p>
    <w:p w14:paraId="727C5AF6">
      <w:pPr>
        <w:spacing w:before="156" w:beforeLines="50"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</w:pPr>
    </w:p>
    <w:p w14:paraId="4762DBBA">
      <w:pPr>
        <w:spacing w:line="384" w:lineRule="exact"/>
        <w:jc w:val="left"/>
        <w:rPr>
          <w:rFonts w:hint="eastAsia" w:asciiTheme="minorEastAsia" w:hAnsiTheme="minorEastAsia" w:eastAsiaTheme="minorEastAsia" w:cstheme="minorEastAsia"/>
          <w:b/>
          <w:bCs w:val="0"/>
          <w:color w:val="auto"/>
          <w:spacing w:val="0"/>
          <w:position w:val="6"/>
          <w:sz w:val="21"/>
          <w:szCs w:val="21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pacing w:val="0"/>
          <w:position w:val="6"/>
          <w:sz w:val="21"/>
          <w:szCs w:val="21"/>
        </w:rPr>
        <w:t>四、多观点展示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pacing w:val="0"/>
          <w:position w:val="6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pacing w:val="0"/>
          <w:position w:val="6"/>
          <w:sz w:val="21"/>
          <w:szCs w:val="21"/>
          <w:lang w:val="en-US" w:eastAsia="zh-CN"/>
        </w:rPr>
        <w:t>偶然防卫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pacing w:val="0"/>
          <w:position w:val="6"/>
          <w:sz w:val="21"/>
          <w:szCs w:val="21"/>
          <w:lang w:eastAsia="zh-CN"/>
        </w:rPr>
        <w:t>）</w:t>
      </w:r>
    </w:p>
    <w:p w14:paraId="0EF5B3F6">
      <w:pPr>
        <w:widowControl/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</w:pPr>
      <w:bookmarkStart w:id="1" w:name="_Toc468143028"/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  <w:lang w:val="en-US" w:eastAsia="zh-CN"/>
        </w:rPr>
        <w:t>偶然防卫是指行为人非基于防卫意识而实施的故意或过失不法行为，客观上起到了“正当防卫”的效果。</w:t>
      </w:r>
    </w:p>
    <w:p w14:paraId="30C339F1">
      <w:pPr>
        <w:widowControl/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6"/>
          <w:sz w:val="21"/>
          <w:szCs w:val="21"/>
          <w:lang w:val="en-US" w:eastAsia="zh-CN"/>
        </w:rPr>
        <w:t>事例模型一：甲想杀死自己的仇人乙，开枪将正在对丙实施故意伤害的乙打死。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  <w:lang w:val="en-US" w:eastAsia="zh-CN"/>
        </w:rPr>
        <w:t>结果无价值论的观点认为，正当防卫的成立不需要防卫意识，因此甲的行为构成正当防卫，无罪。行为无价值论的观点认为，正当防卫的成立需要防卫意识，且甲的行为造成了乙的死亡结果，因此甲构成故意杀人罪既遂。二元的行为无价值论的观点认为，正当防卫的成立虽需要防卫意识，但甲的行为保护了丙的身体安全，没有造成危害结果，因此甲构成故意杀人罪未遂。</w:t>
      </w:r>
    </w:p>
    <w:p w14:paraId="458F1C96">
      <w:pPr>
        <w:widowControl/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FF0000"/>
          <w:spacing w:val="0"/>
          <w:position w:val="6"/>
          <w:sz w:val="21"/>
          <w:szCs w:val="21"/>
          <w:lang w:val="en-US" w:eastAsia="zh-CN"/>
        </w:rPr>
        <w:t>事例模型二：甲和乙共同实施抢劫，在逃避警察抓捕过程中持枪反击，甲因枪法不准射中了同伙乙，致其当场倒地身亡。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  <w:lang w:val="en-US" w:eastAsia="zh-CN"/>
        </w:rPr>
        <w:t>结果无价值论的观点认为，客观上甲的行为制止了不法侵害，但主观上甲针对的是无辜第三人，仍有杀人故意，因此甲构成故意杀人罪未遂。行为无价值论的观点认为，正当防卫的成立需要防卫意识，且甲的行为造成了乙的死亡结果，因此甲构成故意杀人罪既遂。二元的行为无价值论的观点认为，正当防卫的成立虽需要防卫意识，但甲的行为制止了不法侵害，没有造成危害结果，因此甲构成故意杀人罪未遂。</w:t>
      </w:r>
    </w:p>
    <w:p w14:paraId="55D0977C">
      <w:pPr>
        <w:widowControl/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6"/>
          <w:sz w:val="21"/>
          <w:szCs w:val="21"/>
          <w:lang w:val="en-US" w:eastAsia="zh-CN"/>
        </w:rPr>
        <w:t>偶然防卫+打击错误（先客观判断偶然防卫，后主观判断打击错误，一一对应组合）：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  <w:lang w:val="en-US" w:eastAsia="zh-CN"/>
        </w:rPr>
        <w:t>例如甲、乙共谋杀害丙，甲开枪打丙未击中，子弹走偏打死同伙乙。针对甲对丙的行为，甲构成杀人未遂，无违法阻却事由，客观不法，主观有杀人故意，认定为故意杀人罪未遂。针对甲对乙的行为，甲构成杀人致死，涉及偶然防卫。若认定客观为正当防卫（合法），结合主观的法定符合说（有杀人故意），结论为无罪；结合主观的具体符合说（过失），结论也为无罪。若认定客观为杀人未遂（不法），结合主观的法定符合说（有杀人故意），结论为故意杀人罪未遂；结合主观的具体符合说（过失），结论为过失致死未遂，无罪。若认定客观为杀人既遂（不法），结合主观的法定符合说（有杀人故意），结论为故意杀人罪既遂；结合主观的具体符合说（过失），结论为过失致人死亡罪。最终，甲的行为整体按想象竞合处理。</w:t>
      </w:r>
    </w:p>
    <w:p w14:paraId="09F3387C">
      <w:pPr>
        <w:widowControl/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</w:pPr>
    </w:p>
    <w:p w14:paraId="4E750EC6">
      <w:pPr>
        <w:widowControl/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</w:pPr>
    </w:p>
    <w:p w14:paraId="03BE39AE">
      <w:pPr>
        <w:pStyle w:val="2"/>
        <w:spacing w:before="0" w:after="0" w:line="440" w:lineRule="exact"/>
        <w:jc w:val="center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0"/>
          <w:position w:val="6"/>
          <w:sz w:val="21"/>
          <w:szCs w:val="21"/>
        </w:rPr>
      </w:pPr>
      <w:bookmarkStart w:id="2" w:name="_Toc230796548"/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6"/>
          <w:sz w:val="21"/>
          <w:szCs w:val="21"/>
        </w:rPr>
        <w:t xml:space="preserve">专题四  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6"/>
          <w:sz w:val="21"/>
          <w:szCs w:val="21"/>
        </w:rPr>
        <w:t>共同犯罪</w:t>
      </w:r>
      <w:bookmarkEnd w:id="1"/>
      <w:bookmarkEnd w:id="2"/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6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6"/>
          <w:sz w:val="21"/>
          <w:szCs w:val="21"/>
          <w:lang w:val="en-US" w:eastAsia="zh-CN"/>
        </w:rPr>
        <w:t>21:49—22:35</w:t>
      </w:r>
      <w:bookmarkStart w:id="3" w:name="_GoBack"/>
      <w:bookmarkEnd w:id="3"/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6"/>
          <w:sz w:val="21"/>
          <w:szCs w:val="21"/>
          <w:lang w:eastAsia="zh-CN"/>
        </w:rPr>
        <w:t>）</w:t>
      </w:r>
    </w:p>
    <w:p w14:paraId="0592179C">
      <w:pPr>
        <w:spacing w:line="384" w:lineRule="exact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</w:pPr>
    </w:p>
    <w:p w14:paraId="50A06EEC">
      <w:pPr>
        <w:spacing w:line="384" w:lineRule="exact"/>
        <w:jc w:val="left"/>
        <w:rPr>
          <w:rFonts w:hint="eastAsia" w:asciiTheme="minorEastAsia" w:hAnsiTheme="minorEastAsia" w:eastAsiaTheme="minorEastAsia" w:cstheme="minorEastAsia"/>
          <w:b/>
          <w:bCs w:val="0"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pacing w:val="0"/>
          <w:position w:val="6"/>
          <w:sz w:val="21"/>
          <w:szCs w:val="21"/>
        </w:rPr>
        <w:t>一、共同犯罪的本质</w:t>
      </w:r>
    </w:p>
    <w:p w14:paraId="35CC36DE">
      <w:pPr>
        <w:tabs>
          <w:tab w:val="left" w:pos="420"/>
        </w:tabs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kern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0"/>
          <w:kern w:val="0"/>
          <w:position w:val="6"/>
          <w:sz w:val="21"/>
          <w:szCs w:val="21"/>
        </w:rPr>
        <w:t>共同犯罪是指</w:t>
      </w: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二人以上共同故意犯罪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kern w:val="0"/>
          <w:position w:val="6"/>
          <w:sz w:val="21"/>
          <w:szCs w:val="21"/>
        </w:rPr>
        <w:t>。在共同犯罪中，</w:t>
      </w: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不法是连带的，责任是个别的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kern w:val="0"/>
          <w:position w:val="6"/>
          <w:sz w:val="21"/>
          <w:szCs w:val="21"/>
        </w:rPr>
        <w:t>。</w:t>
      </w:r>
    </w:p>
    <w:p w14:paraId="1677DC56">
      <w:pPr>
        <w:spacing w:line="384" w:lineRule="exact"/>
        <w:jc w:val="left"/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</w:pPr>
    </w:p>
    <w:p w14:paraId="031088E5">
      <w:pPr>
        <w:spacing w:line="384" w:lineRule="exact"/>
        <w:jc w:val="left"/>
        <w:rPr>
          <w:rFonts w:hint="eastAsia" w:asciiTheme="minorEastAsia" w:hAnsiTheme="minorEastAsia" w:eastAsiaTheme="minorEastAsia" w:cstheme="minorEastAsia"/>
          <w:b/>
          <w:bCs w:val="0"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pacing w:val="0"/>
          <w:position w:val="6"/>
          <w:sz w:val="21"/>
          <w:szCs w:val="21"/>
        </w:rPr>
        <w:t>二、共同犯罪的成立条件</w:t>
      </w:r>
    </w:p>
    <w:p w14:paraId="7C78E14B">
      <w:pPr>
        <w:spacing w:line="384" w:lineRule="exact"/>
        <w:ind w:firstLine="273" w:firstLineChars="130"/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（一）二人以上</w:t>
      </w:r>
    </w:p>
    <w:p w14:paraId="0CA571BC">
      <w:pPr>
        <w:tabs>
          <w:tab w:val="left" w:pos="420"/>
        </w:tabs>
        <w:spacing w:line="384" w:lineRule="exact"/>
        <w:ind w:firstLine="420" w:firstLineChars="200"/>
        <w:jc w:val="left"/>
        <w:rPr>
          <w:rFonts w:hint="eastAsia" w:asciiTheme="minorEastAsia" w:hAnsiTheme="minorEastAsia" w:eastAsiaTheme="minorEastAsia" w:cstheme="minorEastAsia"/>
          <w:color w:val="auto"/>
          <w:spacing w:val="0"/>
          <w:kern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不要求行为人都具</w:t>
      </w: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备完全的责任能力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kern w:val="0"/>
          <w:position w:val="6"/>
          <w:sz w:val="21"/>
          <w:szCs w:val="21"/>
        </w:rPr>
        <w:t>。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kern w:val="0"/>
          <w:position w:val="6"/>
          <w:sz w:val="21"/>
          <w:szCs w:val="21"/>
        </w:rPr>
        <w:t>两个以上的单位以及单位与自然人之间也可以成立共同犯罪。</w:t>
      </w:r>
    </w:p>
    <w:p w14:paraId="65FCA88E">
      <w:pPr>
        <w:spacing w:line="384" w:lineRule="exact"/>
        <w:ind w:firstLine="273" w:firstLineChars="130"/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（二）共同故意</w:t>
      </w:r>
    </w:p>
    <w:p w14:paraId="28DB4ED1">
      <w:pPr>
        <w:tabs>
          <w:tab w:val="left" w:pos="420"/>
        </w:tabs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0"/>
          <w:kern w:val="0"/>
          <w:position w:val="6"/>
          <w:sz w:val="21"/>
          <w:szCs w:val="21"/>
        </w:rPr>
        <w:t>这里是指</w:t>
      </w: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二人以上共同实施故意犯罪，并不要求二人以上主观上有完全相同的故意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kern w:val="0"/>
          <w:position w:val="6"/>
          <w:sz w:val="21"/>
          <w:szCs w:val="21"/>
        </w:rPr>
        <w:t>。</w:t>
      </w:r>
    </w:p>
    <w:p w14:paraId="2D187295">
      <w:pPr>
        <w:tabs>
          <w:tab w:val="left" w:pos="420"/>
        </w:tabs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kern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0"/>
          <w:kern w:val="0"/>
          <w:position w:val="6"/>
          <w:sz w:val="21"/>
          <w:szCs w:val="21"/>
        </w:rPr>
        <w:t>共同故意通常表现为双向的意思联络，即此方、彼方均相互知情；当只有单向意思联络，即此方知情彼方、彼方不知情此方时，就会出现“</w:t>
      </w: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片面共犯行为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kern w:val="0"/>
          <w:position w:val="6"/>
          <w:sz w:val="21"/>
          <w:szCs w:val="21"/>
        </w:rPr>
        <w:t>”的现象。</w:t>
      </w:r>
    </w:p>
    <w:p w14:paraId="6B820B96">
      <w:pPr>
        <w:tabs>
          <w:tab w:val="left" w:pos="420"/>
        </w:tabs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kern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0"/>
          <w:kern w:val="0"/>
          <w:position w:val="6"/>
          <w:sz w:val="21"/>
          <w:szCs w:val="21"/>
        </w:rPr>
        <w:t>“片面共犯行为”可否成立共同犯罪，理论上有不同观点。片面共犯包括三种情形，即</w:t>
      </w: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片面正犯、片面教唆犯和片面帮助犯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kern w:val="0"/>
          <w:position w:val="6"/>
          <w:sz w:val="21"/>
          <w:szCs w:val="21"/>
        </w:rPr>
        <w:t>。</w:t>
      </w:r>
    </w:p>
    <w:p w14:paraId="006B6BBD">
      <w:pPr>
        <w:tabs>
          <w:tab w:val="left" w:pos="420"/>
        </w:tabs>
        <w:spacing w:line="384" w:lineRule="exact"/>
        <w:ind w:firstLine="420" w:firstLineChars="200"/>
        <w:rPr>
          <w:rFonts w:hint="default" w:asciiTheme="minorEastAsia" w:hAnsiTheme="minorEastAsia" w:eastAsiaTheme="minorEastAsia" w:cstheme="minorEastAsia"/>
          <w:b/>
          <w:bCs/>
          <w:color w:val="FF0000"/>
          <w:spacing w:val="0"/>
          <w:position w:val="6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FF0000"/>
          <w:spacing w:val="0"/>
          <w:kern w:val="0"/>
          <w:position w:val="6"/>
          <w:sz w:val="21"/>
          <w:szCs w:val="21"/>
          <w:lang w:val="en-US" w:eastAsia="zh-CN"/>
        </w:rPr>
        <w:t>原理：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pacing w:val="0"/>
          <w:kern w:val="0"/>
          <w:position w:val="6"/>
          <w:sz w:val="21"/>
          <w:szCs w:val="21"/>
        </w:rPr>
        <w:t>共同正犯、教唆对意思联络、心理联系的要求较高。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pacing w:val="0"/>
          <w:kern w:val="0"/>
          <w:position w:val="6"/>
          <w:sz w:val="21"/>
          <w:szCs w:val="21"/>
          <w:lang w:val="en-US" w:eastAsia="zh-CN"/>
        </w:rPr>
        <w:t>所以片面共同正犯、片面教唆不构成共同正犯、教唆犯。</w:t>
      </w:r>
    </w:p>
    <w:p w14:paraId="3410F3E6">
      <w:pPr>
        <w:tabs>
          <w:tab w:val="left" w:pos="420"/>
        </w:tabs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kern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kern w:val="0"/>
          <w:position w:val="6"/>
          <w:sz w:val="21"/>
          <w:szCs w:val="21"/>
        </w:rPr>
        <w:t>法考立场是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6"/>
          <w:sz w:val="21"/>
          <w:szCs w:val="21"/>
        </w:rPr>
        <w:t>仅承认片面帮助犯，即帮助故意可以是单向意思联络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kern w:val="0"/>
          <w:position w:val="6"/>
          <w:sz w:val="21"/>
          <w:szCs w:val="21"/>
        </w:rPr>
        <w:t>；共同实行故意、教唆故意需双向意思联络。否认片面正犯、片面教唆犯概念，不等于放纵犯罪，对相关行为人可以按照间接正犯或帮助犯处理。</w:t>
      </w:r>
    </w:p>
    <w:p w14:paraId="096987EA">
      <w:pPr>
        <w:tabs>
          <w:tab w:val="left" w:pos="420"/>
        </w:tabs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kern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kern w:val="0"/>
          <w:position w:val="6"/>
          <w:sz w:val="21"/>
          <w:szCs w:val="21"/>
        </w:rPr>
        <w:t>这里还要注意以下不成立共同犯罪的情形：</w:t>
      </w:r>
    </w:p>
    <w:p w14:paraId="308FD451">
      <w:pPr>
        <w:tabs>
          <w:tab w:val="left" w:pos="420"/>
        </w:tabs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kern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0"/>
          <w:kern w:val="0"/>
          <w:position w:val="6"/>
          <w:sz w:val="21"/>
          <w:szCs w:val="21"/>
        </w:rPr>
        <w:t>（1）</w:t>
      </w: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同时犯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kern w:val="0"/>
          <w:position w:val="6"/>
          <w:sz w:val="21"/>
          <w:szCs w:val="21"/>
        </w:rPr>
        <w:t>，是指数人没有共同意思联络、偶然地在同一场所、同一时间针对同一客体实行犯罪的情形。同时正犯与共同正犯最大的不同之处在于，由于没有意思联络，因而不成立共同犯罪，在事实不清时，必须对各实行人做有利的事实认定。</w:t>
      </w:r>
    </w:p>
    <w:p w14:paraId="252EAF2F">
      <w:pPr>
        <w:tabs>
          <w:tab w:val="left" w:pos="420"/>
        </w:tabs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kern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0"/>
          <w:kern w:val="0"/>
          <w:position w:val="6"/>
          <w:sz w:val="21"/>
          <w:szCs w:val="21"/>
        </w:rPr>
        <w:t>（2）</w:t>
      </w: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共同过失犯罪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kern w:val="0"/>
          <w:position w:val="6"/>
          <w:sz w:val="21"/>
          <w:szCs w:val="21"/>
        </w:rPr>
        <w:t>，没有相同的犯罪认识和意思因素，也不存在意思联络，不是共同犯罪。共同过失犯罪的，根据各行为人过失犯罪的具体情况分别定罪量刑即可。</w:t>
      </w:r>
    </w:p>
    <w:p w14:paraId="6D08673C">
      <w:pPr>
        <w:tabs>
          <w:tab w:val="left" w:pos="420"/>
        </w:tabs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0"/>
          <w:kern w:val="0"/>
          <w:position w:val="6"/>
          <w:sz w:val="21"/>
          <w:szCs w:val="21"/>
        </w:rPr>
        <w:t>（3）</w:t>
      </w: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彼此无意思联络的先后故意犯罪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kern w:val="0"/>
          <w:position w:val="6"/>
          <w:sz w:val="21"/>
          <w:szCs w:val="21"/>
        </w:rPr>
        <w:t>。</w:t>
      </w:r>
    </w:p>
    <w:p w14:paraId="1B3DDA3C">
      <w:pPr>
        <w:spacing w:line="384" w:lineRule="exact"/>
        <w:ind w:firstLine="273" w:firstLineChars="130"/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pacing w:val="0"/>
          <w:position w:val="6"/>
          <w:sz w:val="21"/>
          <w:szCs w:val="21"/>
        </w:rPr>
        <w:t>（三）共同行为</w:t>
      </w:r>
    </w:p>
    <w:p w14:paraId="60997551">
      <w:pPr>
        <w:tabs>
          <w:tab w:val="left" w:pos="420"/>
        </w:tabs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kern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0"/>
          <w:kern w:val="0"/>
          <w:position w:val="6"/>
          <w:sz w:val="21"/>
          <w:szCs w:val="21"/>
        </w:rPr>
        <w:t>共同犯罪的行为方式既包括作为，也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kern w:val="0"/>
          <w:position w:val="6"/>
          <w:sz w:val="21"/>
          <w:szCs w:val="21"/>
        </w:rPr>
        <w:t>包括不作为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kern w:val="0"/>
          <w:position w:val="6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pacing w:val="0"/>
          <w:kern w:val="0"/>
          <w:position w:val="6"/>
          <w:sz w:val="21"/>
          <w:szCs w:val="21"/>
          <w:lang w:val="en-US" w:eastAsia="zh-CN"/>
        </w:rPr>
        <w:t>负有作为义务，应当作为而不作为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kern w:val="0"/>
          <w:position w:val="6"/>
          <w:sz w:val="21"/>
          <w:szCs w:val="21"/>
          <w:lang w:eastAsia="zh-CN"/>
        </w:rPr>
        <w:t>）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kern w:val="0"/>
          <w:position w:val="6"/>
          <w:sz w:val="21"/>
          <w:szCs w:val="21"/>
        </w:rPr>
        <w:t>。</w:t>
      </w:r>
    </w:p>
    <w:p w14:paraId="25B3DB54">
      <w:pPr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  <w:t>主体是自然人或单位，不要求都具备刑事责任能力或达到刑事责任年龄；行为需形成一个整体，包括作为和不作为；共同故意包括双向意思联络，以及单向意思联络（片面共犯）。</w:t>
      </w:r>
    </w:p>
    <w:p w14:paraId="50B15881">
      <w:pPr>
        <w:spacing w:line="384" w:lineRule="exact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6"/>
          <w:sz w:val="21"/>
          <w:szCs w:val="21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iti SC Medium">
    <w:panose1 w:val="00000000000000000000"/>
    <w:charset w:val="86"/>
    <w:family w:val="auto"/>
    <w:pitch w:val="default"/>
    <w:sig w:usb0="8000002F" w:usb1="0800004A" w:usb2="00000000" w:usb3="00000000" w:csb0="203E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汉仪大宋简">
    <w:altName w:val="汉仪书宋二KW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汉仪书宋二简">
    <w:altName w:val="华文宋体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汉仪大黑简">
    <w:altName w:val="汉仪中黑KW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汉仪中黑简">
    <w:altName w:val="汉仪中黑KW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楷体">
    <w:altName w:val="汉仪楷体KW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汉仪粗黑简">
    <w:altName w:val="汉仪中黑KW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汉仪书宋一简">
    <w:altName w:val="华文宋体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华文仿宋">
    <w:altName w:val="仿宋-简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Calibri Light">
    <w:altName w:val="Helvetica Neue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altName w:val="仿宋-简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altName w:val="汉仪旗黑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华文宋体">
    <w:panose1 w:val="02010600040101010101"/>
    <w:charset w:val="86"/>
    <w:family w:val="auto"/>
    <w:pitch w:val="default"/>
    <w:sig w:usb0="80000287" w:usb1="280F3C52" w:usb2="00000016" w:usb3="00000000" w:csb0="0004001F" w:csb1="00000000"/>
  </w:font>
  <w:font w:name="汉仪楷体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旗黑">
    <w:panose1 w:val="00020600040101010101"/>
    <w:charset w:val="86"/>
    <w:family w:val="auto"/>
    <w:pitch w:val="default"/>
    <w:sig w:usb0="A00002BF" w:usb1="1ACF7CFA" w:usb2="00000016" w:usb3="00000000" w:csb0="0004009F" w:csb1="DFD7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仿宋-简">
    <w:panose1 w:val="02010609060101010101"/>
    <w:charset w:val="86"/>
    <w:family w:val="auto"/>
    <w:pitch w:val="default"/>
    <w:sig w:usb0="A00002BF" w:usb1="3A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D41C96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5620756">
                          <w:pPr>
                            <w:pStyle w:val="3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ItvYn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5620756">
                    <w:pPr>
                      <w:pStyle w:val="3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6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EBD403"/>
    <w:rsid w:val="17F7135C"/>
    <w:rsid w:val="1EFDEC89"/>
    <w:rsid w:val="1FEBD403"/>
    <w:rsid w:val="2BFB6524"/>
    <w:rsid w:val="2BFF352D"/>
    <w:rsid w:val="2FCF1519"/>
    <w:rsid w:val="2FEFAB11"/>
    <w:rsid w:val="31FF59A0"/>
    <w:rsid w:val="336E0874"/>
    <w:rsid w:val="36FB23A5"/>
    <w:rsid w:val="393E0352"/>
    <w:rsid w:val="53F45744"/>
    <w:rsid w:val="56DF7529"/>
    <w:rsid w:val="573F01E3"/>
    <w:rsid w:val="57F36488"/>
    <w:rsid w:val="59EF0FB0"/>
    <w:rsid w:val="5EB61032"/>
    <w:rsid w:val="5EBFEC4F"/>
    <w:rsid w:val="5ECFC4C7"/>
    <w:rsid w:val="5FB46490"/>
    <w:rsid w:val="667D8A79"/>
    <w:rsid w:val="66BDF9A3"/>
    <w:rsid w:val="675FD58E"/>
    <w:rsid w:val="67BB0167"/>
    <w:rsid w:val="6BBF9808"/>
    <w:rsid w:val="6BCAFDB7"/>
    <w:rsid w:val="6FBF309C"/>
    <w:rsid w:val="6FF71E4D"/>
    <w:rsid w:val="7377547F"/>
    <w:rsid w:val="74F55605"/>
    <w:rsid w:val="75FBEE46"/>
    <w:rsid w:val="79FDC846"/>
    <w:rsid w:val="7AFF997E"/>
    <w:rsid w:val="7B7F1665"/>
    <w:rsid w:val="7BF04159"/>
    <w:rsid w:val="7BFFBC3D"/>
    <w:rsid w:val="7C1F18B1"/>
    <w:rsid w:val="7D7E11E7"/>
    <w:rsid w:val="7EBE40AA"/>
    <w:rsid w:val="7EEFA42B"/>
    <w:rsid w:val="7F1A2729"/>
    <w:rsid w:val="7FBEC7CD"/>
    <w:rsid w:val="7FEB65D7"/>
    <w:rsid w:val="8D7FD3B3"/>
    <w:rsid w:val="9BD54B8B"/>
    <w:rsid w:val="9F3AD998"/>
    <w:rsid w:val="ADCDB189"/>
    <w:rsid w:val="AF7FE35C"/>
    <w:rsid w:val="B4FD7142"/>
    <w:rsid w:val="B56BC208"/>
    <w:rsid w:val="B57EF4AD"/>
    <w:rsid w:val="B9F5EB28"/>
    <w:rsid w:val="BDDCFA02"/>
    <w:rsid w:val="BDEF01BF"/>
    <w:rsid w:val="BFDF1F67"/>
    <w:rsid w:val="BFEBECD9"/>
    <w:rsid w:val="CA9FBD9A"/>
    <w:rsid w:val="CEFB5970"/>
    <w:rsid w:val="D2BE8897"/>
    <w:rsid w:val="D3EF1E04"/>
    <w:rsid w:val="DD7C6A3D"/>
    <w:rsid w:val="DD7EE0E7"/>
    <w:rsid w:val="DFAE82B3"/>
    <w:rsid w:val="DFDFBDF7"/>
    <w:rsid w:val="E3FA8069"/>
    <w:rsid w:val="E7ABBDBD"/>
    <w:rsid w:val="ED376CD6"/>
    <w:rsid w:val="ED7F6FB7"/>
    <w:rsid w:val="EF77BADB"/>
    <w:rsid w:val="EF7DEE48"/>
    <w:rsid w:val="EFBECA8D"/>
    <w:rsid w:val="EFEF2239"/>
    <w:rsid w:val="EFF6A3D0"/>
    <w:rsid w:val="F3D3E345"/>
    <w:rsid w:val="F5BF92C5"/>
    <w:rsid w:val="F5EF6072"/>
    <w:rsid w:val="F5FFCB09"/>
    <w:rsid w:val="F77D3B62"/>
    <w:rsid w:val="F7FBF910"/>
    <w:rsid w:val="FA977B79"/>
    <w:rsid w:val="FB7E520D"/>
    <w:rsid w:val="FBEBEABB"/>
    <w:rsid w:val="FF3FDD4C"/>
    <w:rsid w:val="FF9D6E71"/>
    <w:rsid w:val="FFA6703C"/>
    <w:rsid w:val="FFEB3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宋体" w:eastAsia="宋体" w:cs="宋体"/>
      <w:color w:val="000000" w:themeColor="text1"/>
      <w:kern w:val="2"/>
      <w:sz w:val="21"/>
      <w:szCs w:val="21"/>
      <w:lang w:val="en-US" w:eastAsia="zh-CN" w:bidi="ar-SA"/>
      <w14:textFill>
        <w14:solidFill>
          <w14:schemeClr w14:val="tx1"/>
        </w14:solidFill>
      </w14:textFill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6">
    <w:name w:val="Table Grid"/>
    <w:basedOn w:val="5"/>
    <w:qFormat/>
    <w:uiPriority w:val="59"/>
    <w:rPr>
      <w:rFonts w:asciiTheme="minorHAnsi" w:hAnsiTheme="minorHAnsi" w:eastAsiaTheme="minorEastAsia" w:cstheme="minorBid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basedOn w:val="7"/>
    <w:qFormat/>
    <w:uiPriority w:val="0"/>
    <w:rPr>
      <w:b/>
    </w:rPr>
  </w:style>
  <w:style w:type="paragraph" w:customStyle="1" w:styleId="9">
    <w:name w:val="一级标题"/>
    <w:basedOn w:val="1"/>
    <w:uiPriority w:val="0"/>
    <w:pPr>
      <w:jc w:val="center"/>
    </w:pPr>
    <w:rPr>
      <w:rFonts w:ascii="Times New Roman" w:hAnsi="Times New Roman" w:eastAsia="Heiti SC Medium"/>
      <w:sz w:val="36"/>
    </w:rPr>
  </w:style>
  <w:style w:type="table" w:customStyle="1" w:styleId="10">
    <w:name w:val="网格型1"/>
    <w:basedOn w:val="5"/>
    <w:qFormat/>
    <w:uiPriority w:val="59"/>
    <w:rPr>
      <w:rFonts w:asciiTheme="minorHAnsi" w:hAnsiTheme="minorHAnsi" w:eastAsiaTheme="minorEastAsia" w:cstheme="minorBid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1">
    <w:name w:val="网格型12"/>
    <w:basedOn w:val="5"/>
    <w:qFormat/>
    <w:uiPriority w:val="5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119</TotalTime>
  <ScaleCrop>false</ScaleCrop>
  <LinksUpToDate>false</LinksUpToDate>
  <CharactersWithSpaces>0</CharactersWithSpaces>
  <Application>WPS Office_12.1.25869.25869_F1E327BC-269C-435d-A152-05C5408002CA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2026-07-14T23:10:00Z</dcterms:created>
  <dc:creator>ANXIOUS  YZH</dc:creator>
  <cp:lastModifiedBy>ANXIOUS  YZH</cp:lastModifiedBy>
  <dcterms:modified xsi:type="dcterms:W3CDTF">2026-07-15T22:35:07Z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2052-12.1.25869.25869</vt:lpwstr>
  </property>
  <property fmtid="{D5CDD505-2E9C-101B-9397-08002B2CF9AE}" pid="3" name="ICV">
    <vt:lpwstr>06CBC54A624E2C465651566AABBF4B36_41</vt:lpwstr>
  </property>
</Properties>
</file>