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4519CBB">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Regular" w:hAnsi="Times New Roman Regular" w:cs="Times New Roman Regular"/>
          <w:sz w:val="21"/>
          <w:szCs w:val="21"/>
          <w:u w:val="none"/>
          <w:lang w:val="en-US" w:eastAsia="zh-CN"/>
        </w:rPr>
      </w:pPr>
      <w:r>
        <w:rPr>
          <w:rFonts w:hint="eastAsia"/>
          <w:b/>
          <w:bCs/>
          <w:sz w:val="28"/>
          <w:szCs w:val="28"/>
          <w:lang w:val="en-US" w:eastAsia="zh-CN"/>
        </w:rPr>
        <w:t>民法主观专题突破第五讲课堂笔记（专题8-9）</w:t>
      </w:r>
    </w:p>
    <w:p w14:paraId="334F860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p>
    <w:p w14:paraId="002E498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b/>
          <w:bCs/>
          <w:sz w:val="21"/>
          <w:szCs w:val="21"/>
          <w:u w:val="none"/>
          <w:lang w:val="en-US" w:eastAsia="zh-CN"/>
        </w:rPr>
      </w:pPr>
      <w:r>
        <w:rPr>
          <w:rFonts w:hint="eastAsia" w:ascii="Times New Roman Regular" w:hAnsi="Times New Roman Regular" w:cs="Times New Roman Regular"/>
          <w:b/>
          <w:bCs/>
          <w:sz w:val="21"/>
          <w:szCs w:val="21"/>
          <w:u w:val="none"/>
          <w:lang w:val="en-US" w:eastAsia="zh-CN"/>
        </w:rPr>
        <w:t>【专题8:典型合同】</w:t>
      </w:r>
    </w:p>
    <w:p w14:paraId="20C8A7E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（接续上次课内容）</w:t>
      </w:r>
    </w:p>
    <w:p w14:paraId="2F9FD58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四、保证合同</w:t>
      </w:r>
    </w:p>
    <w:p w14:paraId="4904B49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（一）保证的类型</w:t>
      </w:r>
    </w:p>
    <w:p w14:paraId="7C39B5A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1．一般保证：当事人在保证合同中约定，债务人不能履行债务时，由保证人承担保证责任</w:t>
      </w:r>
    </w:p>
    <w:p w14:paraId="35F1088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2．连带责任保证：当事人在保证</w:t>
      </w:r>
      <w:bookmarkStart w:id="0" w:name="_GoBack"/>
      <w:bookmarkEnd w:id="0"/>
      <w:r>
        <w:rPr>
          <w:rFonts w:hint="default" w:ascii="Times New Roman Regular" w:hAnsi="Times New Roman Regular" w:cs="Times New Roman Regular"/>
          <w:sz w:val="21"/>
          <w:szCs w:val="21"/>
          <w:u w:val="none"/>
          <w:lang w:val="en-US" w:eastAsia="zh-CN"/>
        </w:rPr>
        <w:t>合同中约定保证人和债务人对债务承担连带责任</w:t>
      </w:r>
    </w:p>
    <w:p w14:paraId="2666DFE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（二）保证类型的认定：先看约定，未约定或约定不明的，认定为一般保证</w:t>
      </w:r>
    </w:p>
    <w:p w14:paraId="3E895F8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（三）一般保证人的先诉抗辩权</w:t>
      </w:r>
    </w:p>
    <w:p w14:paraId="6EAD1B0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1．债权人未就主合同纠纷提起诉讼或者申请仲裁，仅起诉一般保证人的，人民法院应当驳回起诉</w:t>
      </w:r>
    </w:p>
    <w:p w14:paraId="5FF4A47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一般保证中，债权人一并起诉债务人和保证人的，人民法院可以受理，但是在作出判决时，除有民法典第687条第2款但书规定的情形外，应当在判决书主文中明确，保证人仅对债务人财产依法强制执行后仍不能履行的部分承担保证责任</w:t>
      </w:r>
    </w:p>
    <w:p w14:paraId="20A34FB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3．债权人未对债务人的财产申请保全，或者保全的债务人的财产足以清偿债务，债权人申请对一般保证人的财产进行保全的，人民法院不予准许</w:t>
      </w:r>
    </w:p>
    <w:p w14:paraId="5A19DA2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（四）保证期间的计算</w:t>
      </w:r>
    </w:p>
    <w:p w14:paraId="0829918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1.当事人约定保证期间且约定的保证期间晚于主债务履行期限，按照当事人的约定；</w:t>
      </w:r>
    </w:p>
    <w:p w14:paraId="67A9CF7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2.当事人约定保证期间，但约定的保证期间早于主债务履行期限，或者与主债务履行期限同时届满，保证期间为履行期限届满之日起6个月；</w:t>
      </w:r>
    </w:p>
    <w:p w14:paraId="25676A3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3.当事人未约定保证期间或者约定不明，但约定了主债务的履行期限，保证期限为履行期限届满之日起6个月；</w:t>
      </w:r>
    </w:p>
    <w:p w14:paraId="17DF703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4.当事人未约定保证期间或者约定不明，且未约定主债务的履行期限或约定不明的，债权人请求债务人履行债务的宽限期届满之日起6个月。</w:t>
      </w:r>
    </w:p>
    <w:p w14:paraId="5E6D52F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（五）保证期间和保证债务诉讼时效的衔接</w:t>
      </w:r>
    </w:p>
    <w:p w14:paraId="1DBE9CC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1.一般保证，且债权人在保证期间届满前对债务人提起诉讼或者申请仲裁，保证债务诉讼时效为先诉抗辩权消灭之日起3年；</w:t>
      </w:r>
    </w:p>
    <w:p w14:paraId="692950A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2.连带责任保证，且债权人在保证期间届满前请求保证人承担保证责任，保证债务诉讼时效为债权人请求保证人承担保证责任之日起3年。、</w:t>
      </w:r>
    </w:p>
    <w:p w14:paraId="1D2D429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（六）在保证人和债权人之间的效力</w:t>
      </w:r>
    </w:p>
    <w:p w14:paraId="7747331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1.债权人要求保证人履行保证债务的请求权</w:t>
      </w:r>
    </w:p>
    <w:p w14:paraId="68C39EB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2.保证人的抗辩权</w:t>
      </w:r>
    </w:p>
    <w:p w14:paraId="781E199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（1）保证人可以主张债务人对债权人的抗辩。债务人放弃抗辩的，保证人仍有权向债权人主张抗辩。</w:t>
      </w:r>
    </w:p>
    <w:p w14:paraId="6B5CA6C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（2）债务人对债权人享有抵销权或者撤销权的，保证人可以在相应范围内拒绝承担保证责任。</w:t>
      </w:r>
    </w:p>
    <w:p w14:paraId="6649DF4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（七）在保证人和主债务人之间的效力</w:t>
      </w:r>
    </w:p>
    <w:p w14:paraId="12ACA8A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保证人履行债务后，取得对主债务人的代位求偿权。债务人自己提供物的担保，承担了担保责任或者赔偿责任的担保人，在其承担责任的范围内主张行使债权人对债务人享有的担保物权的，人民法院应予支持。</w:t>
      </w:r>
    </w:p>
    <w:p w14:paraId="0BC4EBA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（八）债的移转与保证责任</w:t>
      </w:r>
    </w:p>
    <w:p w14:paraId="5004E43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1.债权转让的，也只有通知保证人后，保证人才对受让人承担保证责任。</w:t>
      </w:r>
    </w:p>
    <w:p w14:paraId="02D772D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2.除非征得保证人同意，否则免责的债务承担将使保证人的保证责任消灭。债务承担获得债权人同意而未征得保证人同意的，仍可发生债务转移的效力，不过，债权人不得再向保证人主张权利。</w:t>
      </w:r>
    </w:p>
    <w:p w14:paraId="46C0468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3.并存的债务承担不影响保证责任。</w:t>
      </w:r>
    </w:p>
    <w:p w14:paraId="0D34FA2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五、租赁合同</w:t>
      </w:r>
    </w:p>
    <w:p w14:paraId="410BDAD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（一）承租人的优先购买权</w:t>
      </w:r>
    </w:p>
    <w:p w14:paraId="42A85EE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1．《民法典》仅在房屋租赁中规定了承租人的优先购买权，其他物的租赁无此权利设计。</w:t>
      </w:r>
    </w:p>
    <w:p w14:paraId="50E3624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出租人侵害承租人优先购买权的，承租人可要求赔偿损失，但出租人与第三人之间买卖合同的效力不受影响（《民法典》第728条）。也就是说，出租人未尊重承租人优先购买权的，该行为仅构成对租赁合同的违反，承租人固然能够据此要求出租人赔偿损失，但不能主张出租人与第三人之间的房屋买卖合同无效。</w:t>
      </w:r>
    </w:p>
    <w:p w14:paraId="3B855AD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承租人不得主张优先购买权的情形：（1）房屋共有人行使优先购买权的；（2）出租人将房屋出卖给近亲属的；（3）出租人履行通知义务后，承租人在十五日内未明确表示购买的；（4）出租人委托拍卖出租的房屋并在拍卖五日前通知承租人，承租人未参加拍卖的。</w:t>
      </w:r>
    </w:p>
    <w:p w14:paraId="6177CE6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eastAsia" w:ascii="Times New Roman Regular" w:hAnsi="Times New Roman Regular" w:cs="Times New Roman Regular"/>
          <w:sz w:val="21"/>
          <w:szCs w:val="21"/>
          <w:u w:val="none"/>
          <w:lang w:val="en-US" w:eastAsia="zh-CN"/>
        </w:rPr>
        <w:t>【提示】承租人的优先购买权仅具有债权效力，只能要求损害赔偿。</w:t>
      </w:r>
    </w:p>
    <w:p w14:paraId="5F01832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（二）买卖不破租赁</w:t>
      </w:r>
    </w:p>
    <w:p w14:paraId="7499664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1.适用范围：租赁期间租赁物所有权的变动，包括买卖、赠与、出资等</w:t>
      </w:r>
    </w:p>
    <w:p w14:paraId="20609B1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2.构成前提：有效的租赁合同+承租人占有租赁物（缺一不可）</w:t>
      </w:r>
    </w:p>
    <w:p w14:paraId="2A86025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3.法律效果：承租人的租赁权不受影响，租赁合同的权利义务由新所有权人概括承受</w:t>
      </w:r>
    </w:p>
    <w:p w14:paraId="277BAAF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（三）转租</w:t>
      </w:r>
    </w:p>
    <w:p w14:paraId="6149FC3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1.经出租人同意的转租</w:t>
      </w:r>
    </w:p>
    <w:p w14:paraId="511AD5E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（1）形成双重租赁关系：原租赁合同与转租合同，各自维持合同相对性</w:t>
      </w:r>
    </w:p>
    <w:p w14:paraId="64AEEA5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（2）转租期限如超过租赁合同剩余期限，则超过部分对出租人无拘束力</w:t>
      </w:r>
    </w:p>
    <w:p w14:paraId="0CC24E2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（3）次承租人享有代为履行权：支付承租人欠付的租金和违约金，出租人无权拒绝</w:t>
      </w:r>
    </w:p>
    <w:p w14:paraId="6044870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2.出租人的同意</w:t>
      </w:r>
    </w:p>
    <w:p w14:paraId="1A9AE84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（1）同意的形式：明示或默示</w:t>
      </w:r>
    </w:p>
    <w:p w14:paraId="5D91FB4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（2）同意的拟制：出租人知道或应知转租事实，但六个月内未提出异议，视为同意转租</w:t>
      </w:r>
    </w:p>
    <w:p w14:paraId="69A8772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3.未经出租人同意的转租</w:t>
      </w:r>
    </w:p>
    <w:p w14:paraId="50B75C1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（1）转租合同有效</w:t>
      </w:r>
    </w:p>
    <w:p w14:paraId="5507186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（2）出租人可以解除合同+请求次承租人返还租赁物</w:t>
      </w:r>
    </w:p>
    <w:p w14:paraId="005E168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（3）次承租人不享有代为履行权</w:t>
      </w:r>
    </w:p>
    <w:p w14:paraId="0EE3501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六、建设工程施工合同</w:t>
      </w:r>
    </w:p>
    <w:p w14:paraId="47A1AA8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（一）建设工程施工合同无效的后果</w:t>
      </w:r>
    </w:p>
    <w:p w14:paraId="7D491F6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1．建设工程施工合同无效，但建设工程经竣工验收合格，承包人可请求参照合同约定支付工程价款；</w:t>
      </w:r>
    </w:p>
    <w:p w14:paraId="00A8DBA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建设工程施工合同无效，且建设工程经竣工验收不合格的，按照以下情形分别处理：（1）修复后的建设工程经竣工验收合格，发包人可请求承包人承担修复费用；（2）修复后的建设工程经竣工验收不合格，承包人不得请求支付工程价款。</w:t>
      </w:r>
    </w:p>
    <w:p w14:paraId="26671B7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（二）建设工程价款优先受偿权</w:t>
      </w:r>
    </w:p>
    <w:p w14:paraId="6B62C31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1.构成要件</w:t>
      </w:r>
    </w:p>
    <w:p w14:paraId="729D9B0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（1）发包人迟延履行工程款</w:t>
      </w:r>
    </w:p>
    <w:p w14:paraId="6864097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（2）经承包人催告后，发包人在合理期限内仍不支付</w:t>
      </w:r>
    </w:p>
    <w:p w14:paraId="6C8E303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2.权利顺位：优先于抵押权和其他债权</w:t>
      </w:r>
    </w:p>
    <w:p w14:paraId="68EF5E8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p>
    <w:p w14:paraId="031634D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b/>
          <w:bCs/>
          <w:sz w:val="21"/>
          <w:szCs w:val="21"/>
          <w:u w:val="none"/>
          <w:lang w:val="en-US" w:eastAsia="zh-CN"/>
        </w:rPr>
      </w:pPr>
      <w:r>
        <w:rPr>
          <w:rFonts w:hint="eastAsia" w:ascii="Times New Roman Regular" w:hAnsi="Times New Roman Regular" w:cs="Times New Roman Regular"/>
          <w:b/>
          <w:bCs/>
          <w:sz w:val="21"/>
          <w:szCs w:val="21"/>
          <w:u w:val="none"/>
          <w:lang w:val="en-US" w:eastAsia="zh-CN"/>
        </w:rPr>
        <w:t>【专题9:婚姻家庭】</w:t>
      </w:r>
    </w:p>
    <w:p w14:paraId="228032F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一、彩礼的认定与返还</w:t>
      </w:r>
    </w:p>
    <w:p w14:paraId="2C303C3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（一）不属于彩礼的情形</w:t>
      </w:r>
    </w:p>
    <w:p w14:paraId="5F232C3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1．一方在节日、生日等有特殊纪念意义时点给付的价值不大的礼物、礼金</w:t>
      </w:r>
    </w:p>
    <w:p w14:paraId="0CAE85C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2．一方为表达或增进感情的日常消费性支出</w:t>
      </w:r>
    </w:p>
    <w:p w14:paraId="74B8307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3．其他价值不大的财物</w:t>
      </w:r>
    </w:p>
    <w:p w14:paraId="3B14C69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（二）彩礼的返还规则</w:t>
      </w:r>
    </w:p>
    <w:p w14:paraId="4435291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1.未办理登记且未共同生活：返还</w:t>
      </w:r>
    </w:p>
    <w:p w14:paraId="7E04C06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2.未办理登记但共同生活：按比例返还</w:t>
      </w:r>
    </w:p>
    <w:p w14:paraId="56AD72B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3.办理登记但未共同生活：返还（以离婚为前提）</w:t>
      </w:r>
    </w:p>
    <w:p w14:paraId="043EE6C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4.办理登记且共同生活：原则上不得返还，除非共同生活时间较短且彩礼数额过高，此时按比例返还</w:t>
      </w:r>
    </w:p>
    <w:p w14:paraId="1C6FE1D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5.婚前给付并导致给付人生活困难：返还（以离婚为前提）</w:t>
      </w:r>
    </w:p>
    <w:p w14:paraId="523EC7C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6.以彩礼为名借婚姻索取财物：返还</w:t>
      </w:r>
    </w:p>
    <w:p w14:paraId="6AC3F8B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二、无效婚姻</w:t>
      </w:r>
    </w:p>
    <w:p w14:paraId="75B2606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（一）无效事由</w:t>
      </w:r>
    </w:p>
    <w:p w14:paraId="0725004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1．重婚</w:t>
      </w:r>
    </w:p>
    <w:p w14:paraId="57EAE31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2．有禁止结婚的亲属关系</w:t>
      </w:r>
    </w:p>
    <w:p w14:paraId="17E2A18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3．未到法定婚龄</w:t>
      </w:r>
    </w:p>
    <w:p w14:paraId="4A47173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（二）无效事由的补正</w:t>
      </w:r>
    </w:p>
    <w:p w14:paraId="32E94EE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无效事由在提起诉讼时已经消失的，不得起诉确认婚姻无效</w:t>
      </w:r>
    </w:p>
    <w:p w14:paraId="3B666AA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（三）无效的司法认定</w:t>
      </w:r>
    </w:p>
    <w:p w14:paraId="39039E2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1．原告不得撤诉</w:t>
      </w:r>
    </w:p>
    <w:p w14:paraId="0101AD2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2．婚姻效力不得调解，财产分割和子女抚养可以调解</w:t>
      </w:r>
    </w:p>
    <w:p w14:paraId="371FB62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3．法院得依职权审查（通常在离婚诉讼中）</w:t>
      </w:r>
    </w:p>
    <w:p w14:paraId="25F1E44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三、可撤销婚姻</w:t>
      </w:r>
    </w:p>
    <w:p w14:paraId="4261C40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（一）基于胁迫撤销</w:t>
      </w:r>
    </w:p>
    <w:p w14:paraId="35A1779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1．撤销权人：受胁迫方</w:t>
      </w:r>
    </w:p>
    <w:p w14:paraId="064CE15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2．撤销权行使方式：向人民法院起诉</w:t>
      </w:r>
    </w:p>
    <w:p w14:paraId="12A770D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3．撤销权的除斥期间：自胁迫行为终止之日起1年内；被非法限制人身自由时，自恢复人身自由之日起1年内</w:t>
      </w:r>
    </w:p>
    <w:p w14:paraId="204C4A7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4．撤销的法律效果：婚姻自始无效；受胁迫方有权请求损害赔偿；依法处理财产与子女抚养问题</w:t>
      </w:r>
    </w:p>
    <w:p w14:paraId="03093A0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（二）基于隐瞒重大疾病撤销</w:t>
      </w:r>
    </w:p>
    <w:p w14:paraId="1701999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1．撤销权人：被隐瞒方</w:t>
      </w:r>
    </w:p>
    <w:p w14:paraId="1A17630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2．撤销权行使方式：向人民法院起诉</w:t>
      </w:r>
    </w:p>
    <w:p w14:paraId="425FB1A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3．撤销权的除斥期间：自知道或者应当知道撤销事由之日起1年内</w:t>
      </w:r>
    </w:p>
    <w:p w14:paraId="1E0EC76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4．撤销的法律效果：婚姻自始无效；被隐瞒方有权请求损害赔偿；依法处理财产与子女抚养问题</w:t>
      </w:r>
    </w:p>
    <w:p w14:paraId="2C7AA7F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四、夫妻财产关系</w:t>
      </w:r>
    </w:p>
    <w:p w14:paraId="3BCEF04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（一）法定夫妻财产制</w:t>
      </w:r>
    </w:p>
    <w:p w14:paraId="47BDB6B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1．原则上，婚后所得共同共有，法律规定为个人所有的除外</w:t>
      </w:r>
    </w:p>
    <w:p w14:paraId="1196DB8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2．夫妻双方可以另有约定</w:t>
      </w:r>
    </w:p>
    <w:p w14:paraId="6116A28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（二）属于夫妻一方个人的财产类型</w:t>
      </w:r>
    </w:p>
    <w:p w14:paraId="6480798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1．一方的婚前财产</w:t>
      </w:r>
    </w:p>
    <w:p w14:paraId="57036B6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2．一方因身体受到伤害获得的赔偿和补偿</w:t>
      </w:r>
    </w:p>
    <w:p w14:paraId="78AF2E9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3．遗嘱或赠与合同中确定只归一方的财产</w:t>
      </w:r>
    </w:p>
    <w:p w14:paraId="0B36B57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4．一方专用的生活用品</w:t>
      </w:r>
    </w:p>
    <w:p w14:paraId="6886964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5．军人的伤亡保险金、伤残补助金、医药生活补助费</w:t>
      </w:r>
    </w:p>
    <w:p w14:paraId="428C437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6．夫妻一方个人财产婚后产生的孳息与自然增值</w:t>
      </w:r>
    </w:p>
    <w:p w14:paraId="0DFED6D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（三）家事代理权</w:t>
      </w:r>
    </w:p>
    <w:p w14:paraId="1DEC01A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1．适用范围：因家庭日常生活需要而实施的民事法律行为</w:t>
      </w:r>
    </w:p>
    <w:p w14:paraId="1B9D305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2．法律效力：一方缔约对双方有效</w:t>
      </w:r>
    </w:p>
    <w:p w14:paraId="548F20B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3．相对方的信赖保护：夫妻内部对家事代理权范围的限制，不得对抗善意相对人</w:t>
      </w:r>
    </w:p>
    <w:p w14:paraId="6C20471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（四）夫妻共同债务的法定情形</w:t>
      </w:r>
    </w:p>
    <w:p w14:paraId="7C9683B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1．夫妻双方共同签名或者夫妻一方事后追认等共同意思表示所负的债务</w:t>
      </w:r>
    </w:p>
    <w:p w14:paraId="1D2B622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2．夫妻一方在婚姻关系存续期间以个人名义为家庭日常生活需要所负的债务</w:t>
      </w:r>
    </w:p>
    <w:p w14:paraId="4442DD7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3．夫妻一方在婚姻关系存续期间以个人名义超出家庭日常生活需要所负的，且债权人能够证明该用于夫妻共同生活、共同生产经营的债务</w:t>
      </w:r>
    </w:p>
    <w:p w14:paraId="379F206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五、离婚</w:t>
      </w:r>
    </w:p>
    <w:p w14:paraId="02EBB56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（一）协议离婚</w:t>
      </w:r>
    </w:p>
    <w:p w14:paraId="1B65906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1．离婚协议的内容：离婚合意+子女抚养+财产及债务处理</w:t>
      </w:r>
    </w:p>
    <w:p w14:paraId="12282BA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离婚协议奉行债的相对性原理，离婚协议的内容对第三人（尤其是债权人）没有拘束力</w:t>
      </w:r>
    </w:p>
    <w:p w14:paraId="6052F90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2．离婚协议的生效：自离婚登记时生效</w:t>
      </w:r>
    </w:p>
    <w:p w14:paraId="167B40E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如果未办理离婚登记，后一方起诉，法院不得依据离婚协议处理财产、债务与子女抚养问题</w:t>
      </w:r>
    </w:p>
    <w:p w14:paraId="627A387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3．离婚冷静期：离婚登记申请+30日反悔冷静期+届满后共同亲自前往申请离婚证，届满后未申请离婚证，视为撤回离婚登记申请</w:t>
      </w:r>
    </w:p>
    <w:p w14:paraId="6BFF204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4．婚姻关系解除时点：离婚登记完成时</w:t>
      </w:r>
    </w:p>
    <w:p w14:paraId="06F903B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（二）诉讼离婚</w:t>
      </w:r>
    </w:p>
    <w:p w14:paraId="5D21512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1．应当进行调解</w:t>
      </w:r>
    </w:p>
    <w:p w14:paraId="474526B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2．应当准予离婚的法定情形</w:t>
      </w:r>
    </w:p>
    <w:p w14:paraId="03D4D44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（1）重婚或者与他人同居</w:t>
      </w:r>
    </w:p>
    <w:p w14:paraId="05654DC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（2）实施家庭暴力或者虐待、遗弃家庭成员</w:t>
      </w:r>
    </w:p>
    <w:p w14:paraId="502FA1C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（3）有赌博、吸毒等恶习屡教不改</w:t>
      </w:r>
    </w:p>
    <w:p w14:paraId="096339D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（4）因感情不和分居满2年</w:t>
      </w:r>
    </w:p>
    <w:p w14:paraId="7CBB632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（5）一方被宣告失踪</w:t>
      </w:r>
    </w:p>
    <w:p w14:paraId="5B546F2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（6）判决不予离婚+分居满1年</w:t>
      </w:r>
    </w:p>
    <w:p w14:paraId="271F8D7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（7）其他导致夫妻感情破裂的情形</w:t>
      </w:r>
    </w:p>
    <w:p w14:paraId="1E4B5BC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3．怀孕期间、分娩后1年内或中止妊娠后6个月内的女性及现役军人的特殊保护</w:t>
      </w:r>
    </w:p>
    <w:p w14:paraId="38C722E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r>
        <w:rPr>
          <w:rFonts w:hint="default" w:ascii="Times New Roman Regular" w:hAnsi="Times New Roman Regular" w:cs="Times New Roman Regular"/>
          <w:sz w:val="21"/>
          <w:szCs w:val="21"/>
          <w:u w:val="none"/>
          <w:lang w:val="en-US" w:eastAsia="zh-CN"/>
        </w:rPr>
        <w:t>4．婚姻关系解除时点：判决书或调解书生效时</w:t>
      </w:r>
    </w:p>
    <w:p w14:paraId="047E2DF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21"/>
          <w:szCs w:val="21"/>
          <w:u w:val="none"/>
          <w:lang w:val="en-US" w:eastAsia="zh-CN"/>
        </w:rPr>
      </w:pPr>
    </w:p>
    <w:sectPr>
      <w:pgSz w:w="11906" w:h="16838"/>
      <w:pgMar w:top="1440" w:right="1800" w:bottom="1440" w:left="1800" w:header="851" w:footer="992" w:gutter="0"/>
      <w:pgBorders>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604020202090204"/>
    <w:charset w:val="01"/>
    <w:family w:val="swiss"/>
    <w:pitch w:val="default"/>
    <w:sig w:usb0="E0000AFF" w:usb1="00007843" w:usb2="00000001" w:usb3="00000000" w:csb0="400001BF" w:csb1="DFF70000"/>
  </w:font>
  <w:font w:name="黑体">
    <w:altName w:val="汉仪中黑KW"/>
    <w:panose1 w:val="02010609060101010101"/>
    <w:charset w:val="86"/>
    <w:family w:val="auto"/>
    <w:pitch w:val="default"/>
    <w:sig w:usb0="800002BF" w:usb1="38CF7CFA" w:usb2="00000016" w:usb3="00000000" w:csb0="00040001" w:csb1="00000000"/>
  </w:font>
  <w:font w:name="Courier New">
    <w:panose1 w:val="02070409020205090404"/>
    <w:charset w:val="01"/>
    <w:family w:val="modern"/>
    <w:pitch w:val="default"/>
    <w:sig w:usb0="E0000AFF" w:usb1="40007843" w:usb2="00000001" w:usb3="00000000" w:csb0="400001BF" w:csb1="DFF7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Helvetica Neue">
    <w:panose1 w:val="02000503000000020004"/>
    <w:charset w:val="00"/>
    <w:family w:val="auto"/>
    <w:pitch w:val="default"/>
    <w:sig w:usb0="E50002FF" w:usb1="500079DB" w:usb2="00000010" w:usb3="00000000" w:csb0="00000000" w:csb1="00000000"/>
  </w:font>
  <w:font w:name="汉仪书宋二KW">
    <w:panose1 w:val="00020600040101010101"/>
    <w:charset w:val="86"/>
    <w:family w:val="auto"/>
    <w:pitch w:val="default"/>
    <w:sig w:usb0="A00002BF" w:usb1="18EF7CFA" w:usb2="00000016" w:usb3="00000000" w:csb0="00040000" w:csb1="00000000"/>
  </w:font>
  <w:font w:name="汉仪书宋二简">
    <w:altName w:val="华文宋体"/>
    <w:panose1 w:val="02010600000101010101"/>
    <w:charset w:val="86"/>
    <w:family w:val="modern"/>
    <w:pitch w:val="default"/>
    <w:sig w:usb0="00000000" w:usb1="00000000" w:usb2="00000002" w:usb3="00000000" w:csb0="00040000" w:csb1="00000000"/>
  </w:font>
  <w:font w:name="华文宋体">
    <w:panose1 w:val="02010600040101010101"/>
    <w:charset w:val="86"/>
    <w:family w:val="auto"/>
    <w:pitch w:val="default"/>
    <w:sig w:usb0="80000287" w:usb1="280F3C52" w:usb2="00000016" w:usb3="00000000" w:csb0="0004001F" w:csb1="00000000"/>
  </w:font>
  <w:font w:name="Times New Roman Regular">
    <w:panose1 w:val="02020503050405090304"/>
    <w:charset w:val="00"/>
    <w:family w:val="auto"/>
    <w:pitch w:val="default"/>
    <w:sig w:usb0="E0000AFF" w:usb1="00007843" w:usb2="00000001" w:usb3="00000000" w:csb0="400001BF" w:csb1="DFF70000"/>
  </w:font>
  <w:font w:name="宋体-简">
    <w:panose1 w:val="02010800040101010101"/>
    <w:charset w:val="86"/>
    <w:family w:val="auto"/>
    <w:pitch w:val="default"/>
    <w:sig w:usb0="00000001" w:usb1="080F0000" w:usb2="00000000" w:usb3="00000000" w:csb0="00040000" w:csb1="00000000"/>
  </w:font>
  <w:font w:name="汉仪中黑KW">
    <w:panose1 w:val="00020600040101010101"/>
    <w:charset w:val="86"/>
    <w:family w:val="auto"/>
    <w:pitch w:val="default"/>
    <w:sig w:usb0="A00002BF" w:usb1="18EF7CFA" w:usb2="00000016" w:usb3="00000000" w:csb0="00040000" w:csb1="00000000"/>
  </w:font>
  <w:font w:name="Kingsoft Sign">
    <w:panose1 w:val="05050102010706020507"/>
    <w:charset w:val="00"/>
    <w:family w:val="auto"/>
    <w:pitch w:val="default"/>
    <w:sig w:usb0="00000000" w:usb1="1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CFBDAEF9"/>
    <w:rsid w:val="0D9A55A2"/>
    <w:rsid w:val="13EF1752"/>
    <w:rsid w:val="16EFD392"/>
    <w:rsid w:val="177DA370"/>
    <w:rsid w:val="17DFFA75"/>
    <w:rsid w:val="18BFC09B"/>
    <w:rsid w:val="1BC8E4F3"/>
    <w:rsid w:val="1BEF9C01"/>
    <w:rsid w:val="1BFB8A79"/>
    <w:rsid w:val="1FFBBE3B"/>
    <w:rsid w:val="1FFDE82A"/>
    <w:rsid w:val="1FFE3DC8"/>
    <w:rsid w:val="1FFF9676"/>
    <w:rsid w:val="25E4E361"/>
    <w:rsid w:val="26F6FA36"/>
    <w:rsid w:val="27FBB615"/>
    <w:rsid w:val="2FD9B963"/>
    <w:rsid w:val="2FF57ABD"/>
    <w:rsid w:val="33FD09F3"/>
    <w:rsid w:val="37F9300F"/>
    <w:rsid w:val="396C1DDF"/>
    <w:rsid w:val="39BBEE6C"/>
    <w:rsid w:val="39CD9E08"/>
    <w:rsid w:val="3AA211B0"/>
    <w:rsid w:val="3D758D90"/>
    <w:rsid w:val="3DDD8785"/>
    <w:rsid w:val="3DEE2497"/>
    <w:rsid w:val="3EFF2196"/>
    <w:rsid w:val="3EFFCDE3"/>
    <w:rsid w:val="3F362571"/>
    <w:rsid w:val="3F7D6D90"/>
    <w:rsid w:val="3FDF38B5"/>
    <w:rsid w:val="4BFDC25C"/>
    <w:rsid w:val="4D7AF3B1"/>
    <w:rsid w:val="4F7E5D39"/>
    <w:rsid w:val="4FEF7A7F"/>
    <w:rsid w:val="5BF630B3"/>
    <w:rsid w:val="5D1E5E35"/>
    <w:rsid w:val="5D2F548A"/>
    <w:rsid w:val="5D9CC53C"/>
    <w:rsid w:val="5DBFD756"/>
    <w:rsid w:val="5E976ACE"/>
    <w:rsid w:val="5EF589B3"/>
    <w:rsid w:val="5F2FB4C6"/>
    <w:rsid w:val="5F67BE34"/>
    <w:rsid w:val="5F9FED60"/>
    <w:rsid w:val="5FDFC522"/>
    <w:rsid w:val="5FF291E1"/>
    <w:rsid w:val="63F79634"/>
    <w:rsid w:val="676B1FCF"/>
    <w:rsid w:val="6BBF548D"/>
    <w:rsid w:val="6BEE3C17"/>
    <w:rsid w:val="6CFC5835"/>
    <w:rsid w:val="6EBFFE06"/>
    <w:rsid w:val="6EDC6954"/>
    <w:rsid w:val="6F7FD66B"/>
    <w:rsid w:val="6FC75035"/>
    <w:rsid w:val="6FE9DFA5"/>
    <w:rsid w:val="6FF6B73E"/>
    <w:rsid w:val="6FF7B5C8"/>
    <w:rsid w:val="6FFF6B06"/>
    <w:rsid w:val="72B16660"/>
    <w:rsid w:val="72FEDFAF"/>
    <w:rsid w:val="733F7327"/>
    <w:rsid w:val="74EF0DAF"/>
    <w:rsid w:val="75FFDC8C"/>
    <w:rsid w:val="76576194"/>
    <w:rsid w:val="777E0985"/>
    <w:rsid w:val="77BFCCB0"/>
    <w:rsid w:val="78FF9F1C"/>
    <w:rsid w:val="79B72732"/>
    <w:rsid w:val="7A8FECFA"/>
    <w:rsid w:val="7B6D3C00"/>
    <w:rsid w:val="7B77E946"/>
    <w:rsid w:val="7B9D44AF"/>
    <w:rsid w:val="7BAF28C8"/>
    <w:rsid w:val="7BFFD2F7"/>
    <w:rsid w:val="7C7DDD51"/>
    <w:rsid w:val="7C9D61C3"/>
    <w:rsid w:val="7D473A11"/>
    <w:rsid w:val="7D6FDA1F"/>
    <w:rsid w:val="7D7FD33D"/>
    <w:rsid w:val="7DBDD90E"/>
    <w:rsid w:val="7DBFEFAD"/>
    <w:rsid w:val="7DE7821D"/>
    <w:rsid w:val="7DF9200D"/>
    <w:rsid w:val="7E3F6002"/>
    <w:rsid w:val="7EFF1AA0"/>
    <w:rsid w:val="7EFFC158"/>
    <w:rsid w:val="7F398CB3"/>
    <w:rsid w:val="7F3B9F4C"/>
    <w:rsid w:val="7F3C3286"/>
    <w:rsid w:val="7F695405"/>
    <w:rsid w:val="7F6B748A"/>
    <w:rsid w:val="7FB49696"/>
    <w:rsid w:val="7FB797CE"/>
    <w:rsid w:val="7FBF0F91"/>
    <w:rsid w:val="7FE7235C"/>
    <w:rsid w:val="7FFCE884"/>
    <w:rsid w:val="8ABEE47C"/>
    <w:rsid w:val="8BFB340A"/>
    <w:rsid w:val="957F8B5D"/>
    <w:rsid w:val="99FF3808"/>
    <w:rsid w:val="AEAF67DC"/>
    <w:rsid w:val="AECFAD74"/>
    <w:rsid w:val="AED07A5A"/>
    <w:rsid w:val="AEFFF231"/>
    <w:rsid w:val="AF7349BF"/>
    <w:rsid w:val="B1FDE468"/>
    <w:rsid w:val="B3FEA9EF"/>
    <w:rsid w:val="B5B7A33B"/>
    <w:rsid w:val="B61785CE"/>
    <w:rsid w:val="B7FEF551"/>
    <w:rsid w:val="BBD68691"/>
    <w:rsid w:val="BE470E73"/>
    <w:rsid w:val="BFD7C2A8"/>
    <w:rsid w:val="BFDF5E9D"/>
    <w:rsid w:val="BFFFC478"/>
    <w:rsid w:val="C2FF7057"/>
    <w:rsid w:val="CBDA46FA"/>
    <w:rsid w:val="CDF9AD73"/>
    <w:rsid w:val="CEAF22DB"/>
    <w:rsid w:val="CFABA3EB"/>
    <w:rsid w:val="CFBDAEF9"/>
    <w:rsid w:val="CFFF1593"/>
    <w:rsid w:val="D7F8DDAE"/>
    <w:rsid w:val="D99D7B6E"/>
    <w:rsid w:val="DBF64670"/>
    <w:rsid w:val="DE4FF25C"/>
    <w:rsid w:val="DE5EFF5E"/>
    <w:rsid w:val="DFDD6831"/>
    <w:rsid w:val="E5718167"/>
    <w:rsid w:val="E59B90E9"/>
    <w:rsid w:val="E5AB3AAB"/>
    <w:rsid w:val="E5DD9418"/>
    <w:rsid w:val="E787CCF8"/>
    <w:rsid w:val="E7BFCB01"/>
    <w:rsid w:val="E7EF776D"/>
    <w:rsid w:val="E9F63188"/>
    <w:rsid w:val="EA3CD53D"/>
    <w:rsid w:val="EB6E8309"/>
    <w:rsid w:val="EBD730EB"/>
    <w:rsid w:val="EC2D9E1A"/>
    <w:rsid w:val="EECA7655"/>
    <w:rsid w:val="EF06E542"/>
    <w:rsid w:val="EF73E6F1"/>
    <w:rsid w:val="EF7FB042"/>
    <w:rsid w:val="EFB7ADF2"/>
    <w:rsid w:val="EFCFFD3A"/>
    <w:rsid w:val="EFDF470A"/>
    <w:rsid w:val="EFDFF3E6"/>
    <w:rsid w:val="EFE712E6"/>
    <w:rsid w:val="EFE74EAF"/>
    <w:rsid w:val="EFF7C6A6"/>
    <w:rsid w:val="EFFC3132"/>
    <w:rsid w:val="F0D7EC59"/>
    <w:rsid w:val="F0DE3C2E"/>
    <w:rsid w:val="F1B927A4"/>
    <w:rsid w:val="F3FF92B4"/>
    <w:rsid w:val="F54E1163"/>
    <w:rsid w:val="F56E2A6E"/>
    <w:rsid w:val="F5EEDA60"/>
    <w:rsid w:val="F5EFB180"/>
    <w:rsid w:val="F6DFFC0C"/>
    <w:rsid w:val="F6FEA1FB"/>
    <w:rsid w:val="F73F225B"/>
    <w:rsid w:val="F7BF3A04"/>
    <w:rsid w:val="F9B2A7D6"/>
    <w:rsid w:val="FABE4737"/>
    <w:rsid w:val="FB3760F9"/>
    <w:rsid w:val="FB3FDD72"/>
    <w:rsid w:val="FBDF91EB"/>
    <w:rsid w:val="FBFB9313"/>
    <w:rsid w:val="FBFF7EF4"/>
    <w:rsid w:val="FCEF4E65"/>
    <w:rsid w:val="FD375179"/>
    <w:rsid w:val="FD6C9E97"/>
    <w:rsid w:val="FD6EB3EE"/>
    <w:rsid w:val="FDBDD900"/>
    <w:rsid w:val="FDEB36AE"/>
    <w:rsid w:val="FDF59568"/>
    <w:rsid w:val="FE7F8EB7"/>
    <w:rsid w:val="FEA64923"/>
    <w:rsid w:val="FED769C8"/>
    <w:rsid w:val="FEFE8315"/>
    <w:rsid w:val="FF3362C6"/>
    <w:rsid w:val="FF4A296D"/>
    <w:rsid w:val="FF6F6FFE"/>
    <w:rsid w:val="FF7BF13D"/>
    <w:rsid w:val="FF943FE1"/>
    <w:rsid w:val="FF9F8E8F"/>
    <w:rsid w:val="FF9FAEC4"/>
    <w:rsid w:val="FFD53184"/>
    <w:rsid w:val="FFEFF665"/>
    <w:rsid w:val="FFF72BE1"/>
    <w:rsid w:val="FFFBE5A1"/>
    <w:rsid w:val="FFFD413B"/>
    <w:rsid w:val="FFFF283E"/>
    <w:rsid w:val="FFFF3C31"/>
    <w:rsid w:val="FFFF8129"/>
    <w:rsid w:val="FFFF911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unhideWhenUsed/>
    <w:qFormat/>
    <w:uiPriority w:val="99"/>
    <w:pPr>
      <w:widowControl/>
      <w:spacing w:before="100" w:beforeAutospacing="1" w:after="100" w:afterAutospacing="1" w:line="384" w:lineRule="exact"/>
      <w:ind w:firstLine="721" w:firstLineChars="200"/>
      <w:jc w:val="left"/>
    </w:pPr>
    <w:rPr>
      <w:rFonts w:ascii="宋体" w:hAnsi="宋体" w:eastAsia="汉仪书宋二简" w:cs="宋体"/>
      <w:color w:val="auto"/>
      <w:kern w:val="0"/>
      <w:sz w:val="24"/>
      <w:szCs w:val="24"/>
      <w:lang w:val="en-US" w:eastAsia="zh-CN" w:bidi="ar-SA"/>
    </w:rPr>
  </w:style>
  <w:style w:type="table" w:styleId="4">
    <w:name w:val="Table Grid"/>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0</TotalTime>
  <ScaleCrop>false</ScaleCrop>
  <LinksUpToDate>false</LinksUpToDate>
  <CharactersWithSpaces>0</CharactersWithSpaces>
  <Application>WPS Office_12.1.25895.25895_F1E327BC-269C-435d-A152-05C5408002CA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2026-02-10T00:22:00Z</dcterms:created>
  <dc:creator>Arthur (Xiao) Dong</dc:creator>
  <cp:lastModifiedBy>Arthur (Xiao) Dong</cp:lastModifiedBy>
  <dcterms:modified xsi:type="dcterms:W3CDTF">2026-07-10T22:41:12Z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2052-12.1.25895.25895</vt:lpwstr>
  </property>
  <property fmtid="{D5CDD505-2E9C-101B-9397-08002B2CF9AE}" pid="3" name="ICV">
    <vt:lpwstr>3A31E5C62E8666FD53247769E1688135_41</vt:lpwstr>
  </property>
</Properties>
</file>