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519C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民法主观专题突破第四讲课堂笔记（专题6-8）</w:t>
      </w:r>
    </w:p>
    <w:p w14:paraId="334F86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02B7B4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【专题6:合同权利义务的终止】</w:t>
      </w:r>
    </w:p>
    <w:p w14:paraId="6E32F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一、清偿的抵充</w:t>
      </w:r>
    </w:p>
    <w:p w14:paraId="2CC283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（一）多笔债务抵充规则</w:t>
      </w:r>
    </w:p>
    <w:p w14:paraId="59BE4E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已到期的——对债权人担保最少的——债务负担最重的——到期先后顺序——按比例</w:t>
      </w:r>
    </w:p>
    <w:p w14:paraId="6079C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（二）单笔债务抵充规则</w:t>
      </w:r>
    </w:p>
    <w:p w14:paraId="6167CB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债务人对债权人负担一笔有利息和履行费用的金钱债务，而其一次给付不足以清偿全部的，按实现债权的费用——利息——主债务（本金）顺序抵充</w:t>
      </w:r>
    </w:p>
    <w:p w14:paraId="63C31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【《民法典》第560条】债务人对同一债权人负担的数项债务种类相同，债务人的给付不足以清偿全部债务的，除当事人另有约定外，由债务人在清偿时指定其履行的债务。</w:t>
      </w:r>
    </w:p>
    <w:p w14:paraId="1C8978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债务人未作指定的，应当优先履行已经到期的债务；数项债务均到期的，优先履行对债权人缺乏担保或者担保最少的债务；均无担保或者担保相等的，优先履行债务人负担较重的债务；负担相同的，按照债务到期的先后顺序履行；到期时间相同的，按照债务比例履行。</w:t>
      </w:r>
    </w:p>
    <w:p w14:paraId="4C63FB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【《民法典》第561条】债务人在履行主债务外还应当支付利息和实现债权的有关费用，其给付不足以清偿全部债务的，除当事人另有约定外，应当按照下列顺序履行：（一）实现债权的有关费用；（二）利息；（三）主债务。</w:t>
      </w:r>
    </w:p>
    <w:p w14:paraId="553217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二、合同的合意解除</w:t>
      </w:r>
    </w:p>
    <w:p w14:paraId="5D4BC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（一）解除合意的类型</w:t>
      </w:r>
    </w:p>
    <w:p w14:paraId="732A9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1．双方就解除达成一致意见</w:t>
      </w:r>
    </w:p>
    <w:p w14:paraId="144A1C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2．一方主张行使法定或约定解除权，虽不符合解除权行使条件但对方同意解除</w:t>
      </w:r>
    </w:p>
    <w:p w14:paraId="1E6EB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3．双方均不符合解除权行使条件但是均主张解除合同</w:t>
      </w:r>
    </w:p>
    <w:p w14:paraId="4CCAEF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（二）合意度要求</w:t>
      </w:r>
    </w:p>
    <w:p w14:paraId="4D259A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对解除达成合意即可，无需对违约责任、结算等问题作出处理</w:t>
      </w:r>
    </w:p>
    <w:p w14:paraId="375003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三、合同的法定解除权</w:t>
      </w:r>
    </w:p>
    <w:p w14:paraId="47CF69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（一）不可抗力（双方都可以解除）</w:t>
      </w:r>
    </w:p>
    <w:p w14:paraId="67ECD0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（二）根本违约（只有非违约方才能解除）</w:t>
      </w:r>
    </w:p>
    <w:p w14:paraId="58561C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1.预期违约：在履行期限届满前，当事人一方明确表示或者以自己的行为表明不履行主要债务</w:t>
      </w:r>
    </w:p>
    <w:p w14:paraId="32C09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2.迟延履行</w:t>
      </w:r>
    </w:p>
    <w:p w14:paraId="5F710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对此需要注意两点：①只有迟延履行主要债务（主给付义务），经催告后在合理期限内仍未履行，非违约方才能解除。如果只是迟延履行从给付义务（如开发票），即使经催告后在合理期限内仍未履行，也不得解除合同；②迟延履行主要债务时，非违约方不能直接解除，必须经过催告程序；③只有非违约方才有权解除合同。</w:t>
      </w:r>
    </w:p>
    <w:p w14:paraId="0FBB76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定期债务的迟延履行：对于定期债务，如果债务人迟延履行，往往会直接导致合同目的无法实现，此时非违约方可以不经催告，直接依据《民法典》第563条第1款第4项解除合同。同样的，此种情形下只有非违约方有权解除。</w:t>
      </w:r>
    </w:p>
    <w:p w14:paraId="03D41F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3.其他致使合同目的不能实现的违约行为</w:t>
      </w:r>
    </w:p>
    <w:p w14:paraId="048BE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（三）任意解除</w:t>
      </w:r>
    </w:p>
    <w:p w14:paraId="4D403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1.不定期继续性合同的解除：包括不定期租赁合同、不定期物业服务合同、不定期合伙合同等</w:t>
      </w:r>
    </w:p>
    <w:p w14:paraId="0E2556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2.基于人身信赖的合同的解除：包括意定监护协议、承揽合同（仅定作人）、委托合同、定期物业服务合同（仅业主方）等</w:t>
      </w:r>
    </w:p>
    <w:p w14:paraId="5238E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1B32D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（四）解除权的除斥期间</w:t>
      </w:r>
    </w:p>
    <w:p w14:paraId="4D121B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1.法律规定或者当事人约定解除权行使期限的，该行使期间即为除斥期间</w:t>
      </w:r>
    </w:p>
    <w:p w14:paraId="6B81A0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2.法律没有规定或者当事人没有约定解除权行使期限，但对方催告的，除斥期间为催告后的合理期限</w:t>
      </w:r>
    </w:p>
    <w:p w14:paraId="6FDF5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3.法律没有规定或者当事人没有约定解除权行使期限，且对方未催告的，除斥期间为解除权人知道或者应当知道解除事由之日起1年</w:t>
      </w:r>
    </w:p>
    <w:p w14:paraId="02011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（五）解除权的行使</w:t>
      </w:r>
    </w:p>
    <w:p w14:paraId="11A703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1.以解除通知的方式行使</w:t>
      </w:r>
    </w:p>
    <w:p w14:paraId="771C6B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2.以诉讼的方式行使</w:t>
      </w:r>
    </w:p>
    <w:p w14:paraId="023F5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当事人一方未通知对方，直接以提起诉讼或者申请仲裁的方式依法主张解除合同，人民法院或者仲裁机构确认该主张的，合同自起诉状副本或者仲裁申请书副本送达对方时解除。</w:t>
      </w:r>
    </w:p>
    <w:p w14:paraId="7674EB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【总结】合同解除的体系</w:t>
      </w:r>
    </w:p>
    <w:p w14:paraId="075787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drawing>
          <wp:inline distT="0" distB="0" distL="114300" distR="114300">
            <wp:extent cx="5264150" cy="2854960"/>
            <wp:effectExtent l="0" t="0" r="19050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85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EE3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四、抵销</w:t>
      </w:r>
    </w:p>
    <w:p w14:paraId="28BBD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（一）法定抵销的条件</w:t>
      </w:r>
    </w:p>
    <w:p w14:paraId="121556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1.须二人互负债务。</w:t>
      </w:r>
    </w:p>
    <w:p w14:paraId="312028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2.须双方债务的给付种类及品质相同。其中以双方互负金钱债务最为常见；</w:t>
      </w:r>
    </w:p>
    <w:p w14:paraId="6103F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3.主动债权（即抵销人的债权）必须是到期债权。</w:t>
      </w:r>
    </w:p>
    <w:p w14:paraId="5023D4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.用于抵销的债权是适于抵销的债权。根据债务性质、按照当事人约定或者依照法律规定不得抵销的债权，不得抵销。根据债务性质不得抵销的债务包括因侵害自然人人身权益，或者故意、重大过失侵害他人财产权益产生的损害赔偿债务。</w:t>
      </w:r>
    </w:p>
    <w:p w14:paraId="60B69E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（二）法定抵销的法律效力：不具有溯及力</w:t>
      </w:r>
    </w:p>
    <w:p w14:paraId="36C61E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120D8B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【专题7:违约责任】</w:t>
      </w:r>
    </w:p>
    <w:p w14:paraId="017F80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一、不能履行</w:t>
      </w:r>
    </w:p>
    <w:p w14:paraId="03FDC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1.不得主张继续履行；</w:t>
      </w:r>
    </w:p>
    <w:p w14:paraId="75BA01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2.违约方须承担赔偿损失的责任。如果当事人约定了违约金或定金条款，则非违约方可以主张违约金或定金罚则。如果不能履行是不可抗力导致的，违约方则无须承担赔偿责任；</w:t>
      </w:r>
    </w:p>
    <w:p w14:paraId="43173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3.因不可抗力致使不能履行，不承担违约责任，双方当事人都有权解除合同。如果是违约方的原因导致不能履行，致使合同目的无法实现，违约方有权请求法院或仲裁机构终止合同。</w:t>
      </w:r>
    </w:p>
    <w:p w14:paraId="7E0F1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二、拒绝履行</w:t>
      </w:r>
    </w:p>
    <w:p w14:paraId="767311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1.非违约方有权请求继续履行；</w:t>
      </w:r>
    </w:p>
    <w:p w14:paraId="0EEADB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2.非违约方有权解除合同，并主张违约损害赔偿。</w:t>
      </w:r>
    </w:p>
    <w:p w14:paraId="6FF40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三、迟延履行</w:t>
      </w:r>
    </w:p>
    <w:p w14:paraId="511BEF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1.非违约方有权请求继续履行，同时主张迟延履行的损害赔偿</w:t>
      </w:r>
    </w:p>
    <w:p w14:paraId="2FFAF4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2.经催告，在合理期限内仍未履行，非违约方有权解除合同，并主张违约损害赔偿；</w:t>
      </w:r>
    </w:p>
    <w:p w14:paraId="6DCDF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3.如果当事人约定了违约金与定金，则非违约方可以主张违约金或适用定金罚则。</w:t>
      </w:r>
    </w:p>
    <w:p w14:paraId="0DA170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四、不完全履行</w:t>
      </w:r>
    </w:p>
    <w:p w14:paraId="44CA35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1.非违约方有权请求继续履行（修理、更换、重作）；</w:t>
      </w:r>
    </w:p>
    <w:p w14:paraId="669A67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2.非违约方有权请求减价；</w:t>
      </w:r>
    </w:p>
    <w:p w14:paraId="6380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3.如果存在其他人身、财产损害，非违约方有权请求违约损害赔偿；</w:t>
      </w:r>
    </w:p>
    <w:p w14:paraId="39176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4.如果当事人约定了违约金与定金，非违约方可以主张违约金或适用定金罚则；</w:t>
      </w:r>
    </w:p>
    <w:p w14:paraId="6E557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5.不完全履行致使不能实现合同目的时，非违约方有权解除合同，并主张违约责任。</w:t>
      </w:r>
    </w:p>
    <w:p w14:paraId="46EADA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五、违约赔偿的范围</w:t>
      </w:r>
    </w:p>
    <w:p w14:paraId="6A9B4E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赔偿履行利益和固有利益（当事人固有的人身和财产利益）。</w:t>
      </w:r>
    </w:p>
    <w:p w14:paraId="4458C4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六、定金</w:t>
      </w:r>
    </w:p>
    <w:p w14:paraId="4BC9F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（一）定金合同</w:t>
      </w:r>
    </w:p>
    <w:p w14:paraId="29DC58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定金合同自实际交付定金时成立。据此，在实际交付定金之前，定金合同尚未成立，合同当事人不得请求相对方交付定金。此外，依据《民法典》第586条第2款，定金的数额不得超过主合同标的额的20%，超过部分不发生定金效力。实际交付的定金数额多于或者少于约定数额的，视为变更约定的定金数额。</w:t>
      </w:r>
    </w:p>
    <w:p w14:paraId="5D2D01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（二）定金的效力</w:t>
      </w:r>
    </w:p>
    <w:p w14:paraId="43176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1．订约定金的效力：相当于违反了预约合同的违约责任</w:t>
      </w:r>
    </w:p>
    <w:p w14:paraId="5630A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2．成约定金的效力：适用履行治愈规则</w:t>
      </w:r>
    </w:p>
    <w:p w14:paraId="420E6B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3．解约定金的效力：实际上是一种约定解除权</w:t>
      </w:r>
    </w:p>
    <w:p w14:paraId="071DB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4．违约定金的效力</w:t>
      </w:r>
    </w:p>
    <w:p w14:paraId="2F192B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（1）定金罚则的前提条件</w:t>
      </w:r>
    </w:p>
    <w:p w14:paraId="0F3A6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定金罚则的前提条件是：合同一方存在违约行为且致使合同目的不能实现。这意味着，轻微违约是不适用定金罚则的。</w:t>
      </w:r>
    </w:p>
    <w:p w14:paraId="2E35E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此外，如果是因为不可抗力致使合同不能履行，非违约方不得主张适用定金罚则（《民法典合同编通则解释》第68条第3款）。</w:t>
      </w:r>
    </w:p>
    <w:p w14:paraId="4DD7A9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（2）定金罚则的具体内容</w:t>
      </w:r>
    </w:p>
    <w:p w14:paraId="7B44A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依据《民法典》第587条，如果是给付定金一方存在根本违约行为，则无权请求返还定金；如果是收受定金一方存在根本违约行为，则应当双倍返还定金。</w:t>
      </w:r>
    </w:p>
    <w:p w14:paraId="754846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如果一方当事人已经部分履行，原则上就只能按照未履行部分所占比例主张定金罚则，但是如果部分未履行致使不能实现合同目的，对方则可以按照合同整体适用定金罚则。</w:t>
      </w:r>
    </w:p>
    <w:p w14:paraId="5B7C5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（三）违约定金与违约金、损害赔偿的关系</w:t>
      </w:r>
    </w:p>
    <w:p w14:paraId="26804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对于违约定金与违约金、违约损害赔偿的关系，考生需要注意以下两点：（1）违约定金与违约金并存时，当事人只能择一行使；（2）违约定金不足以弥补损失时，非违约方有权继续主张违约损害赔偿。</w:t>
      </w:r>
    </w:p>
    <w:p w14:paraId="3CEE1D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【提示】提醒考生注意，定金没有酌减。</w:t>
      </w:r>
    </w:p>
    <w:p w14:paraId="102678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</w:p>
    <w:p w14:paraId="738C3B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b/>
          <w:bCs/>
          <w:sz w:val="21"/>
          <w:szCs w:val="21"/>
          <w:u w:val="none"/>
          <w:lang w:val="en-US" w:eastAsia="zh-CN"/>
        </w:rPr>
        <w:t>【专题8:典型合同】</w:t>
      </w:r>
    </w:p>
    <w:p w14:paraId="312B2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一、买卖合同</w:t>
      </w:r>
    </w:p>
    <w:p w14:paraId="621494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（一）买卖合同的风险负担</w:t>
      </w:r>
    </w:p>
    <w:p w14:paraId="5728D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1．基本规则：以交付作为风险转移的界限（也适用于不动产）</w:t>
      </w:r>
    </w:p>
    <w:p w14:paraId="0D0F8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2．特别规则</w:t>
      </w:r>
    </w:p>
    <w:p w14:paraId="6AD38A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《民法典》第605条：买受人受领迟延的，自受领迟延之时起，由买方承担风险。买受人受领迟延，须是买受人无正当理由不及时受领；如标的物质量不合格导致不能实现合同目的，则买受人可拒收或解除合同，此时仍由出卖人承担毁损灭失的风险。</w:t>
      </w:r>
    </w:p>
    <w:p w14:paraId="377464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（2）《民法典》第606条：在途货物（承运人运输）买卖的，自买卖合同成立时转移风险（须无交付地之约定）。</w:t>
      </w:r>
    </w:p>
    <w:p w14:paraId="0C3007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（二）分期付款买卖</w:t>
      </w:r>
    </w:p>
    <w:p w14:paraId="69EF45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买受人未支付价款达到总价的1/5+催告+合理期限内仍不支付=出卖人有权解除合同</w:t>
      </w:r>
    </w:p>
    <w:p w14:paraId="72D309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（三）所有权保留买卖</w:t>
      </w:r>
    </w:p>
    <w:p w14:paraId="045D7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1.取回权的行使前提</w:t>
      </w:r>
    </w:p>
    <w:p w14:paraId="4CE94E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（1）未按约付款+催告+合理期限内仍未支付</w:t>
      </w:r>
    </w:p>
    <w:p w14:paraId="61813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（2）未按约完成特定条件</w:t>
      </w:r>
    </w:p>
    <w:p w14:paraId="509B2B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（3）将标的物出卖、出质或者作出其他不当处分</w:t>
      </w:r>
    </w:p>
    <w:p w14:paraId="08105B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2.取回权的排除</w:t>
      </w:r>
    </w:p>
    <w:p w14:paraId="5E601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（1）已经付款75%以上</w:t>
      </w:r>
    </w:p>
    <w:p w14:paraId="140D36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（2）第三人已善意取得</w:t>
      </w:r>
    </w:p>
    <w:p w14:paraId="75EE7B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【提示】原则上所有权保留买卖当作担保物权对待，但如果出卖人或者买受人处分标的物，都按照无权处分处理。</w:t>
      </w:r>
    </w:p>
    <w:p w14:paraId="78531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二、赠与合同</w:t>
      </w:r>
    </w:p>
    <w:p w14:paraId="58D5C9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（一）赠与人的任意撤销权</w:t>
      </w:r>
    </w:p>
    <w:p w14:paraId="1E05E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1.行使时间：在赠与财产的权利转移之前</w:t>
      </w:r>
    </w:p>
    <w:p w14:paraId="31043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2.不得任意撤销的情形</w:t>
      </w:r>
    </w:p>
    <w:p w14:paraId="5F49EC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（1）经过公证的赠与合同</w:t>
      </w:r>
    </w:p>
    <w:p w14:paraId="3E77F4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（2）具有公益、道德义务性质的赠与合同，如救灾、扶贫等</w:t>
      </w:r>
    </w:p>
    <w:p w14:paraId="37A98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（二）赠与人的法定撤销权</w:t>
      </w:r>
    </w:p>
    <w:p w14:paraId="226D6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1.适用条件</w:t>
      </w:r>
    </w:p>
    <w:p w14:paraId="75BDF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（1）严重侵害赠与人或其近亲属</w:t>
      </w:r>
    </w:p>
    <w:p w14:paraId="299C3F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（2）不抚养赠与人</w:t>
      </w:r>
    </w:p>
    <w:p w14:paraId="13C10D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（3）不履行赠与合同中的义务</w:t>
      </w:r>
    </w:p>
    <w:p w14:paraId="2585FD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2.除斥期间</w:t>
      </w:r>
    </w:p>
    <w:p w14:paraId="1EDB9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（1）赠与人——自知道或应当知道撤销事由之日起1年内</w:t>
      </w:r>
    </w:p>
    <w:p w14:paraId="0B14A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（2）赠与人的继承人或法定代理人——自知道或应当知道撤销事由之日起6个月内</w:t>
      </w:r>
    </w:p>
    <w:p w14:paraId="1C0EF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三、借款合同</w:t>
      </w:r>
    </w:p>
    <w:p w14:paraId="69FA2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（一）合同的成立</w:t>
      </w:r>
    </w:p>
    <w:p w14:paraId="32ED06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自然人之间是实践合同，其他的是诺成合同。</w:t>
      </w:r>
    </w:p>
    <w:p w14:paraId="46331B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（二）利息管制</w:t>
      </w:r>
    </w:p>
    <w:p w14:paraId="0F9D5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  <w:t>约定的利息不得超过合同成立时LPR的4倍，超过部分无效</w:t>
      </w:r>
    </w:p>
    <w:p w14:paraId="2BE4E9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hint="default" w:ascii="Times New Roman Regular" w:hAnsi="Times New Roman Regular" w:cs="Times New Roman Regular"/>
          <w:sz w:val="21"/>
          <w:szCs w:val="21"/>
          <w:u w:val="none"/>
          <w:lang w:val="en-US" w:eastAsia="zh-CN"/>
        </w:rPr>
      </w:pPr>
      <w:r>
        <w:rPr>
          <w:rFonts w:hint="eastAsia" w:ascii="Times New Roman Regular" w:hAnsi="Times New Roman Regular" w:cs="Times New Roman Regular"/>
          <w:sz w:val="21"/>
          <w:szCs w:val="21"/>
          <w:u w:val="none"/>
          <w:lang w:val="en-US" w:eastAsia="zh-CN"/>
        </w:rPr>
        <w:t>（剩余内容下次课继续讲解）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简">
    <w:altName w:val="华文宋体"/>
    <w:panose1 w:val="02010600000101010101"/>
    <w:charset w:val="86"/>
    <w:family w:val="modern"/>
    <w:pitch w:val="default"/>
    <w:sig w:usb0="00000000" w:usb1="00000000" w:usb2="00000002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Times New Roman Regular">
    <w:panose1 w:val="02020503050405090304"/>
    <w:charset w:val="00"/>
    <w:family w:val="auto"/>
    <w:pitch w:val="default"/>
    <w:sig w:usb0="E0000AFF" w:usb1="00007843" w:usb2="00000001" w:usb3="00000000" w:csb0="400001BF" w:csb1="DFF7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BDAEF9"/>
    <w:rsid w:val="0D9A55A2"/>
    <w:rsid w:val="13EF1752"/>
    <w:rsid w:val="16EFD392"/>
    <w:rsid w:val="177DA370"/>
    <w:rsid w:val="17DFFA75"/>
    <w:rsid w:val="18BFC09B"/>
    <w:rsid w:val="1BC8E4F3"/>
    <w:rsid w:val="1BEF9C01"/>
    <w:rsid w:val="1BFB8A79"/>
    <w:rsid w:val="1FFBBE3B"/>
    <w:rsid w:val="1FFDE82A"/>
    <w:rsid w:val="1FFE3DC8"/>
    <w:rsid w:val="1FFF9676"/>
    <w:rsid w:val="25E4E361"/>
    <w:rsid w:val="26F6FA36"/>
    <w:rsid w:val="27FBB615"/>
    <w:rsid w:val="2FD9B963"/>
    <w:rsid w:val="2FF57ABD"/>
    <w:rsid w:val="33FD09F3"/>
    <w:rsid w:val="37F9300F"/>
    <w:rsid w:val="396C1DDF"/>
    <w:rsid w:val="39BBEE6C"/>
    <w:rsid w:val="39CD9E08"/>
    <w:rsid w:val="3AA211B0"/>
    <w:rsid w:val="3D758D90"/>
    <w:rsid w:val="3DDD8785"/>
    <w:rsid w:val="3DEE2497"/>
    <w:rsid w:val="3EFF2196"/>
    <w:rsid w:val="3EFFCDE3"/>
    <w:rsid w:val="3F362571"/>
    <w:rsid w:val="3F7D6D90"/>
    <w:rsid w:val="3FDF38B5"/>
    <w:rsid w:val="4BFDC25C"/>
    <w:rsid w:val="4D7AF3B1"/>
    <w:rsid w:val="4F7E5D39"/>
    <w:rsid w:val="4FEF7A7F"/>
    <w:rsid w:val="5BF630B3"/>
    <w:rsid w:val="5D1E5E35"/>
    <w:rsid w:val="5D2F548A"/>
    <w:rsid w:val="5D9CC53C"/>
    <w:rsid w:val="5DBFD756"/>
    <w:rsid w:val="5E976ACE"/>
    <w:rsid w:val="5EF589B3"/>
    <w:rsid w:val="5F2FB4C6"/>
    <w:rsid w:val="5F67BE34"/>
    <w:rsid w:val="5F9FED60"/>
    <w:rsid w:val="5FDFC522"/>
    <w:rsid w:val="5FF291E1"/>
    <w:rsid w:val="63F79634"/>
    <w:rsid w:val="676B1FCF"/>
    <w:rsid w:val="6BBF548D"/>
    <w:rsid w:val="6BEE3C17"/>
    <w:rsid w:val="6CFC5835"/>
    <w:rsid w:val="6EBFFE06"/>
    <w:rsid w:val="6EDC6954"/>
    <w:rsid w:val="6F7FD66B"/>
    <w:rsid w:val="6FC75035"/>
    <w:rsid w:val="6FE9DFA5"/>
    <w:rsid w:val="6FF6B73E"/>
    <w:rsid w:val="6FF7B5C8"/>
    <w:rsid w:val="6FFF6B06"/>
    <w:rsid w:val="72B16660"/>
    <w:rsid w:val="72FEDFAF"/>
    <w:rsid w:val="74EF0DAF"/>
    <w:rsid w:val="75FFDC8C"/>
    <w:rsid w:val="76576194"/>
    <w:rsid w:val="777E0985"/>
    <w:rsid w:val="77BFCCB0"/>
    <w:rsid w:val="78FF9F1C"/>
    <w:rsid w:val="79B72732"/>
    <w:rsid w:val="7A8FECFA"/>
    <w:rsid w:val="7B6D3C00"/>
    <w:rsid w:val="7B77E946"/>
    <w:rsid w:val="7B9D44AF"/>
    <w:rsid w:val="7BAF28C8"/>
    <w:rsid w:val="7BFFD2F7"/>
    <w:rsid w:val="7C7DDD51"/>
    <w:rsid w:val="7C9D61C3"/>
    <w:rsid w:val="7D473A11"/>
    <w:rsid w:val="7D6FDA1F"/>
    <w:rsid w:val="7D7FD33D"/>
    <w:rsid w:val="7DBDD90E"/>
    <w:rsid w:val="7DBFEFAD"/>
    <w:rsid w:val="7DE7821D"/>
    <w:rsid w:val="7DF9200D"/>
    <w:rsid w:val="7E3F6002"/>
    <w:rsid w:val="7EFF1AA0"/>
    <w:rsid w:val="7EFFC158"/>
    <w:rsid w:val="7F398CB3"/>
    <w:rsid w:val="7F3B9F4C"/>
    <w:rsid w:val="7F3C3286"/>
    <w:rsid w:val="7F695405"/>
    <w:rsid w:val="7F6B748A"/>
    <w:rsid w:val="7FB49696"/>
    <w:rsid w:val="7FB797CE"/>
    <w:rsid w:val="7FBF0F91"/>
    <w:rsid w:val="7FE7235C"/>
    <w:rsid w:val="7FFCE884"/>
    <w:rsid w:val="8ABEE47C"/>
    <w:rsid w:val="8BFB340A"/>
    <w:rsid w:val="957F8B5D"/>
    <w:rsid w:val="99FF3808"/>
    <w:rsid w:val="AEAF67DC"/>
    <w:rsid w:val="AECFAD74"/>
    <w:rsid w:val="AED07A5A"/>
    <w:rsid w:val="AEFFF231"/>
    <w:rsid w:val="AF7349BF"/>
    <w:rsid w:val="B1FDE468"/>
    <w:rsid w:val="B3FEA9EF"/>
    <w:rsid w:val="B5B7A33B"/>
    <w:rsid w:val="B61785CE"/>
    <w:rsid w:val="B7FEF551"/>
    <w:rsid w:val="BBD68691"/>
    <w:rsid w:val="BE470E73"/>
    <w:rsid w:val="BFD7C2A8"/>
    <w:rsid w:val="BFDF5E9D"/>
    <w:rsid w:val="BFFFC478"/>
    <w:rsid w:val="C2FF7057"/>
    <w:rsid w:val="CBDA46FA"/>
    <w:rsid w:val="CDF9AD73"/>
    <w:rsid w:val="CEAF22DB"/>
    <w:rsid w:val="CFABA3EB"/>
    <w:rsid w:val="CFBDAEF9"/>
    <w:rsid w:val="CFFF1593"/>
    <w:rsid w:val="D7F8DDAE"/>
    <w:rsid w:val="D99D7B6E"/>
    <w:rsid w:val="DBF64670"/>
    <w:rsid w:val="DE4FF25C"/>
    <w:rsid w:val="DE5EFF5E"/>
    <w:rsid w:val="DFDD6831"/>
    <w:rsid w:val="E5718167"/>
    <w:rsid w:val="E59B90E9"/>
    <w:rsid w:val="E5AB3AAB"/>
    <w:rsid w:val="E5DD9418"/>
    <w:rsid w:val="E787CCF8"/>
    <w:rsid w:val="E7BFCB01"/>
    <w:rsid w:val="E7EF776D"/>
    <w:rsid w:val="E9F63188"/>
    <w:rsid w:val="EA3CD53D"/>
    <w:rsid w:val="EB6E8309"/>
    <w:rsid w:val="EBD730EB"/>
    <w:rsid w:val="EC2D9E1A"/>
    <w:rsid w:val="EECA7655"/>
    <w:rsid w:val="EF06E542"/>
    <w:rsid w:val="EF73E6F1"/>
    <w:rsid w:val="EF7FB042"/>
    <w:rsid w:val="EFB7ADF2"/>
    <w:rsid w:val="EFCFFD3A"/>
    <w:rsid w:val="EFDF470A"/>
    <w:rsid w:val="EFDFF3E6"/>
    <w:rsid w:val="EFE712E6"/>
    <w:rsid w:val="EFE74EAF"/>
    <w:rsid w:val="EFF7C6A6"/>
    <w:rsid w:val="EFFC3132"/>
    <w:rsid w:val="F0D7EC59"/>
    <w:rsid w:val="F0DE3C2E"/>
    <w:rsid w:val="F1B927A4"/>
    <w:rsid w:val="F3FF92B4"/>
    <w:rsid w:val="F54E1163"/>
    <w:rsid w:val="F56E2A6E"/>
    <w:rsid w:val="F5EEDA60"/>
    <w:rsid w:val="F5EFB180"/>
    <w:rsid w:val="F6DFFC0C"/>
    <w:rsid w:val="F73F225B"/>
    <w:rsid w:val="F7BF3A04"/>
    <w:rsid w:val="F9B2A7D6"/>
    <w:rsid w:val="FABE4737"/>
    <w:rsid w:val="FB3760F9"/>
    <w:rsid w:val="FB3FDD72"/>
    <w:rsid w:val="FBDF91EB"/>
    <w:rsid w:val="FBFB9313"/>
    <w:rsid w:val="FBFF7EF4"/>
    <w:rsid w:val="FCEF4E65"/>
    <w:rsid w:val="FD375179"/>
    <w:rsid w:val="FD6C9E97"/>
    <w:rsid w:val="FD6EB3EE"/>
    <w:rsid w:val="FDBDD900"/>
    <w:rsid w:val="FDEB36AE"/>
    <w:rsid w:val="FDF59568"/>
    <w:rsid w:val="FE7F8EB7"/>
    <w:rsid w:val="FEA64923"/>
    <w:rsid w:val="FED769C8"/>
    <w:rsid w:val="FEFE8315"/>
    <w:rsid w:val="FF3362C6"/>
    <w:rsid w:val="FF4A296D"/>
    <w:rsid w:val="FF6F6FFE"/>
    <w:rsid w:val="FF7BF13D"/>
    <w:rsid w:val="FF943FE1"/>
    <w:rsid w:val="FF9F8E8F"/>
    <w:rsid w:val="FF9FAEC4"/>
    <w:rsid w:val="FFD53184"/>
    <w:rsid w:val="FFEFF665"/>
    <w:rsid w:val="FFF72BE1"/>
    <w:rsid w:val="FFFBE5A1"/>
    <w:rsid w:val="FFFD413B"/>
    <w:rsid w:val="FFFF283E"/>
    <w:rsid w:val="FFFF3C31"/>
    <w:rsid w:val="FFFF8129"/>
    <w:rsid w:val="FFFF9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/>
      <w:spacing w:before="100" w:beforeAutospacing="1" w:after="100" w:afterAutospacing="1" w:line="384" w:lineRule="exact"/>
      <w:ind w:firstLine="721" w:firstLineChars="200"/>
      <w:jc w:val="left"/>
    </w:pPr>
    <w:rPr>
      <w:rFonts w:ascii="宋体" w:hAnsi="宋体" w:eastAsia="汉仪书宋二简" w:cs="宋体"/>
      <w:color w:val="auto"/>
      <w:kern w:val="0"/>
      <w:sz w:val="24"/>
      <w:szCs w:val="24"/>
      <w:lang w:val="en-US" w:eastAsia="zh-CN" w:bidi="ar-SA"/>
    </w:rPr>
  </w:style>
  <w:style w:type="table" w:styleId="4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2026-02-09T16:22:00Z</dcterms:created>
  <dc:creator>Arthur (Xiao) Dong</dc:creator>
  <cp:lastModifiedBy>Arthur (Xiao) Dong</cp:lastModifiedBy>
  <dcterms:modified xsi:type="dcterms:W3CDTF">2026-07-09T22:43:50Z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3A31E5C62E8666FD53247769E1688135_41</vt:lpwstr>
  </property>
</Properties>
</file>