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Regular" w:hAnsi="Times New Roman Regular" w:cs="Times New Roman Regular"/>
          <w:sz w:val="21"/>
          <w:szCs w:val="21"/>
          <w:u w:val="none"/>
          <w:lang w:val="en-US" w:eastAsia="zh-CN"/>
        </w:rPr>
      </w:pPr>
      <w:r>
        <w:rPr>
          <w:rFonts w:hint="eastAsia"/>
          <w:b/>
          <w:bCs/>
          <w:sz w:val="28"/>
          <w:szCs w:val="28"/>
          <w:lang w:val="en-US" w:eastAsia="zh-CN"/>
        </w:rPr>
        <w:t>民法主观专题突破第三讲课堂笔记（专题4-5）</w:t>
      </w:r>
    </w:p>
    <w:p w14:paraId="334F86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37D74B9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【专题4:担保物权】</w:t>
      </w:r>
    </w:p>
    <w:p w14:paraId="35B874E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（接续上次课内容）</w:t>
      </w:r>
    </w:p>
    <w:p w14:paraId="55F99F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八、</w:t>
      </w:r>
      <w:r>
        <w:rPr>
          <w:rFonts w:hint="default" w:ascii="Times New Roman Regular" w:hAnsi="Times New Roman Regular" w:cs="Times New Roman Regular"/>
          <w:sz w:val="21"/>
          <w:szCs w:val="21"/>
          <w:u w:val="none"/>
          <w:lang w:val="en-US" w:eastAsia="zh-CN"/>
        </w:rPr>
        <w:t>权利质权</w:t>
      </w:r>
    </w:p>
    <w:p w14:paraId="6A0F560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（一）可质押的权利范围</w:t>
      </w:r>
    </w:p>
    <w:p w14:paraId="3E00DCC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汇票、支票、本票；2.债券、存款单；3.仓单、提单；4.可以转让的基金份额、股权；5.可以转让的注册商标专用权、专利权、著作权等知识产权中的财产权；6.现有的以及将来的应收账款；7.法律、行政法规规定可以出质的其他财产权利。</w:t>
      </w:r>
    </w:p>
    <w:p w14:paraId="230336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（二）权利质权的设立：有权利凭证的交付时设立，没有权利凭证的登记时设立。</w:t>
      </w:r>
    </w:p>
    <w:p w14:paraId="026892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【提示】可以抵押的权利只有不动产用益物权</w:t>
      </w:r>
    </w:p>
    <w:p w14:paraId="30EE02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九</w:t>
      </w:r>
      <w:r>
        <w:rPr>
          <w:rFonts w:hint="default" w:ascii="Times New Roman Regular" w:hAnsi="Times New Roman Regular" w:cs="Times New Roman Regular"/>
          <w:sz w:val="21"/>
          <w:szCs w:val="21"/>
          <w:u w:val="none"/>
          <w:lang w:val="en-US" w:eastAsia="zh-CN"/>
        </w:rPr>
        <w:t>、留置权的构成要件</w:t>
      </w:r>
    </w:p>
    <w:p w14:paraId="1913D5B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（一）须债权人合法占有属于债务人移交的动产</w:t>
      </w:r>
    </w:p>
    <w:p w14:paraId="07B04C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应将“债务人的动产”解释为“债务人移交的动产等”，质言之，在不属于债务人所有的动产之上，也可以成立留置权。</w:t>
      </w:r>
    </w:p>
    <w:p w14:paraId="35BE03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（二）留置的动产与债权属于同一法律关系</w:t>
      </w:r>
    </w:p>
    <w:p w14:paraId="7F7195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依《民法典》第448条的规定，债权人留置的动产，应当与债权属于“同一法律关系”。对于留置物与债权须属于同一法律关系的一般规则，《民法典》第448条设有一个例外规定，即企业之间留置的无须要求留置物与债权属于同一法律关系。此乃商事留置权的特别规定，但该债权必须是持续经营中发生的债权。另外要注意，商事留置权留置的标的物必须是债务人自己的。</w:t>
      </w:r>
    </w:p>
    <w:p w14:paraId="18EE46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十</w:t>
      </w:r>
      <w:r>
        <w:rPr>
          <w:rFonts w:hint="default" w:ascii="Times New Roman Regular" w:hAnsi="Times New Roman Regular" w:cs="Times New Roman Regular"/>
          <w:sz w:val="21"/>
          <w:szCs w:val="21"/>
          <w:u w:val="none"/>
          <w:lang w:val="en-US" w:eastAsia="zh-CN"/>
        </w:rPr>
        <w:t>、留置权的消灭</w:t>
      </w:r>
    </w:p>
    <w:p w14:paraId="79D396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除了担保物权一般的消灭事由，《民法典》第457条还规定了两种留置权的消灭事由：（1）留置权人对留置财产丧失占有；（2）留置权人接受债务人另行提供的担保。</w:t>
      </w:r>
    </w:p>
    <w:p w14:paraId="36873B4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【提示】</w:t>
      </w:r>
      <w:r>
        <w:rPr>
          <w:rFonts w:hint="default" w:ascii="Times New Roman Regular" w:hAnsi="Times New Roman Regular" w:cs="Times New Roman Regular"/>
          <w:sz w:val="21"/>
          <w:szCs w:val="21"/>
          <w:u w:val="none"/>
          <w:lang w:val="en-US" w:eastAsia="zh-CN"/>
        </w:rPr>
        <w:t>不包括被盗，因为被盗可以请求返还</w:t>
      </w:r>
      <w:r>
        <w:rPr>
          <w:rFonts w:hint="eastAsia" w:ascii="Times New Roman Regular" w:hAnsi="Times New Roman Regular" w:cs="Times New Roman Regular"/>
          <w:sz w:val="21"/>
          <w:szCs w:val="21"/>
          <w:u w:val="none"/>
          <w:lang w:val="en-US" w:eastAsia="zh-CN"/>
        </w:rPr>
        <w:t>。</w:t>
      </w:r>
    </w:p>
    <w:p w14:paraId="4EE191F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十一</w:t>
      </w:r>
      <w:r>
        <w:rPr>
          <w:rFonts w:hint="default" w:ascii="Times New Roman Regular" w:hAnsi="Times New Roman Regular" w:cs="Times New Roman Regular"/>
          <w:sz w:val="21"/>
          <w:szCs w:val="21"/>
          <w:u w:val="none"/>
          <w:lang w:val="en-US" w:eastAsia="zh-CN"/>
        </w:rPr>
        <w:t>、混合共同担保</w:t>
      </w:r>
    </w:p>
    <w:p w14:paraId="21C61B7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在物保和人保均由第三人提供的情况下，在物保人或保证人承担了担保责任后，当然可向债务人追偿。但是，其是否可要求其他共同担保人分担，依据《民法典担保制度解释》第13条，担保人之间原则上不能互相追偿，除非存在以下法定情形之一：（1）担保人之间约定了互相追偿；（2）担保人约定承担连带共同担保；（3）各担保人在同一份合同书上签字、盖章或者按指印。</w:t>
      </w:r>
    </w:p>
    <w:p w14:paraId="2D415B9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十二、</w:t>
      </w:r>
      <w:r>
        <w:rPr>
          <w:rFonts w:hint="default" w:ascii="Times New Roman Regular" w:hAnsi="Times New Roman Regular" w:cs="Times New Roman Regular"/>
          <w:sz w:val="21"/>
          <w:szCs w:val="21"/>
          <w:u w:val="none"/>
          <w:lang w:val="en-US" w:eastAsia="zh-CN"/>
        </w:rPr>
        <w:t>担保物权的竞合</w:t>
      </w:r>
    </w:p>
    <w:p w14:paraId="34F5DF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1．凡发生留置权的，留置权一定最优先。</w:t>
      </w:r>
    </w:p>
    <w:p w14:paraId="7215F2A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如果一物之上先后设立了抵押权和质权：（1）如该抵押权经过登记的，由于登记使抵押权具有了对抗效力，故设立在先的抵押权当然优先于设立在后的质权；（2）如该抵押权未经登记，则一方面，未经登记的抵押权不得对抗善意第三人，另一方面，此时物在质权人的占有之下，因此，后设立的质权优先于先设立的抵押权。如果抵押权设立时未经登记，然后设立了质权并交付了物，再然后当事人进行了抵押登记，则仍以交付在先的质权为优先。</w:t>
      </w:r>
    </w:p>
    <w:p w14:paraId="41B206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【提示】不考虑善恶意。</w:t>
      </w:r>
    </w:p>
    <w:p w14:paraId="5B5DA8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1AD294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【专题5:债的履行与债的保全】</w:t>
      </w:r>
    </w:p>
    <w:p w14:paraId="5F2009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一、有合法利益的第三人代为履行</w:t>
      </w:r>
    </w:p>
    <w:p w14:paraId="36D44E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债务人不履行债务，第三人对履行该债务具有合法利益的，第三人有权向债权人代为履行；但是，根据债务性质、按照当事人约定或者依照法律规定只能由债务人履行的除外。债权人接受第三人履行后，其对债务人的债权转让给第三人，但是债务人和第三人另有约定的除外。</w:t>
      </w:r>
    </w:p>
    <w:p w14:paraId="04A39A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二、双务合同的履行抗辩权</w:t>
      </w:r>
    </w:p>
    <w:p w14:paraId="2200F10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（一）同时履行抗辩权（未履行先后履行顺序）</w:t>
      </w:r>
    </w:p>
    <w:p w14:paraId="5F5581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告起诉履行+被告主张同时履行抗辩权且成立+被告未提反诉：法院作出对待给付判决，即被告在原告履行债务的同时履行自己的债务，并在判决中明确原告申请强制执行的，人民法院应当在原告履行自己的债务后对被告采取强制执行措施</w:t>
      </w:r>
    </w:p>
    <w:p w14:paraId="6C18BED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原告起诉履行+被告主张同时履行抗辩权且成立+被告提反诉：法院作出同时履行判决，即判决双方同时履行自己的债务，并在判决中明确任何一方申请强制执行的，人民法院应当在该当事人履行自己的债务后对对方采取执行行为</w:t>
      </w:r>
    </w:p>
    <w:p w14:paraId="389BD48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（二）先履行抗辩权</w:t>
      </w:r>
    </w:p>
    <w:p w14:paraId="41E7C6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行使抗辩权的一方为后履行一方。与同时履行抗辩权的主要区别在于，在程序法上，原告起诉履行，被告主张先履行抗辩权且成立的，法院应驳回诉讼请求，但不影响原告履行债务后另行起诉</w:t>
      </w:r>
    </w:p>
    <w:p w14:paraId="36DDB5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（三）不安抗辩权</w:t>
      </w:r>
    </w:p>
    <w:p w14:paraId="629D426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1．先履行方有权中止履行，但有义务通知对方以便对方提供适当的担保</w:t>
      </w:r>
    </w:p>
    <w:p w14:paraId="61B436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2．对方在合理期限内恢复履行能力或提供适当担保：恢复履行</w:t>
      </w:r>
    </w:p>
    <w:p w14:paraId="256331D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3．对方在合理期限内未恢复履行能力且未提供适当担保：视为以自己的行为表明不履行主要债务，先履行方可以解除合同并可以请求对方承担违约责任</w:t>
      </w:r>
    </w:p>
    <w:p w14:paraId="2B2CA4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三、以物抵债（原则上是诺成合同，但是当事人可以约定为实践合同）</w:t>
      </w:r>
    </w:p>
    <w:p w14:paraId="73936F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（一）债务履行期届满后的以物抵债协议</w:t>
      </w:r>
    </w:p>
    <w:p w14:paraId="3232EF8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1.协议效力：以物抵债协议是诺成合同。</w:t>
      </w:r>
    </w:p>
    <w:p w14:paraId="0AE9FD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2.与原债权债务的关系：债务人或者第三人履行以物抵债协议后，原债务才同时消灭，仅签订以物抵债协议不会导致原债务消灭。</w:t>
      </w:r>
    </w:p>
    <w:p w14:paraId="228260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协议的履行与救济：如果债务人或第三人未履行该以物抵债协议，经催告后在合理期限内仍不履行，债权人享有选择权，其可以选择请求继续履行以物抵债协议，也可以请求履行原债务。但法律另有规定或当事人另有约定除外。</w:t>
      </w:r>
    </w:p>
    <w:p w14:paraId="1D8E395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4.人民法院的确认书、调解书本身不导致物权变动。</w:t>
      </w:r>
    </w:p>
    <w:p w14:paraId="51C209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（二）债务履行期限届满前的以物抵债协议</w:t>
      </w:r>
    </w:p>
    <w:p w14:paraId="399F4C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1.流担保条款无效。</w:t>
      </w:r>
    </w:p>
    <w:p w14:paraId="4DFA77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2.已完成公示的可以优先受偿，否则不能优先受偿。</w:t>
      </w:r>
    </w:p>
    <w:p w14:paraId="3592827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四、情势变更</w:t>
      </w:r>
    </w:p>
    <w:p w14:paraId="691D4C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（一）规范性质</w:t>
      </w:r>
    </w:p>
    <w:p w14:paraId="5AC495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《民法典》第533条是强制性规定，不能事先约定排除该条的适用，约定排除的条款无效</w:t>
      </w:r>
    </w:p>
    <w:p w14:paraId="35D7C1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（二）构成要件</w:t>
      </w:r>
    </w:p>
    <w:p w14:paraId="6160720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1．发生了情势变更的客观事实</w:t>
      </w:r>
    </w:p>
    <w:p w14:paraId="33E54C6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2．情势变更的事实发生于合同成立后，履行完毕前</w:t>
      </w:r>
    </w:p>
    <w:p w14:paraId="503CF6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3．情势变更是缔约时当事人不可预见的</w:t>
      </w:r>
    </w:p>
    <w:p w14:paraId="1CD18FC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4．如果继续严守合同会对当事人一方明显不公平</w:t>
      </w:r>
    </w:p>
    <w:p w14:paraId="45A6113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（三）法律效果</w:t>
      </w:r>
    </w:p>
    <w:p w14:paraId="043DAD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1．当事人的诚信协商义务</w:t>
      </w:r>
    </w:p>
    <w:p w14:paraId="501764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2．司法变更或司法解除</w:t>
      </w:r>
    </w:p>
    <w:p w14:paraId="0ADD54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w:t>
      </w:r>
      <w:r>
        <w:rPr>
          <w:rFonts w:hint="default" w:ascii="Times New Roman Regular" w:hAnsi="Times New Roman Regular" w:cs="Times New Roman Regular"/>
          <w:sz w:val="21"/>
          <w:szCs w:val="21"/>
          <w:u w:val="none"/>
          <w:lang w:val="en-US" w:eastAsia="zh-CN"/>
        </w:rPr>
        <w:t>债权人代位权的构成要件</w:t>
      </w:r>
    </w:p>
    <w:p w14:paraId="3951B09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1．债务人怠于行使其到期债权及其从权利</w:t>
      </w:r>
    </w:p>
    <w:p w14:paraId="6FF9296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2．债权人的债权、债务人对相对人的债权均合法、到期</w:t>
      </w:r>
    </w:p>
    <w:p w14:paraId="17F2A90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3．影响债权人的到期债权实现</w:t>
      </w:r>
    </w:p>
    <w:p w14:paraId="15E7BF9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六</w:t>
      </w:r>
      <w:r>
        <w:rPr>
          <w:rFonts w:hint="default" w:ascii="Times New Roman Regular" w:hAnsi="Times New Roman Regular" w:cs="Times New Roman Regular"/>
          <w:sz w:val="21"/>
          <w:szCs w:val="21"/>
          <w:u w:val="none"/>
          <w:lang w:val="en-US" w:eastAsia="zh-CN"/>
        </w:rPr>
        <w:t>、债权人代位权的行使</w:t>
      </w:r>
    </w:p>
    <w:p w14:paraId="1B508B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1．诉讼当事人：债权人为原告，相对人为被告，债务人为法院应当追加的无独三</w:t>
      </w:r>
    </w:p>
    <w:p w14:paraId="3B1FD94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2．诉讼管辖</w:t>
      </w:r>
    </w:p>
    <w:p w14:paraId="1880F4A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（1）被告住所地的法院管辖，但专属管辖除外</w:t>
      </w:r>
    </w:p>
    <w:p w14:paraId="23F5E1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（2）债务人与相对人之间订立管辖协议时无权提出管辖异议</w:t>
      </w:r>
    </w:p>
    <w:p w14:paraId="5E5B97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（3）债务人与相对人订立了仲裁协议，原则上无权提出管辖异议，但债务人或相对人在首次开庭前就债务人与相对人之间的债权债务关系申请仲裁的，法院可以中止代位权诉讼</w:t>
      </w:r>
    </w:p>
    <w:p w14:paraId="381FF7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3．合并审理</w:t>
      </w:r>
    </w:p>
    <w:p w14:paraId="535A69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（1）多个债权人以债务人的同一相对人为被告提起代位权诉讼，可以合并审理</w:t>
      </w:r>
    </w:p>
    <w:p w14:paraId="2A7D7C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（2）债权人向人民法院起诉债务人后，又向同一人民法院对债务人的相对人提起代位权诉讼，属于该人民法院管辖的，可以合并审理</w:t>
      </w:r>
    </w:p>
    <w:p w14:paraId="541190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（3）在代位权诉讼中，债务人对超过债权人代位请求数额的债权部分起诉相对人，属于同一人民法院管辖的，可以合并审理</w:t>
      </w:r>
    </w:p>
    <w:p w14:paraId="14E6D3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4．诉讼中的抗辩：相对人对债务人的抗辩，可以向债权人主张</w:t>
      </w:r>
    </w:p>
    <w:p w14:paraId="1E6493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5．裁判方式</w:t>
      </w:r>
    </w:p>
    <w:p w14:paraId="25C2ABA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（1）代位权成立：支持诉讼请求</w:t>
      </w:r>
    </w:p>
    <w:p w14:paraId="60D6B95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（2）代位权不成立：驳回诉讼请求，但不影响根据新的事实再次起诉</w:t>
      </w:r>
    </w:p>
    <w:p w14:paraId="0C3EA3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6.行使范围：以债权人的到期债权为限</w:t>
      </w:r>
    </w:p>
    <w:p w14:paraId="1F69C8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七</w:t>
      </w:r>
      <w:r>
        <w:rPr>
          <w:rFonts w:hint="default" w:ascii="Times New Roman Regular" w:hAnsi="Times New Roman Regular" w:cs="Times New Roman Regular"/>
          <w:sz w:val="21"/>
          <w:szCs w:val="21"/>
          <w:u w:val="none"/>
          <w:lang w:val="en-US" w:eastAsia="zh-CN"/>
        </w:rPr>
        <w:t>、债权人代位权行使的法律效果</w:t>
      </w:r>
    </w:p>
    <w:p w14:paraId="2CBF2D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1．由债务人的相对人向债权人履行义务，债权人接受履行后，债权人与债务人、债务人与相对人之间相应的权利义务终止（不入库）。</w:t>
      </w:r>
    </w:p>
    <w:p w14:paraId="2F2D2F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2．债权人对债务人的债权、债务人对相对人的债权的诉讼时效均发生中断。</w:t>
      </w:r>
    </w:p>
    <w:p w14:paraId="2D7674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3．债权人行使代位权的必要费用，由债务人负担。</w:t>
      </w:r>
    </w:p>
    <w:p w14:paraId="13A349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4．相对人对债务人的抗辩，可以向债权人主张。</w:t>
      </w:r>
    </w:p>
    <w:p w14:paraId="3637782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八、</w:t>
      </w:r>
      <w:r>
        <w:rPr>
          <w:rFonts w:hint="default" w:ascii="Times New Roman Regular" w:hAnsi="Times New Roman Regular" w:cs="Times New Roman Regular"/>
          <w:sz w:val="21"/>
          <w:szCs w:val="21"/>
          <w:u w:val="none"/>
          <w:lang w:val="en-US" w:eastAsia="zh-CN"/>
        </w:rPr>
        <w:t>债权人撤销权的构成要件</w:t>
      </w:r>
    </w:p>
    <w:p w14:paraId="0EAFD0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（一）客观要件</w:t>
      </w:r>
    </w:p>
    <w:p w14:paraId="5C4DEA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1．债务人实施债权诈害行为</w:t>
      </w:r>
    </w:p>
    <w:p w14:paraId="31C603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（1）无偿的债权诈害行为：放弃债权、放弃债权担保、无偿转让财产、恶意延长到期债权的履行期限</w:t>
      </w:r>
    </w:p>
    <w:p w14:paraId="7CADE8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偿的债权诈害行为：以明显不合理的低价转让财产、以明显不合理的高价受让他人财产、为他人的债务提供担保、以明显不合理的低价或者高价互易财产、以物抵债、设定用益物权、出租或承租财产、知识产权许可使用等</w:t>
      </w:r>
    </w:p>
    <w:p w14:paraId="4C4505C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2．影响债权人的债权实现</w:t>
      </w:r>
    </w:p>
    <w:p w14:paraId="1D6225C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3．债务人的诈害行为发生于债权成立之后</w:t>
      </w:r>
    </w:p>
    <w:p w14:paraId="36D9D82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（二）主观要件</w:t>
      </w:r>
    </w:p>
    <w:p w14:paraId="69822F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1．无偿的债权诈害行为无需主观要件</w:t>
      </w:r>
    </w:p>
    <w:p w14:paraId="530F2E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2．有偿的债权诈害行为要求债务人的相对人知道或者应当知道债务人的诈害债权行为，以及影响债权实现</w:t>
      </w:r>
    </w:p>
    <w:p w14:paraId="7ED998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九</w:t>
      </w:r>
      <w:r>
        <w:rPr>
          <w:rFonts w:hint="default" w:ascii="Times New Roman Regular" w:hAnsi="Times New Roman Regular" w:cs="Times New Roman Regular"/>
          <w:sz w:val="21"/>
          <w:szCs w:val="21"/>
          <w:u w:val="none"/>
          <w:lang w:val="en-US" w:eastAsia="zh-CN"/>
        </w:rPr>
        <w:t>、债权人撤销权的行使</w:t>
      </w:r>
    </w:p>
    <w:p w14:paraId="0134C50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1．诉讼当事人：债权人为原告；债务人和债务人的相对人为共同被告</w:t>
      </w:r>
    </w:p>
    <w:p w14:paraId="33DB2F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2．诉讼管辖：债务人住所地人民法院管辖</w:t>
      </w:r>
    </w:p>
    <w:p w14:paraId="55193AA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3．合并审理</w:t>
      </w:r>
    </w:p>
    <w:p w14:paraId="76236A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（1）两个或者两个以上债权人就债务人的同一行为提起撤销权诉讼的，人民法院可以合并审理</w:t>
      </w:r>
    </w:p>
    <w:p w14:paraId="0700D4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（2）债权人向人民法院起诉债务人后，又向同一人民法院对债务人的相对人提起代位权诉讼，属于该人民法院管辖的，可以合并审理</w:t>
      </w:r>
    </w:p>
    <w:p w14:paraId="03730A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4.行使范围</w:t>
      </w:r>
    </w:p>
    <w:p w14:paraId="4A6531F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标的可分时，债权人只能在受影响的债权范围内撤销债务人的行为。标的不可分时，债权人可以主张将债务人的行为全部撤销</w:t>
      </w:r>
    </w:p>
    <w:p w14:paraId="53F79E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5.行使期间</w:t>
      </w:r>
    </w:p>
    <w:p w14:paraId="7C31EAE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（1）主观期间：自债权人知道或应当知道撤销事由之日起1年内行使</w:t>
      </w:r>
    </w:p>
    <w:p w14:paraId="3708E8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（2）客观期间：自债务人的行为发生之日起5年</w:t>
      </w:r>
    </w:p>
    <w:p w14:paraId="17A0CB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十</w:t>
      </w:r>
      <w:r>
        <w:rPr>
          <w:rFonts w:hint="default" w:ascii="Times New Roman Regular" w:hAnsi="Times New Roman Regular" w:cs="Times New Roman Regular"/>
          <w:sz w:val="21"/>
          <w:szCs w:val="21"/>
          <w:u w:val="none"/>
          <w:lang w:val="en-US" w:eastAsia="zh-CN"/>
        </w:rPr>
        <w:t>、债权人撤销权的法律效果</w:t>
      </w:r>
    </w:p>
    <w:p w14:paraId="4F228D9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1．债权诈害行为被撤销，自始无效</w:t>
      </w:r>
    </w:p>
    <w:p w14:paraId="7D8F0C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2．债权人有权同时请求债务人的相对人向债务人承担返还财产、折价补偿、履行到期债务等法律后果（入库）</w:t>
      </w:r>
    </w:p>
    <w:p w14:paraId="03F008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【总结】民法上的各类撤销权</w:t>
      </w:r>
    </w:p>
    <w:p w14:paraId="2AB4DC6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1.基于欺诈、胁迫、重大误解、显失公平的撤销权：必须通过诉讼或者仲裁的方式行使</w:t>
      </w:r>
    </w:p>
    <w:p w14:paraId="2EB849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2.效力待定的法律行为的善意相对人的撤销权：可以通过通知的方式行使</w:t>
      </w:r>
    </w:p>
    <w:p w14:paraId="6598669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3.债权人撤销权：必须通过诉讼的方式行使（无法通过仲裁行使，因为不太可能和债务人和相对人都达成仲裁协议）</w:t>
      </w:r>
    </w:p>
    <w:p w14:paraId="1C20A8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4.赠与人的任意撤销权：可以通过通知的方式行使</w:t>
      </w:r>
    </w:p>
    <w:p w14:paraId="5ABB5DE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赠与人在赠与财产的权利转移之前可以撤销赠与。经过公证的赠与合同或者依法不得撤销的具有救灾、扶贫、助残等公益、道德义务性质的赠与合同，不适用任意撤销权。</w:t>
      </w:r>
    </w:p>
    <w:p w14:paraId="5DD51E3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5.赠与人的法定撤销权：可以通过通知的方式行使</w:t>
      </w:r>
      <w:bookmarkStart w:id="0" w:name="_GoBack"/>
      <w:bookmarkEnd w:id="0"/>
    </w:p>
    <w:p w14:paraId="42F36E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《民法典》第663条：受赠人有下列情形之一的，赠与人可以撤销赠与：</w:t>
      </w:r>
    </w:p>
    <w:p w14:paraId="2C9D04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（一）严重侵害赠与人或者赠与人近亲属的合法权益；</w:t>
      </w:r>
    </w:p>
    <w:p w14:paraId="130E54B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（二）对赠与人有扶养义务而不履行；</w:t>
      </w:r>
    </w:p>
    <w:p w14:paraId="31A03B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（三）不履行赠与合同约定的义务。</w:t>
      </w:r>
    </w:p>
    <w:p w14:paraId="3ED53B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赠与人的撤销权，自知道或者应当知道撤销事由之日起一年内行使。</w:t>
      </w:r>
    </w:p>
    <w:p w14:paraId="43F4F23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《民法典》第664条：因受赠人的违法行为致使赠与人死亡或者丧失民事行为能力的，赠与人的继承人或者法定代理人可以撤销赠与。</w:t>
      </w:r>
    </w:p>
    <w:p w14:paraId="145776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赠与人的继承人或者法定代理人的撤销权，自知道或者应当知道撤销事由之日起六个月内行使。</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宋体-简">
    <w:panose1 w:val="02010800040101010101"/>
    <w:charset w:val="86"/>
    <w:family w:val="auto"/>
    <w:pitch w:val="default"/>
    <w:sig w:usb0="00000001" w:usb1="080F0000" w:usb2="00000000"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1FFF9676"/>
    <w:rsid w:val="25E4E361"/>
    <w:rsid w:val="26F6FA36"/>
    <w:rsid w:val="27FBB615"/>
    <w:rsid w:val="2FD9B963"/>
    <w:rsid w:val="2FF57ABD"/>
    <w:rsid w:val="33FD09F3"/>
    <w:rsid w:val="37F9300F"/>
    <w:rsid w:val="396C1DDF"/>
    <w:rsid w:val="39BBEE6C"/>
    <w:rsid w:val="39CD9E08"/>
    <w:rsid w:val="3AA211B0"/>
    <w:rsid w:val="3D758D90"/>
    <w:rsid w:val="3DDD8785"/>
    <w:rsid w:val="3DEE2497"/>
    <w:rsid w:val="3EFF2196"/>
    <w:rsid w:val="3EFFCDE3"/>
    <w:rsid w:val="3F362571"/>
    <w:rsid w:val="3F7D6D90"/>
    <w:rsid w:val="3FDF38B5"/>
    <w:rsid w:val="4BFDC25C"/>
    <w:rsid w:val="4D7AF3B1"/>
    <w:rsid w:val="4F7E5D39"/>
    <w:rsid w:val="4FEF7A7F"/>
    <w:rsid w:val="5BF630B3"/>
    <w:rsid w:val="5D1E5E35"/>
    <w:rsid w:val="5D2F548A"/>
    <w:rsid w:val="5D9CC53C"/>
    <w:rsid w:val="5DBFD756"/>
    <w:rsid w:val="5E976ACE"/>
    <w:rsid w:val="5EF589B3"/>
    <w:rsid w:val="5F2FB4C6"/>
    <w:rsid w:val="5F67BE34"/>
    <w:rsid w:val="5F9FED60"/>
    <w:rsid w:val="5FDFC522"/>
    <w:rsid w:val="5FF291E1"/>
    <w:rsid w:val="63F79634"/>
    <w:rsid w:val="676B1FCF"/>
    <w:rsid w:val="6BBF548D"/>
    <w:rsid w:val="6BEE3C17"/>
    <w:rsid w:val="6CFC5835"/>
    <w:rsid w:val="6EBFFE06"/>
    <w:rsid w:val="6EDC6954"/>
    <w:rsid w:val="6F7FD66B"/>
    <w:rsid w:val="6FC75035"/>
    <w:rsid w:val="6FE9DFA5"/>
    <w:rsid w:val="6FF6B73E"/>
    <w:rsid w:val="6FF7B5C8"/>
    <w:rsid w:val="6FFF6B06"/>
    <w:rsid w:val="72B16660"/>
    <w:rsid w:val="72FEDFAF"/>
    <w:rsid w:val="74EF0DAF"/>
    <w:rsid w:val="75FFDC8C"/>
    <w:rsid w:val="76576194"/>
    <w:rsid w:val="777E0985"/>
    <w:rsid w:val="77BFCCB0"/>
    <w:rsid w:val="78FF9F1C"/>
    <w:rsid w:val="79B72732"/>
    <w:rsid w:val="7A8FECFA"/>
    <w:rsid w:val="7B6D3C00"/>
    <w:rsid w:val="7B77E946"/>
    <w:rsid w:val="7B9D44AF"/>
    <w:rsid w:val="7BAF28C8"/>
    <w:rsid w:val="7BFFD2F7"/>
    <w:rsid w:val="7C7DDD51"/>
    <w:rsid w:val="7C9D61C3"/>
    <w:rsid w:val="7D473A11"/>
    <w:rsid w:val="7D6FDA1F"/>
    <w:rsid w:val="7D7FD33D"/>
    <w:rsid w:val="7DBDD90E"/>
    <w:rsid w:val="7DBFEFAD"/>
    <w:rsid w:val="7DE7821D"/>
    <w:rsid w:val="7DF9200D"/>
    <w:rsid w:val="7E3F6002"/>
    <w:rsid w:val="7EFF1AA0"/>
    <w:rsid w:val="7EFFC158"/>
    <w:rsid w:val="7F398CB3"/>
    <w:rsid w:val="7F3B9F4C"/>
    <w:rsid w:val="7F3C3286"/>
    <w:rsid w:val="7F695405"/>
    <w:rsid w:val="7F6B748A"/>
    <w:rsid w:val="7FB49696"/>
    <w:rsid w:val="7FB797CE"/>
    <w:rsid w:val="7FBF0F91"/>
    <w:rsid w:val="7FE7235C"/>
    <w:rsid w:val="7FFCE884"/>
    <w:rsid w:val="8ABEE47C"/>
    <w:rsid w:val="8BFB340A"/>
    <w:rsid w:val="957F8B5D"/>
    <w:rsid w:val="99FF3808"/>
    <w:rsid w:val="AEAF67DC"/>
    <w:rsid w:val="AECFAD74"/>
    <w:rsid w:val="AED07A5A"/>
    <w:rsid w:val="AEFFF231"/>
    <w:rsid w:val="AF7349BF"/>
    <w:rsid w:val="B1FDE468"/>
    <w:rsid w:val="B3FEA9EF"/>
    <w:rsid w:val="B61785CE"/>
    <w:rsid w:val="B7FEF551"/>
    <w:rsid w:val="BBD68691"/>
    <w:rsid w:val="BE470E73"/>
    <w:rsid w:val="BFD7C2A8"/>
    <w:rsid w:val="BFDF5E9D"/>
    <w:rsid w:val="BFFFC478"/>
    <w:rsid w:val="C2FF7057"/>
    <w:rsid w:val="CBDA46FA"/>
    <w:rsid w:val="CDF9AD73"/>
    <w:rsid w:val="CEAF22DB"/>
    <w:rsid w:val="CFABA3EB"/>
    <w:rsid w:val="CFBDAEF9"/>
    <w:rsid w:val="CFFF1593"/>
    <w:rsid w:val="D7F8DDAE"/>
    <w:rsid w:val="D99D7B6E"/>
    <w:rsid w:val="DBF64670"/>
    <w:rsid w:val="DE4FF25C"/>
    <w:rsid w:val="DE5EFF5E"/>
    <w:rsid w:val="DFDD6831"/>
    <w:rsid w:val="E5718167"/>
    <w:rsid w:val="E59B90E9"/>
    <w:rsid w:val="E5AB3AAB"/>
    <w:rsid w:val="E5DD9418"/>
    <w:rsid w:val="E787CCF8"/>
    <w:rsid w:val="E7BFCB01"/>
    <w:rsid w:val="E7EF776D"/>
    <w:rsid w:val="E9F63188"/>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EFFC3132"/>
    <w:rsid w:val="F0D7EC59"/>
    <w:rsid w:val="F0DE3C2E"/>
    <w:rsid w:val="F1B927A4"/>
    <w:rsid w:val="F3FF92B4"/>
    <w:rsid w:val="F54E1163"/>
    <w:rsid w:val="F56E2A6E"/>
    <w:rsid w:val="F5EEDA60"/>
    <w:rsid w:val="F5EFB180"/>
    <w:rsid w:val="F6DFFC0C"/>
    <w:rsid w:val="F73F225B"/>
    <w:rsid w:val="F7BF3A04"/>
    <w:rsid w:val="F9B2A7D6"/>
    <w:rsid w:val="FABE4737"/>
    <w:rsid w:val="FB3760F9"/>
    <w:rsid w:val="FB3FDD72"/>
    <w:rsid w:val="FBDF91EB"/>
    <w:rsid w:val="FBFB9313"/>
    <w:rsid w:val="FBFF7EF4"/>
    <w:rsid w:val="FCEF4E65"/>
    <w:rsid w:val="FD375179"/>
    <w:rsid w:val="FD6C9E97"/>
    <w:rsid w:val="FD6EB3EE"/>
    <w:rsid w:val="FDBDD900"/>
    <w:rsid w:val="FDEB36AE"/>
    <w:rsid w:val="FDF59568"/>
    <w:rsid w:val="FE7F8EB7"/>
    <w:rsid w:val="FEA64923"/>
    <w:rsid w:val="FED769C8"/>
    <w:rsid w:val="FEFE8315"/>
    <w:rsid w:val="FF3362C6"/>
    <w:rsid w:val="FF6F6FFE"/>
    <w:rsid w:val="FF7BF13D"/>
    <w:rsid w:val="FF943FE1"/>
    <w:rsid w:val="FF9F8E8F"/>
    <w:rsid w:val="FF9FAEC4"/>
    <w:rsid w:val="FFEFF665"/>
    <w:rsid w:val="FFF72BE1"/>
    <w:rsid w:val="FFFBE5A1"/>
    <w:rsid w:val="FFFD413B"/>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5</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2026-02-09T00:22:00Z</dcterms:created>
  <dc:creator>Arthur (Xiao) Dong</dc:creator>
  <cp:lastModifiedBy>Arthur (Xiao) Dong</cp:lastModifiedBy>
  <dcterms:modified xsi:type="dcterms:W3CDTF">2026-07-07T22:36:25Z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