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C7D75" w14:textId="53739C42" w:rsidR="00750AB8" w:rsidRDefault="00000000">
      <w:pPr>
        <w:jc w:val="center"/>
        <w:rPr>
          <w:sz w:val="28"/>
          <w:szCs w:val="28"/>
        </w:rPr>
      </w:pPr>
      <w:r>
        <w:rPr>
          <w:rFonts w:hint="eastAsia"/>
          <w:b/>
          <w:bCs/>
          <w:sz w:val="28"/>
          <w:szCs w:val="28"/>
        </w:rPr>
        <w:t>经济法客观精华突破第一讲课堂笔记（考点</w:t>
      </w:r>
      <w:r>
        <w:rPr>
          <w:rFonts w:hint="eastAsia"/>
          <w:b/>
          <w:bCs/>
          <w:sz w:val="28"/>
          <w:szCs w:val="28"/>
        </w:rPr>
        <w:t>1-</w:t>
      </w:r>
      <w:r w:rsidR="00EA3D04">
        <w:rPr>
          <w:rFonts w:hint="eastAsia"/>
          <w:b/>
          <w:bCs/>
          <w:sz w:val="28"/>
          <w:szCs w:val="28"/>
        </w:rPr>
        <w:t>6</w:t>
      </w:r>
      <w:r>
        <w:rPr>
          <w:rFonts w:hint="eastAsia"/>
          <w:b/>
          <w:bCs/>
          <w:sz w:val="28"/>
          <w:szCs w:val="28"/>
        </w:rPr>
        <w:t>）</w:t>
      </w:r>
    </w:p>
    <w:p w14:paraId="4904F423" w14:textId="77777777" w:rsidR="00750AB8"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w:t>
      </w:r>
      <w:r>
        <w:rPr>
          <w:rFonts w:ascii="Times New Roman Regular" w:hAnsi="Times New Roman Regular" w:cs="Times New Roman Regular" w:hint="eastAsia"/>
          <w:b/>
          <w:bCs/>
          <w:sz w:val="18"/>
          <w:szCs w:val="18"/>
        </w:rPr>
        <w:t>：不正当竞争行为】</w:t>
      </w:r>
    </w:p>
    <w:p w14:paraId="53B131E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混淆行为</w:t>
      </w:r>
    </w:p>
    <w:p w14:paraId="2B38A55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．擅自使用与他人有一定影响的商品名称、包装、装潢等相同或者近似的标识。</w:t>
      </w:r>
    </w:p>
    <w:p w14:paraId="723F80B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装潢</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是指由经营者营业场所的装饰、营业用具的式样、营业人员的服饰等构成的具有独特风格的整体营业形象。</w:t>
      </w:r>
    </w:p>
    <w:p w14:paraId="3A04CC9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．擅自使用他人有一定影响的名称（包括简称、字号等）、姓名（包括笔名、艺名、网名、译名等）。</w:t>
      </w:r>
    </w:p>
    <w:p w14:paraId="36096D1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．擅自使用他人有一定影响的域名主体部分、网站名称、网页、新媒体账号名称、应用程序名称或者图标等。</w:t>
      </w:r>
    </w:p>
    <w:p w14:paraId="4C2ADE9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．其他足以引人误认为是他人商品或者与他人存在特定联系的混淆行为。</w:t>
      </w:r>
    </w:p>
    <w:p w14:paraId="240B9D8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擅自将他人注册商标、未注册的驰名商标作为企业名称中的字号使用，或者将他人商品名称、企业名称（包括简称、字号等）、注册商标、未注册的驰名商标等设置为搜索关键词，引人误认为是他人商品或者与他人存在特定联系的。</w:t>
      </w:r>
    </w:p>
    <w:p w14:paraId="6E4F580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商业贿赂行为</w:t>
      </w:r>
    </w:p>
    <w:p w14:paraId="3890867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对象范围</w:t>
      </w:r>
    </w:p>
    <w:p w14:paraId="1037395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经营者不得采用财物或者其他手段贿赂下列单位或者个人，以谋取交易机会或者竞争优势：</w:t>
      </w:r>
    </w:p>
    <w:p w14:paraId="6BC2369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）交易相对方的工作人员；</w:t>
      </w:r>
    </w:p>
    <w:p w14:paraId="22DB98C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）受交易相对方委托办理相关事务的单位或者个人；</w:t>
      </w:r>
    </w:p>
    <w:p w14:paraId="07497BF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）利用职权或者影响力影响交易的单位或者个人</w:t>
      </w:r>
    </w:p>
    <w:p w14:paraId="5EBBB62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合法行为</w:t>
      </w:r>
    </w:p>
    <w:p w14:paraId="387D7D4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经营者在交易活动中，可以以明示方式向交易相对方支付折扣，或者向中间人支付佣金。经营者向交易相对方支付折扣、向中间人支付佣金的，应当如实入账。接受折扣、佣金的经营者也应当如实入账。</w:t>
      </w:r>
    </w:p>
    <w:p w14:paraId="6E6F6D7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表现形式</w:t>
      </w:r>
    </w:p>
    <w:p w14:paraId="395D60C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）非以明示方式支付折扣、佣金的，或者支付或接受折扣佣金未如实入账的，构成商业贿赂行为。</w:t>
      </w:r>
    </w:p>
    <w:p w14:paraId="2B615CD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）经营者的工作人员进行贿赂的，应当认定为经营者的行为；但是，经营者有证据证明该工作人员的行为与为经营者谋取交易机会或者竞争优势无关的除外。</w:t>
      </w:r>
    </w:p>
    <w:p w14:paraId="55AE172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w:t>
      </w:r>
      <w:r>
        <w:rPr>
          <w:rFonts w:ascii="Times New Roman Regular" w:hAnsi="Times New Roman Regular" w:cs="Times New Roman Regular"/>
          <w:sz w:val="18"/>
          <w:szCs w:val="18"/>
        </w:rPr>
        <w:t>虚假宣传行为</w:t>
      </w:r>
    </w:p>
    <w:p w14:paraId="56891D3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方式</w:t>
      </w:r>
    </w:p>
    <w:p w14:paraId="6BBC759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）对商品作片面的宣传或对比</w:t>
      </w:r>
    </w:p>
    <w:p w14:paraId="33E050C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）将科学上未定论的观点、现象等当作定论的事实用于商品宣传</w:t>
      </w:r>
    </w:p>
    <w:p w14:paraId="2601E23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）使用歧义性语言进行商业宣传</w:t>
      </w:r>
    </w:p>
    <w:p w14:paraId="7C62C77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）其他足以引人误解的商业宣传行为</w:t>
      </w:r>
    </w:p>
    <w:p w14:paraId="6F27DDB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组织虚假交易</w:t>
      </w:r>
    </w:p>
    <w:p w14:paraId="5403F7A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经营者不得通过组织虚假交易等方式，帮助其他经营者进行虚假或者引人误解的商业宣传。</w:t>
      </w:r>
    </w:p>
    <w:p w14:paraId="26639E0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四、</w:t>
      </w:r>
      <w:r>
        <w:rPr>
          <w:rFonts w:ascii="Times New Roman Regular" w:hAnsi="Times New Roman Regular" w:cs="Times New Roman Regular"/>
          <w:sz w:val="18"/>
          <w:szCs w:val="18"/>
        </w:rPr>
        <w:t>侵犯商业秘密行为</w:t>
      </w:r>
    </w:p>
    <w:p w14:paraId="4689EFB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表现</w:t>
      </w:r>
    </w:p>
    <w:p w14:paraId="7A6D2FA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）以盗窃、贿赂、欺诈、胁迫、电子侵入或者其他不正当手段获取权利人的商业秘密</w:t>
      </w:r>
    </w:p>
    <w:p w14:paraId="16FDAE2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）披露、使用或者允许他人使用以前项手段获取的权利人的商业秘密</w:t>
      </w:r>
    </w:p>
    <w:p w14:paraId="3CB2B26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）违反保密义务或者违反权利人有关保守商业秘密的要求，披露、使用或者允许他人使用其所掌握的商业秘密</w:t>
      </w:r>
    </w:p>
    <w:p w14:paraId="5ED8ED8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）教唆、引诱、帮助他人违反保密义务或者违反权利人有关保守商业秘密的要求，获取、披露、使用或者允许他人使用权利人的商业秘密</w:t>
      </w:r>
    </w:p>
    <w:p w14:paraId="501D91B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考点提示</w:t>
      </w:r>
    </w:p>
    <w:p w14:paraId="5D3CC63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）经营者以外的其他自然人、法人和非法人组织实施前款所列违法行为的，视为侵犯商业秘密。</w:t>
      </w:r>
    </w:p>
    <w:p w14:paraId="66BA942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）第三人明知或者应知商业秘密权利人的员工、前员工或者其他单位、个人实施上述表现</w:t>
      </w:r>
      <w:r>
        <w:rPr>
          <w:rFonts w:ascii="Times New Roman Regular" w:hAnsi="Times New Roman Regular" w:cs="Times New Roman Regular"/>
          <w:sz w:val="18"/>
          <w:szCs w:val="18"/>
        </w:rPr>
        <w:t>1-4</w:t>
      </w:r>
      <w:r>
        <w:rPr>
          <w:rFonts w:ascii="Times New Roman Regular" w:hAnsi="Times New Roman Regular" w:cs="Times New Roman Regular"/>
          <w:sz w:val="18"/>
          <w:szCs w:val="18"/>
        </w:rPr>
        <w:t>所列违法行为，仍获取、披露、使用或者允许他人使用该商业秘密的，视为侵犯商业秘密</w:t>
      </w:r>
    </w:p>
    <w:p w14:paraId="3B81E60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不属于侵犯商业秘密的情形</w:t>
      </w:r>
    </w:p>
    <w:p w14:paraId="74C486C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客户基于对员工个人的信赖而与该员工所在单位进行交易，该员工离职后，能够证明客户自愿选择与该员工或者该员工所在的新单位进行交易的，人民法院应当认定该员工没有采用不正当手段获取权利人的商业秘密。</w:t>
      </w:r>
    </w:p>
    <w:p w14:paraId="0928A84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）利用某一技术手段来研发和破解另一技术，此种行为称为</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反向工程</w:t>
      </w:r>
      <w:r>
        <w:rPr>
          <w:rFonts w:ascii="Times New Roman Regular" w:hAnsi="Times New Roman Regular" w:cs="Times New Roman Regular"/>
          <w:sz w:val="18"/>
          <w:szCs w:val="18"/>
        </w:rPr>
        <w:t>”</w:t>
      </w:r>
    </w:p>
    <w:p w14:paraId="5C54D52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五、</w:t>
      </w:r>
      <w:r>
        <w:rPr>
          <w:rFonts w:ascii="Times New Roman Regular" w:hAnsi="Times New Roman Regular" w:cs="Times New Roman Regular"/>
          <w:sz w:val="18"/>
          <w:szCs w:val="18"/>
        </w:rPr>
        <w:t>不正当有奖销售行为</w:t>
      </w:r>
    </w:p>
    <w:p w14:paraId="30A1CC9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．所设奖的种类、兑奖条件、奖金金额或者奖品等有奖销售信息不明确，影响兑奖</w:t>
      </w:r>
    </w:p>
    <w:p w14:paraId="3ABB6D5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．有奖销售活动开始后，无正当理由变更所设奖的种类、兑奖条件、奖金金额或者奖品等有奖销售信息</w:t>
      </w:r>
    </w:p>
    <w:p w14:paraId="0A086BA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．采用谎称有奖或者故意让内定人员中奖的欺骗方式进行有奖销售</w:t>
      </w:r>
    </w:p>
    <w:p w14:paraId="5F6C063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．抽奖式的有奖销售，最高奖的金额超过</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万元</w:t>
      </w:r>
    </w:p>
    <w:p w14:paraId="48D3390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六、</w:t>
      </w:r>
      <w:r>
        <w:rPr>
          <w:rFonts w:ascii="Times New Roman Regular" w:hAnsi="Times New Roman Regular" w:cs="Times New Roman Regular"/>
          <w:sz w:val="18"/>
          <w:szCs w:val="18"/>
        </w:rPr>
        <w:t>诋毁商誉行为</w:t>
      </w:r>
    </w:p>
    <w:p w14:paraId="7F87288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．行为人是具有对抗性竞争关系的经营者；</w:t>
      </w:r>
    </w:p>
    <w:p w14:paraId="6EBC8FC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注意：新闻单位被利用和唆使侵害他人商誉，仅构成一般的侵害他人名誉权行为，而非不正当竞争行为</w:t>
      </w:r>
    </w:p>
    <w:p w14:paraId="2B1DD15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．行为手段是捏造、散布或指使他人捏造、散布虚假事实</w:t>
      </w:r>
    </w:p>
    <w:p w14:paraId="37AB8D5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．行为人出于主观故意</w:t>
      </w:r>
    </w:p>
    <w:p w14:paraId="54037DB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．诋毁他人商誉行为一般是针对一个或者多个特定竞争对手。（考点）</w:t>
      </w:r>
    </w:p>
    <w:p w14:paraId="65BB8E9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问：如何看待对比性广告？</w:t>
      </w:r>
    </w:p>
    <w:p w14:paraId="6C97EC4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答：如果以同行业所有其他经营者为竞争对手而进行贬低宣传，也构成诋毁。</w:t>
      </w:r>
    </w:p>
    <w:p w14:paraId="24435D0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七、</w:t>
      </w:r>
      <w:r>
        <w:rPr>
          <w:rFonts w:ascii="Times New Roman Regular" w:hAnsi="Times New Roman Regular" w:cs="Times New Roman Regular"/>
          <w:sz w:val="18"/>
          <w:szCs w:val="18"/>
        </w:rPr>
        <w:t>互联网不正当竞争行为</w:t>
      </w:r>
    </w:p>
    <w:p w14:paraId="30A8F62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表现</w:t>
      </w:r>
    </w:p>
    <w:p w14:paraId="73A644E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）未经其他经营者同意，在其合法提供的网络产品或者服务中，插入链接、强制进行目标跳转；</w:t>
      </w:r>
    </w:p>
    <w:p w14:paraId="44AF101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）误导、欺骗、强迫用户修改、关闭、卸载其他经营者合法提供的网络产品或者服务；</w:t>
      </w:r>
    </w:p>
    <w:p w14:paraId="67B666E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）恶意对其他经营者合法提供的网络产品或者服务实施不兼容；</w:t>
      </w:r>
    </w:p>
    <w:p w14:paraId="2FDAC75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）其他妨碍、破坏其他经营者合法提供的网络产品或者服务正常运行的行为</w:t>
      </w:r>
    </w:p>
    <w:p w14:paraId="0E07E0D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滥用平台规则</w:t>
      </w:r>
    </w:p>
    <w:p w14:paraId="344B98F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）平台经营者不得强制或者变相强制平台内经营者按照其定价规则，以低于成本的价格销售商品，扰乱市场竞争秩序。</w:t>
      </w:r>
    </w:p>
    <w:p w14:paraId="5D7911E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）经营者不得滥用平台规则，直接或者指使他人对其他经营者实施虚假交易、虚假评价或者恶意退货等行为，损害其他经营者的合法权益，扰乱市场竞争秩序</w:t>
      </w:r>
    </w:p>
    <w:p w14:paraId="790822F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数据抓取：经营者不得以欺诈、胁迫、避开或者破坏技术管理措施等不正当方式，获取、使用其他经营者合法持有的数据，损害其他经营者的合法权益，扰乱市场竞争秩序。</w:t>
      </w:r>
    </w:p>
    <w:p w14:paraId="6F84BAF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八、</w:t>
      </w:r>
      <w:r>
        <w:rPr>
          <w:rFonts w:ascii="Times New Roman Regular" w:hAnsi="Times New Roman Regular" w:cs="Times New Roman Regular"/>
          <w:sz w:val="18"/>
          <w:szCs w:val="18"/>
        </w:rPr>
        <w:t>民事责任</w:t>
      </w:r>
    </w:p>
    <w:p w14:paraId="4BD5AB7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．经营者违反《反不正当竞争法》规定，给他人造成损害的，应当承担民事责任、行政责任和刑事责任，其财产不足以支付的，优先用于承担民事责任。</w:t>
      </w:r>
    </w:p>
    <w:p w14:paraId="1BFE5C9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因不正当竞争行为受到损害的经营者的赔偿数额，按照其因被侵权所受到的实际损失确定；实际损失难以计算的，按照侵权人因侵权所获得的利益确定。经营者恶意实施侵犯商业秘密行为，情节严重的，可以在上述数额的</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倍以上</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倍以下确定赔偿数额。赔偿数额还应当包括经营者为制止侵权行为所支付的合理开支。</w:t>
      </w:r>
    </w:p>
    <w:p w14:paraId="25500C1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．经营者违反《反不正当竞争法》第</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条（混淆行为）、第</w:t>
      </w:r>
      <w:r>
        <w:rPr>
          <w:rFonts w:ascii="Times New Roman Regular" w:hAnsi="Times New Roman Regular" w:cs="Times New Roman Regular"/>
          <w:sz w:val="18"/>
          <w:szCs w:val="18"/>
        </w:rPr>
        <w:t>9</w:t>
      </w:r>
      <w:r>
        <w:rPr>
          <w:rFonts w:ascii="Times New Roman Regular" w:hAnsi="Times New Roman Regular" w:cs="Times New Roman Regular"/>
          <w:sz w:val="18"/>
          <w:szCs w:val="18"/>
        </w:rPr>
        <w:t>条（侵犯商业秘密行为）规定，权利人</w:t>
      </w:r>
      <w:r>
        <w:rPr>
          <w:rFonts w:ascii="Times New Roman Regular" w:hAnsi="Times New Roman Regular" w:cs="Times New Roman Regular"/>
          <w:sz w:val="18"/>
          <w:szCs w:val="18"/>
        </w:rPr>
        <w:lastRenderedPageBreak/>
        <w:t>因被侵权所受到的实际损失、侵权人因侵权所获得的利益难以确定的，由人民法院根据侵权行为的情节判决给予权利人</w:t>
      </w:r>
      <w:r>
        <w:rPr>
          <w:rFonts w:ascii="Times New Roman Regular" w:hAnsi="Times New Roman Regular" w:cs="Times New Roman Regular"/>
          <w:sz w:val="18"/>
          <w:szCs w:val="18"/>
        </w:rPr>
        <w:t>500</w:t>
      </w:r>
      <w:r>
        <w:rPr>
          <w:rFonts w:ascii="Times New Roman Regular" w:hAnsi="Times New Roman Regular" w:cs="Times New Roman Regular"/>
          <w:sz w:val="18"/>
          <w:szCs w:val="18"/>
        </w:rPr>
        <w:t>万元以下的赔偿。赔偿数额还应当包括经营者为制止侵权行为所支出的合理开支</w:t>
      </w:r>
    </w:p>
    <w:p w14:paraId="229D87E1" w14:textId="77777777" w:rsidR="00750AB8" w:rsidRDefault="00750AB8">
      <w:pPr>
        <w:ind w:firstLine="420"/>
        <w:rPr>
          <w:rFonts w:ascii="Times New Roman Regular" w:hAnsi="Times New Roman Regular" w:cs="Times New Roman Regular"/>
          <w:sz w:val="18"/>
          <w:szCs w:val="18"/>
        </w:rPr>
      </w:pPr>
    </w:p>
    <w:p w14:paraId="4E96435E" w14:textId="77777777" w:rsidR="00750AB8"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2:</w:t>
      </w:r>
      <w:r>
        <w:rPr>
          <w:rFonts w:ascii="Times New Roman Regular" w:hAnsi="Times New Roman Regular" w:cs="Times New Roman Regular" w:hint="eastAsia"/>
          <w:b/>
          <w:bCs/>
          <w:sz w:val="18"/>
          <w:szCs w:val="18"/>
        </w:rPr>
        <w:t>反垄断法】</w:t>
      </w:r>
    </w:p>
    <w:p w14:paraId="71D41F0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垄断协议</w:t>
      </w:r>
    </w:p>
    <w:p w14:paraId="55C4CE1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横向垄断协议。</w:t>
      </w:r>
    </w:p>
    <w:p w14:paraId="74FF4DA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）固定或者变更商品价格；</w:t>
      </w:r>
    </w:p>
    <w:p w14:paraId="378182F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）限制商品的生产数量或者销售数量；</w:t>
      </w:r>
    </w:p>
    <w:p w14:paraId="60FB3F9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）分割销售市场或者原材料采购市场；</w:t>
      </w:r>
    </w:p>
    <w:p w14:paraId="4C4154A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）限制购买新技术、新设备或者限制开发新技术、新产品；</w:t>
      </w:r>
    </w:p>
    <w:p w14:paraId="623EF6A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）联合抵制交易；</w:t>
      </w:r>
    </w:p>
    <w:p w14:paraId="05C65F9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）国务院反垄断执法机构认定的其他垄断协议</w:t>
      </w:r>
    </w:p>
    <w:p w14:paraId="3BF0399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纵向垄断协议</w:t>
      </w:r>
    </w:p>
    <w:p w14:paraId="08AD53B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）固定向第三人转售商品的价格。</w:t>
      </w:r>
    </w:p>
    <w:p w14:paraId="2CC39FE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）限定向第三人转售商品的最低价格。</w:t>
      </w:r>
    </w:p>
    <w:p w14:paraId="6358B02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）国务院反垄断执法机构认定的其他垄断协议。</w:t>
      </w:r>
    </w:p>
    <w:p w14:paraId="6DCBC40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对前述第</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项和第</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项规定的协议，经营者能够证明其不具有排除、限制竞争效果的，不予禁止。</w:t>
      </w:r>
    </w:p>
    <w:p w14:paraId="2C182ED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经营者能够证明其在相关市场的市场份额低于国务院反垄断执法机构规定的标准，并符合国务院反垄断执法机构规定的其他条件的，不予禁止</w:t>
      </w:r>
    </w:p>
    <w:p w14:paraId="1F0C79F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组织、帮助达成垄断协议</w:t>
      </w:r>
    </w:p>
    <w:p w14:paraId="0CE4BF4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非垄断协议当事人的经营者，组织其他经营者达成垄断协议或者为其他经营者达成垄断协议提供实质性帮助的，构成《反垄断法》禁止的行为</w:t>
      </w:r>
    </w:p>
    <w:p w14:paraId="71CCE52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垄断协议的适用除外</w:t>
      </w:r>
    </w:p>
    <w:p w14:paraId="1F42275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）为改进技术、研究开发新产品的；</w:t>
      </w:r>
    </w:p>
    <w:p w14:paraId="01E717D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）为提高产品质量、降低成本、增进效率，统一产品规格、标准或者实行专业化分工的；</w:t>
      </w:r>
    </w:p>
    <w:p w14:paraId="7ED0EED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）为提高中小经营者经营效率，增强中小经营者竞争力的；</w:t>
      </w:r>
    </w:p>
    <w:p w14:paraId="06822F2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）为实现节约能源、保护环境、救灾救助等社会公共利益的；</w:t>
      </w:r>
    </w:p>
    <w:p w14:paraId="0061F11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）因经济不景气，为缓解销售量严重下降或者生产明显过剩的；</w:t>
      </w:r>
    </w:p>
    <w:p w14:paraId="478B125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）为保障对外贸易和对外经济合作中的正当利益的；</w:t>
      </w:r>
    </w:p>
    <w:p w14:paraId="33FEBF9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）法律和国务院规定的其他情形。</w:t>
      </w:r>
    </w:p>
    <w:p w14:paraId="085FC8A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属于上述第</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项至第</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项情形，经营者还应当证明所达成的协议不会严重限制相关市场的竞争，并且能够使消费者分享由此产生的利益，这样才可以免除法律责任。</w:t>
      </w:r>
    </w:p>
    <w:p w14:paraId="0A5791E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总结：对于第</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项情形，实施的是直接豁免</w:t>
      </w:r>
    </w:p>
    <w:p w14:paraId="5394BD1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行业协会限制竞争行为</w:t>
      </w:r>
    </w:p>
    <w:p w14:paraId="3318520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行业协会违反《反垄断法》规定，组织本行业的经营者达成垄断协议的，由反垄断执法机构责令改正，可以处三百万元以下的罚款；情节严重的，社会团体登记管理机关可以依法撤销登记。</w:t>
      </w:r>
    </w:p>
    <w:p w14:paraId="139A4A9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6.</w:t>
      </w:r>
      <w:r>
        <w:rPr>
          <w:rFonts w:ascii="Times New Roman Regular" w:hAnsi="Times New Roman Regular" w:cs="Times New Roman Regular"/>
          <w:sz w:val="18"/>
          <w:szCs w:val="18"/>
        </w:rPr>
        <w:t>处罚</w:t>
      </w:r>
    </w:p>
    <w:p w14:paraId="6C8B2BD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）经营者主动向反垄断执法机构报告达成垄断协议的有关情况并提供重要证据的，反垄断执法机构可以酌情减轻或者免除对该经营者的处罚。</w:t>
      </w:r>
    </w:p>
    <w:p w14:paraId="7F87227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违反《反垄断法》规定，达成并实施垄断协议的，由反垄断执法机构责令停止违法行为，没收违法所得，并处上一年度销售额百分之一以上百分之十以下的罚款，上一年度没有销售额的，处五百万元以下的罚款；尚未实施所达成的垄断协议的，可以处三百万元以下的罚款。经营者的法定代表人、主要负责人和直接责任人员对达成垄断协议负有个人责任的，可以处一百万元以下的罚款。经营者组织其他经营者达成垄断协议或者为其他经营者达成垄断协议提供实质性帮助的，适用前款规定。</w:t>
      </w:r>
    </w:p>
    <w:p w14:paraId="37AA508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lastRenderedPageBreak/>
        <w:t>二、</w:t>
      </w:r>
      <w:r>
        <w:rPr>
          <w:rFonts w:ascii="Times New Roman Regular" w:hAnsi="Times New Roman Regular" w:cs="Times New Roman Regular"/>
          <w:sz w:val="18"/>
          <w:szCs w:val="18"/>
        </w:rPr>
        <w:t>滥用市场支配地位</w:t>
      </w:r>
    </w:p>
    <w:p w14:paraId="1DAB01E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市场支配地位的认定</w:t>
      </w:r>
    </w:p>
    <w:p w14:paraId="02C00AD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有下列情形之一的，可以推定经营者具有市场支配地位：</w:t>
      </w:r>
    </w:p>
    <w:p w14:paraId="09F3438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a</w:t>
      </w:r>
      <w:r>
        <w:rPr>
          <w:rFonts w:ascii="Times New Roman Regular" w:hAnsi="Times New Roman Regular" w:cs="Times New Roman Regular"/>
          <w:sz w:val="18"/>
          <w:szCs w:val="18"/>
        </w:rPr>
        <w:t>．一个经营者在相关市场的市场份额达到二分之一的；</w:t>
      </w:r>
    </w:p>
    <w:p w14:paraId="17E9FDF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b</w:t>
      </w:r>
      <w:r>
        <w:rPr>
          <w:rFonts w:ascii="Times New Roman Regular" w:hAnsi="Times New Roman Regular" w:cs="Times New Roman Regular"/>
          <w:sz w:val="18"/>
          <w:szCs w:val="18"/>
        </w:rPr>
        <w:t>．两个经营者在相关市场的市场份额合计达到三分之二的；</w:t>
      </w:r>
    </w:p>
    <w:p w14:paraId="71B915F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c</w:t>
      </w:r>
      <w:r>
        <w:rPr>
          <w:rFonts w:ascii="Times New Roman Regular" w:hAnsi="Times New Roman Regular" w:cs="Times New Roman Regular"/>
          <w:sz w:val="18"/>
          <w:szCs w:val="18"/>
        </w:rPr>
        <w:t>．三个经营者在相关市场的市场份额合计达到四分之三的。</w:t>
      </w:r>
    </w:p>
    <w:p w14:paraId="18CBC66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有上述</w:t>
      </w:r>
      <w:r>
        <w:rPr>
          <w:rFonts w:ascii="Times New Roman Regular" w:hAnsi="Times New Roman Regular" w:cs="Times New Roman Regular"/>
          <w:sz w:val="18"/>
          <w:szCs w:val="18"/>
        </w:rPr>
        <w:t>b</w:t>
      </w:r>
      <w:r>
        <w:rPr>
          <w:rFonts w:ascii="Times New Roman Regular" w:hAnsi="Times New Roman Regular" w:cs="Times New Roman Regular"/>
          <w:sz w:val="18"/>
          <w:szCs w:val="18"/>
        </w:rPr>
        <w:t>项、</w:t>
      </w:r>
      <w:r>
        <w:rPr>
          <w:rFonts w:ascii="Times New Roman Regular" w:hAnsi="Times New Roman Regular" w:cs="Times New Roman Regular"/>
          <w:sz w:val="18"/>
          <w:szCs w:val="18"/>
        </w:rPr>
        <w:t>c</w:t>
      </w:r>
      <w:r>
        <w:rPr>
          <w:rFonts w:ascii="Times New Roman Regular" w:hAnsi="Times New Roman Regular" w:cs="Times New Roman Regular"/>
          <w:sz w:val="18"/>
          <w:szCs w:val="18"/>
        </w:rPr>
        <w:t>项规定的情形，其中有的经营者市场份额不足十分之一的，不应当推定该经营者具有市场支配地位。被推定具有市场支配地位的经营者，有证据证明不具有市场支配地位的，不应当认定其具有市场支配地位。</w:t>
      </w:r>
    </w:p>
    <w:p w14:paraId="0D8CA2C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滥用市场支配地位的表现形式</w:t>
      </w:r>
    </w:p>
    <w:p w14:paraId="534579B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）低买高卖：以不公平的高价销售商品或者以不公平的低价购买商品</w:t>
      </w:r>
    </w:p>
    <w:p w14:paraId="7AE8BAD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）低价倾销：没有正当理由，以低于成本的价格销售商品</w:t>
      </w:r>
    </w:p>
    <w:p w14:paraId="2720E94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）拒绝交易：没有正当理由，拒绝与交易相对人进行交易</w:t>
      </w:r>
    </w:p>
    <w:p w14:paraId="7C46EE1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）强制交易：没有正当理由，限定交易相对人只能与其进行交易或者只能与其指定的经营者进行交易</w:t>
      </w:r>
    </w:p>
    <w:p w14:paraId="3100131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）搭售：没有正当理由搭售商品，或者在交易时附加其他不合理的交易条件</w:t>
      </w:r>
    </w:p>
    <w:p w14:paraId="610B3D4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）差别待遇：没有正当理由，对条件相同的交易相对人在交易价格等交易条件上实行差别待遇</w:t>
      </w:r>
    </w:p>
    <w:p w14:paraId="5E397C7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处罚</w:t>
      </w:r>
    </w:p>
    <w:p w14:paraId="44E9BD8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经营者违反《反垄断法》规定，滥用市场支配地位的，由反垄断执法机构责令停止违法行为，没收违法所得，并处上一年度销售额百分之一以上百分之十以下的罚款。</w:t>
      </w:r>
    </w:p>
    <w:p w14:paraId="2B62510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造成损失的，依法承担民事责任；垄断行为损害社会公共利益的，设区的市级以上人民检察院可以依法向人民法院提起民事公益诉讼</w:t>
      </w:r>
    </w:p>
    <w:p w14:paraId="326518B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w:t>
      </w:r>
      <w:r>
        <w:rPr>
          <w:rFonts w:ascii="Times New Roman Regular" w:hAnsi="Times New Roman Regular" w:cs="Times New Roman Regular"/>
          <w:sz w:val="18"/>
          <w:szCs w:val="18"/>
        </w:rPr>
        <w:t>经营者集中</w:t>
      </w:r>
    </w:p>
    <w:p w14:paraId="36551F3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经营者集中的情形</w:t>
      </w:r>
    </w:p>
    <w:p w14:paraId="0B618C5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）经营者合并</w:t>
      </w:r>
    </w:p>
    <w:p w14:paraId="139E50E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）经营者通过取得股权或者资产的方式取得对其他经营者的控制权</w:t>
      </w:r>
    </w:p>
    <w:p w14:paraId="0F77616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）经营者通过合同等方式取得对其他经营者的控制权或者能够对其他经营者施加决定性影响</w:t>
      </w:r>
    </w:p>
    <w:p w14:paraId="7EAD309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经营者集中申报的要求</w:t>
      </w:r>
    </w:p>
    <w:p w14:paraId="40A57DC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）经营者集中达到国务院规定的申报标准的，经营者应当事先向国务院反垄断执法机构申报，未申报的不得实施集中。</w:t>
      </w:r>
    </w:p>
    <w:p w14:paraId="6BAE2FD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）经营者集中未达到国务院规定的申报标准，但有证据证明该经营者集中具有或者可能具有排除、限制竞争效果的，国务院反垄断执法机构可以要求经营者申报。</w:t>
      </w:r>
    </w:p>
    <w:p w14:paraId="0883C4F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）经营者未依照前述规定进行申报的，国务院反垄断执法机构应当依法进行调查</w:t>
      </w:r>
    </w:p>
    <w:p w14:paraId="3A78418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申报的免除</w:t>
      </w:r>
    </w:p>
    <w:p w14:paraId="005BC48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）参与集中的一个经营者拥有其他每个经营者百分之五十以上有表决权的股份或者资产的；（母子公司合并）</w:t>
      </w:r>
    </w:p>
    <w:p w14:paraId="023EB26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）参与集中的每个经营者百分之五十以上有表决权的股份或者资产被同一个未参与集中的经营者拥有的（姐妹公司合并）</w:t>
      </w:r>
    </w:p>
    <w:p w14:paraId="29ED474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例外</w:t>
      </w:r>
    </w:p>
    <w:p w14:paraId="360E516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集中具有或者可能具有排除、限制竞争效果的，国务院反垄断执法机构应当作出禁止经营者集中的决定。但是，经营者能够证明该集中对竞争产生的有利影响明显大于不利影响，或者符合社会公共利益的，国务院反垄断执法机构可以作出对经营者集中不予禁止的决定。（第</w:t>
      </w:r>
      <w:r>
        <w:rPr>
          <w:rFonts w:ascii="Times New Roman Regular" w:hAnsi="Times New Roman Regular" w:cs="Times New Roman Regular"/>
          <w:sz w:val="18"/>
          <w:szCs w:val="18"/>
        </w:rPr>
        <w:t>34</w:t>
      </w:r>
      <w:r>
        <w:rPr>
          <w:rFonts w:ascii="Times New Roman Regular" w:hAnsi="Times New Roman Regular" w:cs="Times New Roman Regular"/>
          <w:sz w:val="18"/>
          <w:szCs w:val="18"/>
        </w:rPr>
        <w:t>条）</w:t>
      </w:r>
    </w:p>
    <w:p w14:paraId="13A5AF0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）对不予禁止的经营者集中，国务院反垄断执法机构可以决定附加减少集中对竞争产生不利影响的限制性条件。（第</w:t>
      </w:r>
      <w:r>
        <w:rPr>
          <w:rFonts w:ascii="Times New Roman Regular" w:hAnsi="Times New Roman Regular" w:cs="Times New Roman Regular"/>
          <w:sz w:val="18"/>
          <w:szCs w:val="18"/>
        </w:rPr>
        <w:t>35</w:t>
      </w:r>
      <w:r>
        <w:rPr>
          <w:rFonts w:ascii="Times New Roman Regular" w:hAnsi="Times New Roman Regular" w:cs="Times New Roman Regular"/>
          <w:sz w:val="18"/>
          <w:szCs w:val="18"/>
        </w:rPr>
        <w:t>条）</w:t>
      </w:r>
    </w:p>
    <w:p w14:paraId="4B75FC8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）对反垄断执法机构依据《反垄断法》第</w:t>
      </w:r>
      <w:r>
        <w:rPr>
          <w:rFonts w:ascii="Times New Roman Regular" w:hAnsi="Times New Roman Regular" w:cs="Times New Roman Regular"/>
          <w:sz w:val="18"/>
          <w:szCs w:val="18"/>
        </w:rPr>
        <w:t>34</w:t>
      </w:r>
      <w:r>
        <w:rPr>
          <w:rFonts w:ascii="Times New Roman Regular" w:hAnsi="Times New Roman Regular" w:cs="Times New Roman Regular"/>
          <w:sz w:val="18"/>
          <w:szCs w:val="18"/>
        </w:rPr>
        <w:t>条、第</w:t>
      </w:r>
      <w:r>
        <w:rPr>
          <w:rFonts w:ascii="Times New Roman Regular" w:hAnsi="Times New Roman Regular" w:cs="Times New Roman Regular"/>
          <w:sz w:val="18"/>
          <w:szCs w:val="18"/>
        </w:rPr>
        <w:t>35</w:t>
      </w:r>
      <w:r>
        <w:rPr>
          <w:rFonts w:ascii="Times New Roman Regular" w:hAnsi="Times New Roman Regular" w:cs="Times New Roman Regular"/>
          <w:sz w:val="18"/>
          <w:szCs w:val="18"/>
        </w:rPr>
        <w:t>条作出的决定不服的，可以先依法申请行政复议；对行政复议决定不服的，可以依法提起行政诉讼。（</w:t>
      </w:r>
      <w:r>
        <w:rPr>
          <w:rFonts w:ascii="Times New Roman Regular" w:hAnsi="Times New Roman Regular" w:cs="Times New Roman Regular"/>
          <w:sz w:val="18"/>
          <w:szCs w:val="18"/>
        </w:rPr>
        <w:t>F65</w:t>
      </w:r>
      <w:r>
        <w:rPr>
          <w:rFonts w:ascii="Times New Roman Regular" w:hAnsi="Times New Roman Regular" w:cs="Times New Roman Regular"/>
          <w:sz w:val="18"/>
          <w:szCs w:val="18"/>
        </w:rPr>
        <w:t>）</w:t>
      </w:r>
    </w:p>
    <w:p w14:paraId="7898035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注意：此处行政复议属于行政诉讼的前置程序。</w:t>
      </w:r>
    </w:p>
    <w:p w14:paraId="7A4FBFA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对反垄断执法机构作出的前款规定以外的决定不服的，可以依法申请行政复议或者提起行政诉讼。</w:t>
      </w:r>
    </w:p>
    <w:p w14:paraId="7026E2B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）对外资并购境内企业或者以其他方式参与经营者集中，涉及国家安全的，除依照《反垄断法》规定进行经营者集中审查外，还应当按照国家有关规定进行国家安全审查。</w:t>
      </w:r>
    </w:p>
    <w:p w14:paraId="486ACB5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处罚</w:t>
      </w:r>
    </w:p>
    <w:p w14:paraId="631E4E1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经营者违反《反垄断法》规定实施集中，且具有或者可能具有排除、限制竞争效果的，由国务院反垄断执法机构责令停止实施集中、限期处分股份或者资产、限期转让营业以及采取其他必要措施恢复到集中前的状态，处上一年度销售额百分之十以下的罚款；不具有排除、限制竞争效果的，处五百万元以下的罚款。</w:t>
      </w:r>
    </w:p>
    <w:p w14:paraId="4160FC1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四、</w:t>
      </w:r>
      <w:r>
        <w:rPr>
          <w:rFonts w:ascii="Times New Roman Regular" w:hAnsi="Times New Roman Regular" w:cs="Times New Roman Regular"/>
          <w:sz w:val="18"/>
          <w:szCs w:val="18"/>
        </w:rPr>
        <w:t>行政垄断</w:t>
      </w:r>
    </w:p>
    <w:p w14:paraId="1B30D48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强制交易</w:t>
      </w:r>
    </w:p>
    <w:p w14:paraId="399F90F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不得滥用行政权力，限定或者变相限定单位或者个人经营、购买、使用其指定的经营者提供的商品</w:t>
      </w:r>
    </w:p>
    <w:p w14:paraId="6B22AD4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地区封锁</w:t>
      </w:r>
    </w:p>
    <w:p w14:paraId="2BA1756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）对外地商品设定歧视性收费项目、实行歧视性收费标准，或者规定歧视性价格；</w:t>
      </w:r>
    </w:p>
    <w:p w14:paraId="57AF491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）对外地商品规定与本地同类商品不同的技术要求、检验标准，或者对外地商品采取重复检验、重复认证等歧视性技术措施，限制外地商品进入本地市场；</w:t>
      </w:r>
    </w:p>
    <w:p w14:paraId="7C2F842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）采取专门针对外地商品的行政许可，限制外地商品进入本地市场；</w:t>
      </w:r>
    </w:p>
    <w:p w14:paraId="3501FC6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）设置关卡或者采取其他手段，阻碍外地商品进入或者本地商品运出；</w:t>
      </w:r>
    </w:p>
    <w:p w14:paraId="275677D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）以设定歧视性资质要求、评审标准或者不依法发布信息等方式，排斥或者限制外地经营者参加本地的招标投标以及其他经营活动；</w:t>
      </w:r>
    </w:p>
    <w:p w14:paraId="5BEB71F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）采取与本地经营者不平等待遇等方式，排斥、限制、强制或者变相强制外地经营者在本地投资或者设立分支机构。</w:t>
      </w:r>
    </w:p>
    <w:p w14:paraId="30386BD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法律后果</w:t>
      </w:r>
    </w:p>
    <w:p w14:paraId="336C359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）行政机关和法律、法规授权的具有管理公共事务职能的组织滥用行政权力，实施排除、限制竞争行为的，由上级机关责令改正；</w:t>
      </w:r>
    </w:p>
    <w:p w14:paraId="1BF8D6A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）对直接负责的主管人员和其他直接责任人员依法给予处分；</w:t>
      </w:r>
    </w:p>
    <w:p w14:paraId="3C58282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）反垄断执法机构可以向有关上级机关提出依法处理的建议。</w:t>
      </w:r>
    </w:p>
    <w:p w14:paraId="0A3F017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注意：行政垄断中反垄断执法机构没有直接的处罚权</w:t>
      </w:r>
    </w:p>
    <w:p w14:paraId="00A947E9" w14:textId="77777777" w:rsidR="00750AB8" w:rsidRDefault="00750AB8">
      <w:pPr>
        <w:ind w:firstLine="420"/>
        <w:rPr>
          <w:rFonts w:ascii="Times New Roman Regular" w:hAnsi="Times New Roman Regular" w:cs="Times New Roman Regular"/>
          <w:sz w:val="18"/>
          <w:szCs w:val="18"/>
        </w:rPr>
      </w:pPr>
    </w:p>
    <w:p w14:paraId="48E68A60" w14:textId="77777777" w:rsidR="00750AB8"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3:</w:t>
      </w:r>
      <w:r>
        <w:rPr>
          <w:rFonts w:ascii="Times New Roman Regular" w:hAnsi="Times New Roman Regular" w:cs="Times New Roman Regular" w:hint="eastAsia"/>
          <w:b/>
          <w:bCs/>
          <w:sz w:val="18"/>
          <w:szCs w:val="18"/>
        </w:rPr>
        <w:t>消费者权益保护法】</w:t>
      </w:r>
    </w:p>
    <w:p w14:paraId="03E33A2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经营者的三包义务</w:t>
      </w:r>
    </w:p>
    <w:p w14:paraId="4147F77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1.</w:t>
      </w:r>
      <w:r>
        <w:rPr>
          <w:rFonts w:ascii="Times New Roman Regular" w:hAnsi="Times New Roman Regular" w:cs="Times New Roman Regular"/>
          <w:sz w:val="18"/>
          <w:szCs w:val="18"/>
        </w:rPr>
        <w:t>经营者提供的商品或者服务不符合质量要求的，消费者可以依照国家规定、当事人约定退货，或者要求经营者履行更换、修理等义务；</w:t>
      </w:r>
    </w:p>
    <w:p w14:paraId="5C3AFE6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2.</w:t>
      </w:r>
      <w:r>
        <w:rPr>
          <w:rFonts w:ascii="Times New Roman Regular" w:hAnsi="Times New Roman Regular" w:cs="Times New Roman Regular"/>
          <w:sz w:val="18"/>
          <w:szCs w:val="18"/>
        </w:rPr>
        <w:t>没有国家规定和当事人约定的，消费者可以自收到商品之日起</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日内退货；</w:t>
      </w:r>
    </w:p>
    <w:p w14:paraId="265FFCB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3</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依照前述规定进行退货、更换、修理的，经营者应当承担运输等必要费用。</w:t>
      </w:r>
    </w:p>
    <w:p w14:paraId="4DFBB0D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消费者反悔权</w:t>
      </w:r>
    </w:p>
    <w:p w14:paraId="3A813E1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《消法》第</w:t>
      </w:r>
      <w:r>
        <w:rPr>
          <w:rFonts w:ascii="Times New Roman Regular" w:hAnsi="Times New Roman Regular" w:cs="Times New Roman Regular"/>
          <w:sz w:val="18"/>
          <w:szCs w:val="18"/>
        </w:rPr>
        <w:t>25</w:t>
      </w:r>
      <w:r>
        <w:rPr>
          <w:rFonts w:ascii="Times New Roman Regular" w:hAnsi="Times New Roman Regular" w:cs="Times New Roman Regular"/>
          <w:sz w:val="18"/>
          <w:szCs w:val="18"/>
        </w:rPr>
        <w:t>条第</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款、第</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款规定，经营者采用网络、电视、电话、邮购等方式销售商品，消费者有权自收到商品之日起</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日内退货，且无需说明理由。但下列商品除外：消费者定作的；鲜活易腐的；在线下载或者消费者拆封的音像制品、计算机软件等数字化商品；交付的报纸、期刊。</w:t>
      </w:r>
    </w:p>
    <w:p w14:paraId="73F7996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除前述所列商品外，其他根据商品性质并经消费者在购买时确认不宜退货的商品，不适用无理由退货。</w:t>
      </w:r>
    </w:p>
    <w:p w14:paraId="764A6EF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w:t>
      </w:r>
    </w:p>
    <w:p w14:paraId="5D2936E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）经营者应当自收到退回商品之日起</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日内返还消费者支付的商品价款。</w:t>
      </w:r>
    </w:p>
    <w:p w14:paraId="7A0F9F3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）退回商品的运费由消费者承担；经营者和消费者另有约定的，按照约定。</w:t>
      </w:r>
    </w:p>
    <w:p w14:paraId="0A8DA7B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w:t>
      </w:r>
    </w:p>
    <w:p w14:paraId="3824E04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）经营者不得擅自扩大不适用无理由退货的商品范围。</w:t>
      </w:r>
    </w:p>
    <w:p w14:paraId="3123F4D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）经营者应当以显著方式对不适用无理由退货的商品进行标注，提示消费者在购买时进行确认，不得将不适用无理由退货作为消费者默认同意的选项，未经消费者确认，经营者不得拒绝无理由退货。</w:t>
      </w:r>
    </w:p>
    <w:p w14:paraId="34FB118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）消费者退货的商品应当完好。消费者基于查验需要打开商品包装，或者为确认商品的品质和功能进行合理调试而不影响商品原有品质、功能和外观的，经营者应当予以退货。</w:t>
      </w:r>
    </w:p>
    <w:p w14:paraId="11E3198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w:t>
      </w:r>
      <w:r>
        <w:rPr>
          <w:rFonts w:ascii="Times New Roman Regular" w:hAnsi="Times New Roman Regular" w:cs="Times New Roman Regular"/>
          <w:sz w:val="18"/>
          <w:szCs w:val="18"/>
        </w:rPr>
        <w:t>争议解决的特定规则</w:t>
      </w:r>
    </w:p>
    <w:p w14:paraId="7ED3FEC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出租、出借营业执照</w:t>
      </w:r>
    </w:p>
    <w:p w14:paraId="6D5046C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使用他人营业执照的违法经营者提供商品或者服务，损害消费者合法权益的，消费者可以向其要求赔偿，也可以向营业执照的持有人要求赔偿。</w:t>
      </w:r>
    </w:p>
    <w:p w14:paraId="1101010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展销会与租赁柜台</w:t>
      </w:r>
    </w:p>
    <w:p w14:paraId="3FE2036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）消费者在展销会、租赁柜台购买商品或者接受服务，其合法权益受到损害的，可以向销售者或者服务者要求赔偿。</w:t>
      </w:r>
    </w:p>
    <w:p w14:paraId="442EA19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）展销会结束或者柜台租赁期满后，也可以向展销会的举办者、柜台的出租者要求赔偿。</w:t>
      </w:r>
    </w:p>
    <w:p w14:paraId="59926A8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）展销会的举办者、柜台的出租者赔偿后，有权向销售者或者服务者追偿。</w:t>
      </w:r>
    </w:p>
    <w:p w14:paraId="07E6379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虚假广告的广告主与广告经营者的责任</w:t>
      </w:r>
    </w:p>
    <w:p w14:paraId="176AE89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）广告主不论主观状态如何都要对虚假广告承担责任</w:t>
      </w:r>
    </w:p>
    <w:p w14:paraId="23BD046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）广告经营者在明知或应知的情况下，方对虚假广告负法律责任（与广告主承担连带责任）；广告经营者不能提供广告主真实名称、地址和有效联系方式的，承担全部民事责任</w:t>
      </w:r>
    </w:p>
    <w:p w14:paraId="3B74632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）广告经营者、发布者设计、制作、发布关系消费者生命健康商品或者服务的虚假广告，造成消费者损害的，应当与提供该商品或者服务的经营者承担连带责任</w:t>
      </w:r>
    </w:p>
    <w:p w14:paraId="3C7ACBB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）社会团体或者其他组织、个人在关系消费者生命健康商品或者服务的虚假广告或者其他虚假宣传中向消费者推荐商品或者服务，造成消费者损害的，应当与提供该商品或者服务的经营者承担连带责任。</w:t>
      </w:r>
    </w:p>
    <w:p w14:paraId="4D23B91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网购平台责任</w:t>
      </w:r>
    </w:p>
    <w:p w14:paraId="496B915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）《消法》第</w:t>
      </w:r>
      <w:r>
        <w:rPr>
          <w:rFonts w:ascii="Times New Roman Regular" w:hAnsi="Times New Roman Regular" w:cs="Times New Roman Regular"/>
          <w:sz w:val="18"/>
          <w:szCs w:val="18"/>
        </w:rPr>
        <w:t>44</w:t>
      </w:r>
      <w:r>
        <w:rPr>
          <w:rFonts w:ascii="Times New Roman Regular" w:hAnsi="Times New Roman Regular" w:cs="Times New Roman Regular"/>
          <w:sz w:val="18"/>
          <w:szCs w:val="18"/>
        </w:rPr>
        <w:t>条规定：消费者通过网络交易平台购买商品或者接受服务，其合法权益受到损害的，可以向销售者或者服务者要求赔偿。网络交易平台提供者不能提供销售者或者服务者的真实名称、地址和有效联系方式的，消费者也可以向网络交易平台提供者要求赔偿</w:t>
      </w:r>
    </w:p>
    <w:p w14:paraId="0665B48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）网络交易平台提供者明知或者应知销售者或者服务者利用其平台侵害消费者合法权益，未采取必要措施的，依法与该销售者或者服务者承担连带责任</w:t>
      </w:r>
    </w:p>
    <w:p w14:paraId="107FA62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）网络交易平台提供者作出更有利于消费者的承诺的，应当履行承诺。赔偿后，可以向销售者或服务者追偿</w:t>
      </w:r>
    </w:p>
    <w:p w14:paraId="7DA341C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加大消费欺诈赔偿</w:t>
      </w:r>
    </w:p>
    <w:p w14:paraId="1FC67AD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）《消法》第</w:t>
      </w:r>
      <w:r>
        <w:rPr>
          <w:rFonts w:ascii="Times New Roman Regular" w:hAnsi="Times New Roman Regular" w:cs="Times New Roman Regular"/>
          <w:sz w:val="18"/>
          <w:szCs w:val="18"/>
        </w:rPr>
        <w:t>55</w:t>
      </w:r>
      <w:r>
        <w:rPr>
          <w:rFonts w:ascii="Times New Roman Regular" w:hAnsi="Times New Roman Regular" w:cs="Times New Roman Regular"/>
          <w:sz w:val="18"/>
          <w:szCs w:val="18"/>
        </w:rPr>
        <w:t>条规定：经营者提供商品或者服务有欺诈行为的，应当按照消费者的要求增加赔偿其受到的损失，增加赔偿的金额为消费者购买商品的价款或者接受服务的费用的</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倍；增加赔偿的金额不足</w:t>
      </w:r>
      <w:r>
        <w:rPr>
          <w:rFonts w:ascii="Times New Roman Regular" w:hAnsi="Times New Roman Regular" w:cs="Times New Roman Regular"/>
          <w:sz w:val="18"/>
          <w:szCs w:val="18"/>
        </w:rPr>
        <w:t>500</w:t>
      </w:r>
      <w:r>
        <w:rPr>
          <w:rFonts w:ascii="Times New Roman Regular" w:hAnsi="Times New Roman Regular" w:cs="Times New Roman Regular"/>
          <w:sz w:val="18"/>
          <w:szCs w:val="18"/>
        </w:rPr>
        <w:t>元的，为</w:t>
      </w:r>
      <w:r>
        <w:rPr>
          <w:rFonts w:ascii="Times New Roman Regular" w:hAnsi="Times New Roman Regular" w:cs="Times New Roman Regular"/>
          <w:sz w:val="18"/>
          <w:szCs w:val="18"/>
        </w:rPr>
        <w:t>500</w:t>
      </w:r>
      <w:r>
        <w:rPr>
          <w:rFonts w:ascii="Times New Roman Regular" w:hAnsi="Times New Roman Regular" w:cs="Times New Roman Regular"/>
          <w:sz w:val="18"/>
          <w:szCs w:val="18"/>
        </w:rPr>
        <w:t>元。法律另有规定的，依照其规定</w:t>
      </w:r>
    </w:p>
    <w:p w14:paraId="6EEDB1A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）经营者明知商品或者服务存在缺陷，仍然向消费者提供，造成消费者或者其他受害人死亡或者健康严重损害的，受害人有权要求经营者依照《消法》第</w:t>
      </w:r>
      <w:r>
        <w:rPr>
          <w:rFonts w:ascii="Times New Roman Regular" w:hAnsi="Times New Roman Regular" w:cs="Times New Roman Regular"/>
          <w:sz w:val="18"/>
          <w:szCs w:val="18"/>
        </w:rPr>
        <w:t>49</w:t>
      </w:r>
      <w:r>
        <w:rPr>
          <w:rFonts w:ascii="Times New Roman Regular" w:hAnsi="Times New Roman Regular" w:cs="Times New Roman Regular"/>
          <w:sz w:val="18"/>
          <w:szCs w:val="18"/>
        </w:rPr>
        <w:t>条（侵权赔偿）、第</w:t>
      </w:r>
      <w:r>
        <w:rPr>
          <w:rFonts w:ascii="Times New Roman Regular" w:hAnsi="Times New Roman Regular" w:cs="Times New Roman Regular"/>
          <w:sz w:val="18"/>
          <w:szCs w:val="18"/>
        </w:rPr>
        <w:t>51</w:t>
      </w:r>
      <w:r>
        <w:rPr>
          <w:rFonts w:ascii="Times New Roman Regular" w:hAnsi="Times New Roman Regular" w:cs="Times New Roman Regular"/>
          <w:sz w:val="18"/>
          <w:szCs w:val="18"/>
        </w:rPr>
        <w:t>条（精神损害赔偿）等法律规定赔偿损失，并有权要求所受损失</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倍以下的惩罚性赔偿</w:t>
      </w:r>
    </w:p>
    <w:p w14:paraId="44ED7B6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）经营者提供商品或者服务有欺诈行为的，消费者有权根据消费者权益保护法第</w:t>
      </w:r>
      <w:r>
        <w:rPr>
          <w:rFonts w:ascii="Times New Roman Regular" w:hAnsi="Times New Roman Regular" w:cs="Times New Roman Regular"/>
          <w:sz w:val="18"/>
          <w:szCs w:val="18"/>
        </w:rPr>
        <w:t>55</w:t>
      </w:r>
      <w:r>
        <w:rPr>
          <w:rFonts w:ascii="Times New Roman Regular" w:hAnsi="Times New Roman Regular" w:cs="Times New Roman Regular"/>
          <w:sz w:val="18"/>
          <w:szCs w:val="18"/>
        </w:rPr>
        <w:t>条第</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款的规定要求经营者予以赔偿。但是，商品或者服务的标签标识、说明书、宣传材料等存在不影响商品或者服务质量且不会对消费者造成误导的瑕疵的除外。</w:t>
      </w:r>
    </w:p>
    <w:p w14:paraId="3F527F2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6.</w:t>
      </w:r>
      <w:r>
        <w:rPr>
          <w:rFonts w:ascii="Times New Roman Regular" w:hAnsi="Times New Roman Regular" w:cs="Times New Roman Regular"/>
          <w:sz w:val="18"/>
          <w:szCs w:val="18"/>
        </w:rPr>
        <w:t>公益诉讼</w:t>
      </w:r>
    </w:p>
    <w:p w14:paraId="5B9D22A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《消法》第</w:t>
      </w:r>
      <w:r>
        <w:rPr>
          <w:rFonts w:ascii="Times New Roman Regular" w:hAnsi="Times New Roman Regular" w:cs="Times New Roman Regular"/>
          <w:sz w:val="18"/>
          <w:szCs w:val="18"/>
        </w:rPr>
        <w:t>37</w:t>
      </w:r>
      <w:r>
        <w:rPr>
          <w:rFonts w:ascii="Times New Roman Regular" w:hAnsi="Times New Roman Regular" w:cs="Times New Roman Regular"/>
          <w:sz w:val="18"/>
          <w:szCs w:val="18"/>
        </w:rPr>
        <w:t>条第</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款第</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项规定，消费者协会应履行以下公益性职责：就损害消费者合法权益的</w:t>
      </w:r>
      <w:r>
        <w:rPr>
          <w:rFonts w:ascii="Times New Roman Regular" w:hAnsi="Times New Roman Regular" w:cs="Times New Roman Regular"/>
          <w:sz w:val="18"/>
          <w:szCs w:val="18"/>
        </w:rPr>
        <w:lastRenderedPageBreak/>
        <w:t>行为，支持受损害的消费者提起诉讼或者依照本法提起诉讼。对侵害众多消费者合法权益的行为，中国消费者协会以及在省、自治区、直辖市设立的消费者协会，可以向法院提起诉讼。</w:t>
      </w:r>
    </w:p>
    <w:p w14:paraId="54538131" w14:textId="77777777" w:rsidR="00750AB8" w:rsidRDefault="00750AB8">
      <w:pPr>
        <w:ind w:firstLine="420"/>
        <w:rPr>
          <w:rFonts w:ascii="Times New Roman Regular" w:hAnsi="Times New Roman Regular" w:cs="Times New Roman Regular"/>
          <w:sz w:val="18"/>
          <w:szCs w:val="18"/>
        </w:rPr>
      </w:pPr>
    </w:p>
    <w:p w14:paraId="6C7245AF" w14:textId="77777777" w:rsidR="00750AB8"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4:</w:t>
      </w:r>
      <w:r>
        <w:rPr>
          <w:rFonts w:ascii="Times New Roman Regular" w:hAnsi="Times New Roman Regular" w:cs="Times New Roman Regular" w:hint="eastAsia"/>
          <w:b/>
          <w:bCs/>
          <w:sz w:val="18"/>
          <w:szCs w:val="18"/>
        </w:rPr>
        <w:t>产品责任】</w:t>
      </w:r>
    </w:p>
    <w:p w14:paraId="57E5BDF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适用范围</w:t>
      </w:r>
    </w:p>
    <w:p w14:paraId="1D2EFFA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．适用：经过加工、制作，用于销售的产品。</w:t>
      </w:r>
    </w:p>
    <w:p w14:paraId="1E223FF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．不适用：建设工程、军工产品、天然的物品、非用于销售的物品。</w:t>
      </w:r>
    </w:p>
    <w:p w14:paraId="7586A55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产品责任</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侵权责任</w:t>
      </w:r>
    </w:p>
    <w:p w14:paraId="7B9B3C6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生产者责任</w:t>
      </w:r>
    </w:p>
    <w:p w14:paraId="16E1745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（严格责任）因产品存在缺陷造成人身、缺陷产品以外的其他财产（以下简称他人财产）损害的，生产者应当承担赔偿责任。</w:t>
      </w:r>
    </w:p>
    <w:p w14:paraId="31E56DD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生产者能够证明有下列情形之一的，不承担赔偿责任：</w:t>
      </w:r>
    </w:p>
    <w:p w14:paraId="07A6532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）未将产品投入流通的；（</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）产品投入流通时，引起损害的缺陷尚不存在的；（</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）将产品投入流通时的科学技术水平尚不能发现缺陷的存在的</w:t>
      </w:r>
    </w:p>
    <w:p w14:paraId="24B3620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销售者责任</w:t>
      </w:r>
    </w:p>
    <w:p w14:paraId="53AF09F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（过错推定责任）由于销售者的过错使产品存在缺陷，造成人身、他人财产损害的，销售者应当承担赔偿责任。销售者不能指明缺陷产品的生产者也不能指明缺陷产品的供货者的，销售者应当承担赔偿责任。</w:t>
      </w:r>
    </w:p>
    <w:p w14:paraId="5C51B12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索赔选择</w:t>
      </w:r>
    </w:p>
    <w:p w14:paraId="55B913E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因产品存在缺陷造成人身、他人财产损害的，受害人可以向产品的生产者要求赔偿，也可以向产品的销售者要求赔偿。属于产品的生产者的责任，产品的销售者赔偿的，产品的销售者有权向产品的生产者追偿。属于产品的销售者的责任，产品的生产者赔偿的，产品的生产者有权向产品的销售者追偿。</w:t>
      </w:r>
    </w:p>
    <w:p w14:paraId="0A2561EB" w14:textId="77777777" w:rsidR="00750AB8" w:rsidRDefault="00750AB8">
      <w:pPr>
        <w:ind w:firstLine="420"/>
        <w:rPr>
          <w:rFonts w:ascii="Times New Roman Regular" w:hAnsi="Times New Roman Regular" w:cs="Times New Roman Regular"/>
          <w:sz w:val="18"/>
          <w:szCs w:val="18"/>
        </w:rPr>
      </w:pPr>
    </w:p>
    <w:p w14:paraId="3CE332AA" w14:textId="77777777" w:rsidR="00750AB8"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5:</w:t>
      </w:r>
      <w:r>
        <w:rPr>
          <w:rFonts w:ascii="Times New Roman Regular" w:hAnsi="Times New Roman Regular" w:cs="Times New Roman Regular" w:hint="eastAsia"/>
          <w:b/>
          <w:bCs/>
          <w:sz w:val="18"/>
          <w:szCs w:val="18"/>
        </w:rPr>
        <w:t>食品安全法】</w:t>
      </w:r>
    </w:p>
    <w:p w14:paraId="2559E48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适用范围</w:t>
      </w:r>
    </w:p>
    <w:p w14:paraId="21F40D2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供食用的源于农业的初级产品的质量安全管理，遵守《中华人民共和国农产品质量安全法》的规定。其他关于食品生产、加工、销售、运输、仓储等行为，适用《食品安全法》。</w:t>
      </w:r>
    </w:p>
    <w:p w14:paraId="33F3EE6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食品安全标准</w:t>
      </w:r>
    </w:p>
    <w:p w14:paraId="0AF3958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国家标准</w:t>
      </w:r>
    </w:p>
    <w:p w14:paraId="3634B62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食品安全国家标准由国务院卫生行政部门会同国务院食品安全监督管理部门制定、公布。国务院标准化行政部门提供国家标准编号</w:t>
      </w:r>
    </w:p>
    <w:p w14:paraId="58700D2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地方标准</w:t>
      </w:r>
    </w:p>
    <w:p w14:paraId="20DFA79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）对地方特色食品，没有食品安全国家标准的，省、自治区、直辖市人民政府卫生行政部门可以制定并公布食品安全地方标准，报国务院卫生行政部门备案。</w:t>
      </w:r>
    </w:p>
    <w:p w14:paraId="0551FEA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）食品安全国家标准制定后，该地方标准即行废止。</w:t>
      </w:r>
    </w:p>
    <w:p w14:paraId="6FFD675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企业标准</w:t>
      </w:r>
    </w:p>
    <w:p w14:paraId="1310C33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国家鼓励食品生产企业制定严于食品安全国家标准或者地方标准的企业标准，在本企业适用，并报省、自治区、直辖市人民政府卫生行政部门备案</w:t>
      </w:r>
    </w:p>
    <w:p w14:paraId="6868B66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w:t>
      </w:r>
      <w:r>
        <w:rPr>
          <w:rFonts w:ascii="Times New Roman Regular" w:hAnsi="Times New Roman Regular" w:cs="Times New Roman Regular"/>
          <w:sz w:val="18"/>
          <w:szCs w:val="18"/>
        </w:rPr>
        <w:t>召回制度</w:t>
      </w:r>
    </w:p>
    <w:p w14:paraId="13D22C8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食品生产者发现其生产的食品不符合食品安全标准或者有证据证明可能危害人体健康的，应当立即停止生产，召回已经上市销售的食品，通知相关生产经营者和消费者，并记录召回和通知情况。由于食品经营者的原因造成其经营的食品具有前述情形的，食品经营者应当召回。（黄金考点）</w:t>
      </w:r>
    </w:p>
    <w:p w14:paraId="2D5DE0A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．食品经营者发现其经营的食品有前款规定情形的，应当立即停止经营，通知相关生产经营者和消费者，并记录停止经营和通知情况。</w:t>
      </w:r>
    </w:p>
    <w:p w14:paraId="107D40F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．食品生产经营者应当对召回的食品采取无害化处理、销毁等措施，防止其再次流入市场。但是，</w:t>
      </w:r>
      <w:r>
        <w:rPr>
          <w:rFonts w:ascii="Times New Roman Regular" w:hAnsi="Times New Roman Regular" w:cs="Times New Roman Regular"/>
          <w:sz w:val="18"/>
          <w:szCs w:val="18"/>
        </w:rPr>
        <w:lastRenderedPageBreak/>
        <w:t>对因标签、标志或者说明书不符合食品安全标准而被召回的食品，食品生产者在采取补救措施且能保证食品安全的情况下可以继续销售；销售时应当向消费者明示补救措施</w:t>
      </w:r>
    </w:p>
    <w:p w14:paraId="3E7B2ED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食品生产经营者未依照上述规定召回或者停止经营的，县级以上人民政府食品安全监督管理部门可以责令其召回或者停止经营</w:t>
      </w:r>
    </w:p>
    <w:p w14:paraId="30B55FF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四、</w:t>
      </w:r>
      <w:r>
        <w:rPr>
          <w:rFonts w:ascii="Times New Roman Regular" w:hAnsi="Times New Roman Regular" w:cs="Times New Roman Regular"/>
          <w:sz w:val="18"/>
          <w:szCs w:val="18"/>
        </w:rPr>
        <w:t>相关法律责任</w:t>
      </w:r>
    </w:p>
    <w:p w14:paraId="4417B85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知假买假</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的后果</w:t>
      </w:r>
    </w:p>
    <w:p w14:paraId="326C643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因食品、药品质量问题发生纠纷，购买者向生产者、销售者主张权利，生产者、销售者以购买者明知食品、药品存在质量问题而仍然购买为由进行抗辩的，人民法院不予支持。购买者明知所购买食品不符合食品安全标准，依照《食品安全法》第</w:t>
      </w:r>
      <w:r>
        <w:rPr>
          <w:rFonts w:ascii="Times New Roman Regular" w:hAnsi="Times New Roman Regular" w:cs="Times New Roman Regular"/>
          <w:sz w:val="18"/>
          <w:szCs w:val="18"/>
        </w:rPr>
        <w:t>148</w:t>
      </w:r>
      <w:r>
        <w:rPr>
          <w:rFonts w:ascii="Times New Roman Regular" w:hAnsi="Times New Roman Regular" w:cs="Times New Roman Regular"/>
          <w:sz w:val="18"/>
          <w:szCs w:val="18"/>
        </w:rPr>
        <w:t>条第</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款规定请求生产者或者经营者支付价款</w:t>
      </w:r>
      <w:r>
        <w:rPr>
          <w:rFonts w:ascii="Times New Roman Regular" w:hAnsi="Times New Roman Regular" w:cs="Times New Roman Regular"/>
          <w:sz w:val="18"/>
          <w:szCs w:val="18"/>
        </w:rPr>
        <w:t>10</w:t>
      </w:r>
      <w:r>
        <w:rPr>
          <w:rFonts w:ascii="Times New Roman Regular" w:hAnsi="Times New Roman Regular" w:cs="Times New Roman Regular"/>
          <w:sz w:val="18"/>
          <w:szCs w:val="18"/>
        </w:rPr>
        <w:t>倍的惩罚性赔偿金的，人民法院应当在合理生活消费需要范围内依法支持购买者诉讼请求。</w:t>
      </w:r>
    </w:p>
    <w:p w14:paraId="22DF8D72"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赠品</w:t>
      </w:r>
    </w:p>
    <w:p w14:paraId="2138EFE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食品、药品生产者、销售者提供给消费者的食品或者药品的赠品发生质量安全问题，造成消费者损害，生产者、销售者不得以消费者未对赠品支付对价为由进行免责抗辩</w:t>
      </w:r>
    </w:p>
    <w:p w14:paraId="6AB4241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虚假广告</w:t>
      </w:r>
    </w:p>
    <w:p w14:paraId="19B4A8F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）食品和食品添加剂的标签、说明书，不得含有虚假内容，不得涉及疾病预防、治疗功能。</w:t>
      </w:r>
    </w:p>
    <w:p w14:paraId="3C6BC75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）食品广告的内容不得涉及疾病预防、治疗功能。</w:t>
      </w:r>
    </w:p>
    <w:p w14:paraId="2FE92D0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）社会团体或者其他组织、个人在虚假广告中向消费者推荐食品，使消费者的合法权益受到损害的，应当与食品生产经营者承担连带责任</w:t>
      </w:r>
    </w:p>
    <w:p w14:paraId="6B024FB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惩罚性赔偿</w:t>
      </w:r>
    </w:p>
    <w:p w14:paraId="22C8AA1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14:paraId="4E20807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集中交易</w:t>
      </w:r>
    </w:p>
    <w:p w14:paraId="34FA911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集中交易市场的开办者、柜台出租者、展销会举办者未履行《食品安全法》规定的审查、检查、报告等义务，使消费者的合法权益受到损害的，消费者请求集中交易市场的开办者、柜台出租者、展销会举办者承担连带责任的，法院应予支持</w:t>
      </w:r>
    </w:p>
    <w:p w14:paraId="733A919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6.</w:t>
      </w:r>
      <w:r>
        <w:rPr>
          <w:rFonts w:ascii="Times New Roman Regular" w:hAnsi="Times New Roman Regular" w:cs="Times New Roman Regular"/>
          <w:sz w:val="18"/>
          <w:szCs w:val="18"/>
        </w:rPr>
        <w:t>网络平台责任</w:t>
      </w:r>
    </w:p>
    <w:p w14:paraId="4490E83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）消费者通过网络食品交易第三方平台购买食品，其合法权益受到损害的，可以向入网食品经营者或者食品生产者要求赔偿。</w:t>
      </w:r>
    </w:p>
    <w:p w14:paraId="24826A0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）网络食品交易第三方平台提供者不能提供入网食品经营者的真实名称、地址和有效联系方式的，由网络食品交易第三方平台提供者赔偿。</w:t>
      </w:r>
    </w:p>
    <w:p w14:paraId="70303E8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）网络食品交易第三方平台提供者赔偿后，有权向入网食品经营者或者食品生产者追偿。</w:t>
      </w:r>
    </w:p>
    <w:p w14:paraId="7258049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网络交易第三方平台提供者知道或者应当知道食品、药品的生产者、销售者利用其平台侵害消费者合法权益，未采取必要措施，给消费者造成损害，消费者要求其与生产者、销售者承担连带责任的，人民法院应予支持。</w:t>
      </w:r>
    </w:p>
    <w:p w14:paraId="77168C61"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）网络食品交易第三方平台提供者作出更有利于消费者承诺的，应当履行其承诺。</w:t>
      </w:r>
    </w:p>
    <w:p w14:paraId="45095873"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7.</w:t>
      </w:r>
      <w:r>
        <w:rPr>
          <w:rFonts w:ascii="Times New Roman Regular" w:hAnsi="Times New Roman Regular" w:cs="Times New Roman Regular"/>
          <w:sz w:val="18"/>
          <w:szCs w:val="18"/>
        </w:rPr>
        <w:t>检验机构责任</w:t>
      </w:r>
    </w:p>
    <w:p w14:paraId="66958BA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食品、药品检验机构故意出具虚假检验报告，造成消费者损害，消费者请求其承担连带责任的，法院应予支持。</w:t>
      </w:r>
    </w:p>
    <w:p w14:paraId="09C7004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8.</w:t>
      </w:r>
      <w:r>
        <w:rPr>
          <w:rFonts w:ascii="Times New Roman Regular" w:hAnsi="Times New Roman Regular" w:cs="Times New Roman Regular"/>
          <w:sz w:val="18"/>
          <w:szCs w:val="18"/>
        </w:rPr>
        <w:t>认证机构责任</w:t>
      </w:r>
    </w:p>
    <w:p w14:paraId="4469B56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食品认证机构故意出具虚假认证，造成消费者损害，消费者请求其承担连带责任的，法院应予支持。</w:t>
      </w:r>
    </w:p>
    <w:p w14:paraId="192A6100" w14:textId="77777777" w:rsidR="00750AB8" w:rsidRDefault="00750AB8">
      <w:pPr>
        <w:ind w:firstLine="420"/>
        <w:rPr>
          <w:rFonts w:ascii="Times New Roman Regular" w:hAnsi="Times New Roman Regular" w:cs="Times New Roman Regular"/>
          <w:sz w:val="18"/>
          <w:szCs w:val="18"/>
        </w:rPr>
      </w:pPr>
    </w:p>
    <w:p w14:paraId="446A9E1B" w14:textId="77777777" w:rsidR="00750AB8"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6:</w:t>
      </w:r>
      <w:r>
        <w:rPr>
          <w:rFonts w:ascii="Times New Roman Regular" w:hAnsi="Times New Roman Regular" w:cs="Times New Roman Regular" w:hint="eastAsia"/>
          <w:b/>
          <w:bCs/>
          <w:sz w:val="18"/>
          <w:szCs w:val="18"/>
        </w:rPr>
        <w:t>税法】</w:t>
      </w:r>
    </w:p>
    <w:p w14:paraId="1EF4D17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、个人所得税</w:t>
      </w:r>
    </w:p>
    <w:p w14:paraId="3FAF8F2C"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（一）纳税义务人</w:t>
      </w:r>
    </w:p>
    <w:p w14:paraId="1B997277"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居民纳税人：在中国境内有住所，或者无住所而一个纳税年度内在中国境内居住累计满</w:t>
      </w:r>
      <w:r>
        <w:rPr>
          <w:rFonts w:ascii="Times New Roman Regular" w:hAnsi="Times New Roman Regular" w:cs="Times New Roman Regular"/>
          <w:sz w:val="18"/>
          <w:szCs w:val="18"/>
        </w:rPr>
        <w:t>183</w:t>
      </w:r>
      <w:r>
        <w:rPr>
          <w:rFonts w:ascii="Times New Roman Regular" w:hAnsi="Times New Roman Regular" w:cs="Times New Roman Regular"/>
          <w:sz w:val="18"/>
          <w:szCs w:val="18"/>
        </w:rPr>
        <w:t>天的个人，为居民个人。居民个人从中国境内和境外取得的所得，缴纳个人所得税</w:t>
      </w:r>
    </w:p>
    <w:p w14:paraId="7E365B16"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非居民纳税人：在中国境内无住所又不居住，或者无住所而一个纳税年度内在中国境内居住累计不满</w:t>
      </w:r>
      <w:r>
        <w:rPr>
          <w:rFonts w:ascii="Times New Roman Regular" w:hAnsi="Times New Roman Regular" w:cs="Times New Roman Regular"/>
          <w:sz w:val="18"/>
          <w:szCs w:val="18"/>
        </w:rPr>
        <w:t>183</w:t>
      </w:r>
      <w:r>
        <w:rPr>
          <w:rFonts w:ascii="Times New Roman Regular" w:hAnsi="Times New Roman Regular" w:cs="Times New Roman Regular"/>
          <w:sz w:val="18"/>
          <w:szCs w:val="18"/>
        </w:rPr>
        <w:t>天的个人，为非居民个人。非居民个人从中国境内取得的所得，缴纳个人所得税。</w:t>
      </w:r>
    </w:p>
    <w:p w14:paraId="3096B0B4"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（二）征税对象</w:t>
      </w:r>
    </w:p>
    <w:p w14:paraId="05CA7570"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．工资、薪金所得；</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．劳务报酬所得；</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．稿酬所得；</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．特许权使用费所得；</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．经营所得；</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．利息、股息、红利所得；</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．财产租赁所得；</w:t>
      </w:r>
      <w:r>
        <w:rPr>
          <w:rFonts w:ascii="Times New Roman Regular" w:hAnsi="Times New Roman Regular" w:cs="Times New Roman Regular"/>
          <w:sz w:val="18"/>
          <w:szCs w:val="18"/>
        </w:rPr>
        <w:t>8</w:t>
      </w:r>
      <w:r>
        <w:rPr>
          <w:rFonts w:ascii="Times New Roman Regular" w:hAnsi="Times New Roman Regular" w:cs="Times New Roman Regular"/>
          <w:sz w:val="18"/>
          <w:szCs w:val="18"/>
        </w:rPr>
        <w:t>．财产转让所得；</w:t>
      </w:r>
      <w:r>
        <w:rPr>
          <w:rFonts w:ascii="Times New Roman Regular" w:hAnsi="Times New Roman Regular" w:cs="Times New Roman Regular"/>
          <w:sz w:val="18"/>
          <w:szCs w:val="18"/>
        </w:rPr>
        <w:t>9</w:t>
      </w:r>
      <w:r>
        <w:rPr>
          <w:rFonts w:ascii="Times New Roman Regular" w:hAnsi="Times New Roman Regular" w:cs="Times New Roman Regular"/>
          <w:sz w:val="18"/>
          <w:szCs w:val="18"/>
        </w:rPr>
        <w:t>．偶然所得。</w:t>
      </w:r>
    </w:p>
    <w:p w14:paraId="0B0FB00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注意：前</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项为综合所得，综合所得应纳税所得额</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综合所得收入额</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法定减除费用标准（</w:t>
      </w:r>
      <w:r>
        <w:rPr>
          <w:rFonts w:ascii="Times New Roman Regular" w:hAnsi="Times New Roman Regular" w:cs="Times New Roman Regular"/>
          <w:sz w:val="18"/>
          <w:szCs w:val="18"/>
        </w:rPr>
        <w:t>5000</w:t>
      </w:r>
      <w:r>
        <w:rPr>
          <w:rFonts w:ascii="Times New Roman Regular" w:hAnsi="Times New Roman Regular" w:cs="Times New Roman Regular"/>
          <w:sz w:val="18"/>
          <w:szCs w:val="18"/>
        </w:rPr>
        <w:t>元</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月或</w:t>
      </w:r>
      <w:r>
        <w:rPr>
          <w:rFonts w:ascii="Times New Roman Regular" w:hAnsi="Times New Roman Regular" w:cs="Times New Roman Regular"/>
          <w:sz w:val="18"/>
          <w:szCs w:val="18"/>
        </w:rPr>
        <w:t>60000</w:t>
      </w:r>
      <w:r>
        <w:rPr>
          <w:rFonts w:ascii="Times New Roman Regular" w:hAnsi="Times New Roman Regular" w:cs="Times New Roman Regular"/>
          <w:sz w:val="18"/>
          <w:szCs w:val="18"/>
        </w:rPr>
        <w:t>元</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年）</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专项扣除</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专项附加扣除</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其他扣除</w:t>
      </w:r>
    </w:p>
    <w:p w14:paraId="45CBD49B"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（三）税率</w:t>
      </w:r>
    </w:p>
    <w:p w14:paraId="0FDFC049"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．综合所得，适用超额累进税率，税率为</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至</w:t>
      </w:r>
      <w:r>
        <w:rPr>
          <w:rFonts w:ascii="Times New Roman Regular" w:hAnsi="Times New Roman Regular" w:cs="Times New Roman Regular"/>
          <w:sz w:val="18"/>
          <w:szCs w:val="18"/>
        </w:rPr>
        <w:t>45%</w:t>
      </w:r>
      <w:r>
        <w:rPr>
          <w:rFonts w:ascii="Times New Roman Regular" w:hAnsi="Times New Roman Regular" w:cs="Times New Roman Regular"/>
          <w:sz w:val="18"/>
          <w:szCs w:val="18"/>
        </w:rPr>
        <w:t>。</w:t>
      </w:r>
    </w:p>
    <w:p w14:paraId="36A5FA2A"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．经营所得，适用</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至</w:t>
      </w:r>
      <w:r>
        <w:rPr>
          <w:rFonts w:ascii="Times New Roman Regular" w:hAnsi="Times New Roman Regular" w:cs="Times New Roman Regular"/>
          <w:sz w:val="18"/>
          <w:szCs w:val="18"/>
        </w:rPr>
        <w:t>35%</w:t>
      </w:r>
      <w:r>
        <w:rPr>
          <w:rFonts w:ascii="Times New Roman Regular" w:hAnsi="Times New Roman Regular" w:cs="Times New Roman Regular"/>
          <w:sz w:val="18"/>
          <w:szCs w:val="18"/>
        </w:rPr>
        <w:t>的超额累进税率。</w:t>
      </w:r>
    </w:p>
    <w:p w14:paraId="2DB35C75"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．利息、股息、红利所得，财产租赁所得，财产转让所得和偶然所得，适用比例税率，税率为</w:t>
      </w:r>
      <w:r>
        <w:rPr>
          <w:rFonts w:ascii="Times New Roman Regular" w:hAnsi="Times New Roman Regular" w:cs="Times New Roman Regular"/>
          <w:sz w:val="18"/>
          <w:szCs w:val="18"/>
        </w:rPr>
        <w:t>20%</w:t>
      </w:r>
    </w:p>
    <w:p w14:paraId="7997C70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（四）免税对象</w:t>
      </w:r>
    </w:p>
    <w:p w14:paraId="2B36065D"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．省级人民政府、国务院部委和中国人民解放军军以上单位，以及外国组织、国际组织颁发的科学、教育、技术、文化、卫生、体育、环境保护等方面的奖金；</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．国债和国家发行的金融债券利息；</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．按照国家统一规定发给的补贴、津贴；</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．福利费、抚恤金、救济金；</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．保险赔款；</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．军人的转业费、复员费、退役金；</w:t>
      </w:r>
      <w:r>
        <w:rPr>
          <w:rFonts w:ascii="Times New Roman Regular" w:hAnsi="Times New Roman Regular" w:cs="Times New Roman Regular"/>
          <w:sz w:val="18"/>
          <w:szCs w:val="18"/>
        </w:rPr>
        <w:t>7</w:t>
      </w:r>
      <w:r>
        <w:rPr>
          <w:rFonts w:ascii="Times New Roman Regular" w:hAnsi="Times New Roman Regular" w:cs="Times New Roman Regular"/>
          <w:sz w:val="18"/>
          <w:szCs w:val="18"/>
        </w:rPr>
        <w:t>．按照国家统一规定发给干部、职工的安家费、退职费、基本养老金或者退休费、离休费、离休生活补助费；</w:t>
      </w:r>
      <w:r>
        <w:rPr>
          <w:rFonts w:ascii="Times New Roman Regular" w:hAnsi="Times New Roman Regular" w:cs="Times New Roman Regular"/>
          <w:sz w:val="18"/>
          <w:szCs w:val="18"/>
        </w:rPr>
        <w:t>8</w:t>
      </w:r>
      <w:r>
        <w:rPr>
          <w:rFonts w:ascii="Times New Roman Regular" w:hAnsi="Times New Roman Regular" w:cs="Times New Roman Regular"/>
          <w:sz w:val="18"/>
          <w:szCs w:val="18"/>
        </w:rPr>
        <w:t>．依照有关法律规定应予免税的各国驻华使馆、领事馆的外交代表、领事官员和其他人员的所得；</w:t>
      </w:r>
      <w:r>
        <w:rPr>
          <w:rFonts w:ascii="Times New Roman Regular" w:hAnsi="Times New Roman Regular" w:cs="Times New Roman Regular"/>
          <w:sz w:val="18"/>
          <w:szCs w:val="18"/>
        </w:rPr>
        <w:t>9</w:t>
      </w:r>
      <w:r>
        <w:rPr>
          <w:rFonts w:ascii="Times New Roman Regular" w:hAnsi="Times New Roman Regular" w:cs="Times New Roman Regular"/>
          <w:sz w:val="18"/>
          <w:szCs w:val="18"/>
        </w:rPr>
        <w:t>．中国政府参加的国际公约、签订的协议中规定免税的所得；</w:t>
      </w:r>
      <w:r>
        <w:rPr>
          <w:rFonts w:ascii="Times New Roman Regular" w:hAnsi="Times New Roman Regular" w:cs="Times New Roman Regular"/>
          <w:sz w:val="18"/>
          <w:szCs w:val="18"/>
        </w:rPr>
        <w:t>10</w:t>
      </w:r>
      <w:r>
        <w:rPr>
          <w:rFonts w:ascii="Times New Roman Regular" w:hAnsi="Times New Roman Regular" w:cs="Times New Roman Regular"/>
          <w:sz w:val="18"/>
          <w:szCs w:val="18"/>
        </w:rPr>
        <w:t>．国务院规定的其他免税所得</w:t>
      </w:r>
    </w:p>
    <w:p w14:paraId="40202578"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（五）减征</w:t>
      </w:r>
    </w:p>
    <w:p w14:paraId="3C1DE57E"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．残疾、孤老人员和烈属的所得；</w:t>
      </w:r>
    </w:p>
    <w:p w14:paraId="7918478F" w14:textId="77777777" w:rsidR="00750AB8"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．因自然灾害遭受重大损失的</w:t>
      </w:r>
    </w:p>
    <w:p w14:paraId="19442B39" w14:textId="77777777" w:rsidR="00750AB8" w:rsidRDefault="00750AB8">
      <w:pPr>
        <w:ind w:firstLine="420"/>
        <w:rPr>
          <w:rFonts w:ascii="Times New Roman Regular" w:hAnsi="Times New Roman Regular" w:cs="Times New Roman Regular"/>
          <w:sz w:val="18"/>
          <w:szCs w:val="18"/>
        </w:rPr>
      </w:pPr>
    </w:p>
    <w:sectPr w:rsidR="00750A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书宋二简">
    <w:altName w:val="华文宋体"/>
    <w:charset w:val="86"/>
    <w:family w:val="modern"/>
    <w:pitch w:val="default"/>
    <w:sig w:usb0="00000000" w:usb1="00000000" w:usb2="00000002" w:usb3="00000000" w:csb0="00040000" w:csb1="00000000"/>
  </w:font>
  <w:font w:name="Times New Roman Regular">
    <w:altName w:val="Times New Roman"/>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CFBDAEF9"/>
    <w:rsid w:val="004A5ACC"/>
    <w:rsid w:val="00750AB8"/>
    <w:rsid w:val="00EA3D04"/>
    <w:rsid w:val="03A6220B"/>
    <w:rsid w:val="09FF37FE"/>
    <w:rsid w:val="0D9A55A2"/>
    <w:rsid w:val="0FDD183C"/>
    <w:rsid w:val="13EF1752"/>
    <w:rsid w:val="153664E5"/>
    <w:rsid w:val="16EFD392"/>
    <w:rsid w:val="177DA370"/>
    <w:rsid w:val="17DFFA75"/>
    <w:rsid w:val="18BFC09B"/>
    <w:rsid w:val="1BC8E4F3"/>
    <w:rsid w:val="1BEF9C01"/>
    <w:rsid w:val="1BFB8A79"/>
    <w:rsid w:val="1DA7D367"/>
    <w:rsid w:val="1FDED08A"/>
    <w:rsid w:val="1FFDE82A"/>
    <w:rsid w:val="1FFE3DC8"/>
    <w:rsid w:val="25E4E361"/>
    <w:rsid w:val="2FF57ABD"/>
    <w:rsid w:val="31FF97B2"/>
    <w:rsid w:val="3777EE74"/>
    <w:rsid w:val="37F9300F"/>
    <w:rsid w:val="39CD9E08"/>
    <w:rsid w:val="3AA211B0"/>
    <w:rsid w:val="3BBF220F"/>
    <w:rsid w:val="3D680BC6"/>
    <w:rsid w:val="3DA79AAA"/>
    <w:rsid w:val="3DDD8785"/>
    <w:rsid w:val="3E54ECC4"/>
    <w:rsid w:val="3EFF2196"/>
    <w:rsid w:val="3EFFCDE3"/>
    <w:rsid w:val="3F7D6D90"/>
    <w:rsid w:val="3FDF38B5"/>
    <w:rsid w:val="3FF373A0"/>
    <w:rsid w:val="4D7AF3B1"/>
    <w:rsid w:val="4EFF6AA8"/>
    <w:rsid w:val="4F7E5D39"/>
    <w:rsid w:val="4FAD7741"/>
    <w:rsid w:val="4FEF7A7F"/>
    <w:rsid w:val="4FF62111"/>
    <w:rsid w:val="55B6EECE"/>
    <w:rsid w:val="577DF98B"/>
    <w:rsid w:val="57FB61CA"/>
    <w:rsid w:val="57FDC1B1"/>
    <w:rsid w:val="5BB7B3D0"/>
    <w:rsid w:val="5BF630B3"/>
    <w:rsid w:val="5D1E5E35"/>
    <w:rsid w:val="5D2F548A"/>
    <w:rsid w:val="5D9CC53C"/>
    <w:rsid w:val="5DBFD756"/>
    <w:rsid w:val="5DDF2929"/>
    <w:rsid w:val="5EF589B3"/>
    <w:rsid w:val="5F2FB4C6"/>
    <w:rsid w:val="5F67BE34"/>
    <w:rsid w:val="5F9DEE1A"/>
    <w:rsid w:val="5F9FED60"/>
    <w:rsid w:val="5FDB1964"/>
    <w:rsid w:val="5FDFC522"/>
    <w:rsid w:val="63F79634"/>
    <w:rsid w:val="676B1FCF"/>
    <w:rsid w:val="67F71FFA"/>
    <w:rsid w:val="6B5CEE04"/>
    <w:rsid w:val="6BBF548D"/>
    <w:rsid w:val="6BEE3C17"/>
    <w:rsid w:val="6BF3D517"/>
    <w:rsid w:val="6CFC5835"/>
    <w:rsid w:val="6DD90F6A"/>
    <w:rsid w:val="6EBFFE06"/>
    <w:rsid w:val="6EDC6954"/>
    <w:rsid w:val="6F7FD66B"/>
    <w:rsid w:val="6FBF1E8B"/>
    <w:rsid w:val="6FC75035"/>
    <w:rsid w:val="6FE9DFA5"/>
    <w:rsid w:val="6FEDC998"/>
    <w:rsid w:val="6FF6B73E"/>
    <w:rsid w:val="6FF7B5C8"/>
    <w:rsid w:val="6FF7C38D"/>
    <w:rsid w:val="72B16660"/>
    <w:rsid w:val="72FEB814"/>
    <w:rsid w:val="72FEDFAF"/>
    <w:rsid w:val="73FF992D"/>
    <w:rsid w:val="74EF0DAF"/>
    <w:rsid w:val="75F7A58B"/>
    <w:rsid w:val="75FFDC8C"/>
    <w:rsid w:val="76576194"/>
    <w:rsid w:val="77CBF204"/>
    <w:rsid w:val="77F5922B"/>
    <w:rsid w:val="78FF9F1C"/>
    <w:rsid w:val="795BB6EC"/>
    <w:rsid w:val="79B72732"/>
    <w:rsid w:val="7A8FECFA"/>
    <w:rsid w:val="7B6D3C00"/>
    <w:rsid w:val="7B77E946"/>
    <w:rsid w:val="7BAF28C8"/>
    <w:rsid w:val="7BFFD2F7"/>
    <w:rsid w:val="7C7DDD51"/>
    <w:rsid w:val="7C9D61C3"/>
    <w:rsid w:val="7D473A11"/>
    <w:rsid w:val="7D7FD33D"/>
    <w:rsid w:val="7DBDD90E"/>
    <w:rsid w:val="7DBFEFAD"/>
    <w:rsid w:val="7DCB30B3"/>
    <w:rsid w:val="7DDA1C98"/>
    <w:rsid w:val="7DE7821D"/>
    <w:rsid w:val="7DF72ECF"/>
    <w:rsid w:val="7DF9200D"/>
    <w:rsid w:val="7DFEEA7B"/>
    <w:rsid w:val="7E3F6002"/>
    <w:rsid w:val="7EED7FF8"/>
    <w:rsid w:val="7EFDBC11"/>
    <w:rsid w:val="7EFFC158"/>
    <w:rsid w:val="7F3B9F4C"/>
    <w:rsid w:val="7F3C3286"/>
    <w:rsid w:val="7F695405"/>
    <w:rsid w:val="7F6B748A"/>
    <w:rsid w:val="7F777A2D"/>
    <w:rsid w:val="7F9CCF4B"/>
    <w:rsid w:val="7FA50BA8"/>
    <w:rsid w:val="7FAE2279"/>
    <w:rsid w:val="7FB49696"/>
    <w:rsid w:val="7FB797CE"/>
    <w:rsid w:val="7FBF0F91"/>
    <w:rsid w:val="7FE6F2CC"/>
    <w:rsid w:val="7FE7235C"/>
    <w:rsid w:val="7FEB7F9E"/>
    <w:rsid w:val="7FFCE884"/>
    <w:rsid w:val="7FFE49F0"/>
    <w:rsid w:val="8ABEE47C"/>
    <w:rsid w:val="A3C7B59A"/>
    <w:rsid w:val="AEAF67DC"/>
    <w:rsid w:val="AECFAD74"/>
    <w:rsid w:val="AED07A5A"/>
    <w:rsid w:val="AEFFF231"/>
    <w:rsid w:val="AF7349BF"/>
    <w:rsid w:val="AFFF1BA4"/>
    <w:rsid w:val="B1FDE468"/>
    <w:rsid w:val="B3FEA9EF"/>
    <w:rsid w:val="B4EFD981"/>
    <w:rsid w:val="B6FE9553"/>
    <w:rsid w:val="B7FEF551"/>
    <w:rsid w:val="B9FFBA7D"/>
    <w:rsid w:val="BBBF8B80"/>
    <w:rsid w:val="BBD68691"/>
    <w:rsid w:val="BDDFCC9E"/>
    <w:rsid w:val="BEFD20AA"/>
    <w:rsid w:val="BFD7C2A8"/>
    <w:rsid w:val="BFDF45C5"/>
    <w:rsid w:val="BFDF5E9D"/>
    <w:rsid w:val="BFFFBF04"/>
    <w:rsid w:val="BFFFC478"/>
    <w:rsid w:val="C2FF7057"/>
    <w:rsid w:val="CBDA46FA"/>
    <w:rsid w:val="CCDED59F"/>
    <w:rsid w:val="CDF9AD73"/>
    <w:rsid w:val="CEAF22DB"/>
    <w:rsid w:val="CFABA3EB"/>
    <w:rsid w:val="CFBDAEF9"/>
    <w:rsid w:val="CFFF1593"/>
    <w:rsid w:val="D5EBB5BA"/>
    <w:rsid w:val="D6E7ACD1"/>
    <w:rsid w:val="D7DEA9D4"/>
    <w:rsid w:val="D7F8DDAE"/>
    <w:rsid w:val="D99D7B6E"/>
    <w:rsid w:val="DBF64670"/>
    <w:rsid w:val="DDF9F698"/>
    <w:rsid w:val="DE5EFF5E"/>
    <w:rsid w:val="DFAB7455"/>
    <w:rsid w:val="DFBFE4DE"/>
    <w:rsid w:val="DFCCB69C"/>
    <w:rsid w:val="DFDD6831"/>
    <w:rsid w:val="E5718167"/>
    <w:rsid w:val="E59B90E9"/>
    <w:rsid w:val="E5AB3AAB"/>
    <w:rsid w:val="E5DD9418"/>
    <w:rsid w:val="E787CCF8"/>
    <w:rsid w:val="E7BFCB01"/>
    <w:rsid w:val="EA3CD53D"/>
    <w:rsid w:val="EADF1222"/>
    <w:rsid w:val="EB6E8309"/>
    <w:rsid w:val="EBD730EB"/>
    <w:rsid w:val="EC2D9E1A"/>
    <w:rsid w:val="EECA7655"/>
    <w:rsid w:val="EF06E542"/>
    <w:rsid w:val="EF3B5A75"/>
    <w:rsid w:val="EF6BACFF"/>
    <w:rsid w:val="EF73E6F1"/>
    <w:rsid w:val="EF77566E"/>
    <w:rsid w:val="EF7FB042"/>
    <w:rsid w:val="EF99980E"/>
    <w:rsid w:val="EF9F1B85"/>
    <w:rsid w:val="EFB7ADF2"/>
    <w:rsid w:val="EFB90BB4"/>
    <w:rsid w:val="EFCFFD3A"/>
    <w:rsid w:val="EFDF470A"/>
    <w:rsid w:val="EFDFF3E6"/>
    <w:rsid w:val="EFE712E6"/>
    <w:rsid w:val="EFF7C6A6"/>
    <w:rsid w:val="EFF7EEAE"/>
    <w:rsid w:val="F0D7EC59"/>
    <w:rsid w:val="F0DE3C2E"/>
    <w:rsid w:val="F1AF4511"/>
    <w:rsid w:val="F1B927A4"/>
    <w:rsid w:val="F3FBF516"/>
    <w:rsid w:val="F3FF92B4"/>
    <w:rsid w:val="F54E1163"/>
    <w:rsid w:val="F56E2A6E"/>
    <w:rsid w:val="F59FFD9B"/>
    <w:rsid w:val="F5EEDA60"/>
    <w:rsid w:val="F5EFB180"/>
    <w:rsid w:val="F5F7E282"/>
    <w:rsid w:val="F6CFF3E3"/>
    <w:rsid w:val="F6DFFC0C"/>
    <w:rsid w:val="F735CF42"/>
    <w:rsid w:val="F73F225B"/>
    <w:rsid w:val="F7C5801C"/>
    <w:rsid w:val="FABE4737"/>
    <w:rsid w:val="FB3760F9"/>
    <w:rsid w:val="FB7D571F"/>
    <w:rsid w:val="FB7E7244"/>
    <w:rsid w:val="FBDF91EB"/>
    <w:rsid w:val="FBFE0EBD"/>
    <w:rsid w:val="FBFEA539"/>
    <w:rsid w:val="FBFF7EF4"/>
    <w:rsid w:val="FCEF4E65"/>
    <w:rsid w:val="FD375179"/>
    <w:rsid w:val="FD6C9E97"/>
    <w:rsid w:val="FD6EB3EE"/>
    <w:rsid w:val="FDBDD900"/>
    <w:rsid w:val="FDDAE026"/>
    <w:rsid w:val="FDF59568"/>
    <w:rsid w:val="FE090E58"/>
    <w:rsid w:val="FE7F0F70"/>
    <w:rsid w:val="FEA64923"/>
    <w:rsid w:val="FEAF2B22"/>
    <w:rsid w:val="FED769C8"/>
    <w:rsid w:val="FEED2D05"/>
    <w:rsid w:val="FEEF9E93"/>
    <w:rsid w:val="FF3362C6"/>
    <w:rsid w:val="FF6F6FFE"/>
    <w:rsid w:val="FF7BF13D"/>
    <w:rsid w:val="FF7ED20B"/>
    <w:rsid w:val="FF943FE1"/>
    <w:rsid w:val="FF9F8E8F"/>
    <w:rsid w:val="FFBBAF29"/>
    <w:rsid w:val="FFBD6458"/>
    <w:rsid w:val="FFBEC6FF"/>
    <w:rsid w:val="FFCD9264"/>
    <w:rsid w:val="FFEB886A"/>
    <w:rsid w:val="FFEFF665"/>
    <w:rsid w:val="FFF72BE1"/>
    <w:rsid w:val="FFF75DF6"/>
    <w:rsid w:val="FFFBE5A1"/>
    <w:rsid w:val="FFFF283E"/>
    <w:rsid w:val="FFFF3C31"/>
    <w:rsid w:val="FFFF8129"/>
    <w:rsid w:val="FFFF9110"/>
    <w:rsid w:val="FFFFF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743E9"/>
  <w15:docId w15:val="{41CFA527-DE99-4ECB-BD79-2E34E692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unhideWhenUsed/>
    <w:qFormat/>
    <w:pPr>
      <w:spacing w:before="100" w:beforeAutospacing="1" w:after="100" w:afterAutospacing="1" w:line="384" w:lineRule="exact"/>
      <w:ind w:firstLineChars="200" w:firstLine="721"/>
    </w:pPr>
    <w:rPr>
      <w:rFonts w:ascii="宋体" w:eastAsia="汉仪书宋二简" w:hAnsi="宋体" w:cs="宋体"/>
      <w:sz w:val="24"/>
      <w:szCs w:val="24"/>
    </w:rPr>
  </w:style>
  <w:style w:type="table" w:styleId="a4">
    <w:name w:val="Table Gri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5289</Words>
  <Characters>5289</Characters>
  <Application>Microsoft Office Word</Application>
  <DocSecurity>0</DocSecurity>
  <Lines>195</Lines>
  <Paragraphs>257</Paragraphs>
  <ScaleCrop>false</ScaleCrop>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(Xiao) Dong</dc:creator>
  <cp:lastModifiedBy>binyang wang</cp:lastModifiedBy>
  <cp:revision>2</cp:revision>
  <dcterms:created xsi:type="dcterms:W3CDTF">2026-07-07T14:40:00Z</dcterms:created>
  <dcterms:modified xsi:type="dcterms:W3CDTF">2026-07-07T14:40:00Z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