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4519CB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Regular" w:hAnsi="Times New Roman Regular" w:cs="Times New Roman Regular"/>
          <w:sz w:val="21"/>
          <w:szCs w:val="21"/>
          <w:u w:val="none"/>
          <w:lang w:val="en-US" w:eastAsia="zh-CN"/>
        </w:rPr>
      </w:pPr>
      <w:r>
        <w:rPr>
          <w:rFonts w:hint="eastAsia"/>
          <w:b/>
          <w:bCs/>
          <w:sz w:val="28"/>
          <w:szCs w:val="28"/>
          <w:lang w:val="en-US" w:eastAsia="zh-CN"/>
        </w:rPr>
        <w:t>民法主观专题突破第二讲课堂笔记（专题4）</w:t>
      </w:r>
    </w:p>
    <w:p w14:paraId="334F860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p>
    <w:p w14:paraId="37D74B9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21"/>
          <w:szCs w:val="21"/>
          <w:u w:val="none"/>
          <w:lang w:val="en-US" w:eastAsia="zh-CN"/>
        </w:rPr>
      </w:pPr>
      <w:r>
        <w:rPr>
          <w:rFonts w:hint="eastAsia" w:ascii="Times New Roman Regular" w:hAnsi="Times New Roman Regular" w:cs="Times New Roman Regular"/>
          <w:b/>
          <w:bCs/>
          <w:sz w:val="21"/>
          <w:szCs w:val="21"/>
          <w:u w:val="none"/>
          <w:lang w:val="en-US" w:eastAsia="zh-CN"/>
        </w:rPr>
        <w:t>【专题4:担保物权】</w:t>
      </w:r>
    </w:p>
    <w:p w14:paraId="17302CA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一、担保物权的特征</w:t>
      </w:r>
    </w:p>
    <w:p w14:paraId="190A7B6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（一）从属性</w:t>
      </w:r>
    </w:p>
    <w:p w14:paraId="3DB17EB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1.成立上的从属性：担保物权的成立原则上以主债权的存在为前提</w:t>
      </w:r>
    </w:p>
    <w:p w14:paraId="59CDA41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2.消灭上的从属性：主债权全部消灭的，担保物权随之消灭。若主债权部分消灭，基于担保物权的不可分性，担保物权并不消灭，仅在范围上有所缩减</w:t>
      </w:r>
    </w:p>
    <w:p w14:paraId="79845DB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移转上的从属性：担保物权不得与债权分离而单独转让或者作为其他债权的担保。主债权转让的，担保物权随之转让，但是法律另有规定或者当事人另有约定的除外。转让无需公示，但通知债务人之前，对其不发生效力</w:t>
      </w:r>
    </w:p>
    <w:p w14:paraId="3A44EA6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4.效力上的从属性：主债权债务合同无效的，担保合同无效，但是法律另有规定的除外</w:t>
      </w:r>
    </w:p>
    <w:p w14:paraId="382E9E9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5.范围上的从属性：担保物权担保的范围以主债权的范围为限。超出部分无效，且担保人的违约责任也以主债权范围为限。超出部分已经给付的，可以请求债权人返还，不得向债务人追偿。债务人以外的第三人提供担保，债权人和债务人未经担保人书面同意，减轻债务的，担保责任随之减轻，加重债务的，担保人对加重的部分不承担担保责任</w:t>
      </w:r>
    </w:p>
    <w:p w14:paraId="4569EE7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6.内容上的从属性：债务人以外的第三人提供担保的，担保人可以主张债务人对债权人的抗辩，债务人放弃抗辩的，担保人仍然可以主张；债务人对债权人享有抵销权或者撤销权的，担保人可以在相应的范围内拒绝承担担保</w:t>
      </w:r>
      <w:r>
        <w:rPr>
          <w:rFonts w:hint="eastAsia" w:ascii="Times New Roman Regular" w:hAnsi="Times New Roman Regular" w:cs="Times New Roman Regular"/>
          <w:sz w:val="21"/>
          <w:szCs w:val="21"/>
          <w:u w:val="none"/>
          <w:lang w:val="en-US" w:eastAsia="zh-CN"/>
        </w:rPr>
        <w:t>责任</w:t>
      </w:r>
    </w:p>
    <w:p w14:paraId="057E0FC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（二）不可分性</w:t>
      </w:r>
    </w:p>
    <w:p w14:paraId="4D7CFDE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在其所担保的债权未受全部清偿前，担保物权人可以就担保物的全部行使权利，这就是担保物权的不可分性。也就是说，担保的债权即便发生部分让与、部分清偿或消灭，担保物权仍为担保所有各部分债权或余存的债权而存在。担保物权存续期间，即便担保物被分割或部分灭失，分割后的各部分或余存的部分仍为担保全部债权而存在。</w:t>
      </w:r>
    </w:p>
    <w:p w14:paraId="4F0819C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（三）物上代位性</w:t>
      </w:r>
    </w:p>
    <w:p w14:paraId="5BA5516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1.对于担保财产毁损、灭失或者被征收之后所取得的保险金、赔偿金或者补偿金等替代物，担保物权人仍享有优先受偿的法律地位，且顺位与原来相同（《民法典担保制度解释》第42条第1款）；</w:t>
      </w:r>
    </w:p>
    <w:p w14:paraId="760AA66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保险金、赔偿金或者补偿金等替代物产生以后，如果给付义务人接到抵押权人要求向其给付的通知，则给付义务人不得向担保人支付，而只能向担保物权人支付或提存。如果在通知之前给付义务人就向担保人支付了，该支付有效。</w:t>
      </w:r>
    </w:p>
    <w:p w14:paraId="7CC5A1A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二、抵押财产</w:t>
      </w:r>
    </w:p>
    <w:p w14:paraId="5BFF8C3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（一）抵押财产的范围</w:t>
      </w:r>
    </w:p>
    <w:p w14:paraId="75DA699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关于可抵押财产的范围，《民法典》第395条作出了规定，包括：建筑物和其他土地附着物；建设用地使用权；海域使用权；生产设备、原材料、半成品、产品；正在建造的建筑物、船舶、航空器；交通运输工具；法律、行政法规未禁止抵押的其他财产。由该条规定可知，我国物权法规定的抵押权标的范围十分广泛，它不仅包括不动产（但是土地所有权由于不具有流通性而不得作为抵押标的），而且也包括一般动产以及建设用地使用权、海域使用权等不动产上的用益物权。总体来看，抵押财产可一分为二：不动产或不动产权利；动产。</w:t>
      </w:r>
    </w:p>
    <w:p w14:paraId="44D938E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民法典》第399条还明确规定了不得抵押的财产，其中重要的包括：土地所有权；宅基地等集体土地的使用权；学校、幼儿园、医院等以公益为目的的事业单位、社会团体的教育设施、医疗卫生设施和其他社会公益设施；依法被查封、扣押、监管的财产等。不过，以第399条所列财产抵押的，抵押权也可能得以设立，对此，请参考《民法典担保制度解释》第37条之规定。</w:t>
      </w:r>
    </w:p>
    <w:p w14:paraId="40A6D34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（二）房地一体</w:t>
      </w:r>
    </w:p>
    <w:p w14:paraId="22AE4BE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土地与其地上建筑物之间具有密切的关系。依我国法律，土地所有权与地上建筑物的所有权可以发生分离，而归属于不同的法律主体。但是，地上建筑物的所有权以对该土地的建设用地使用权为基础，原则上二者不可分割。因此，根据《民法典》的规定，以建筑物抵押的，该建筑物占用范围内的建设用地使用权一并抵押（“地随房走”）；以建设用地使用权抵押的，该土地上的建筑物一并抵押（“房随地走”）。但是，建设用地使用权抵押后，该土地上新增的建筑物不属于抵押财产。就该建设用地使用权实现抵押权时，应当将该土地上新增的建筑物与建设用地使用权一并处分，但新增建筑物所得的价款，抵押权人无权优先受偿。</w:t>
      </w:r>
    </w:p>
    <w:p w14:paraId="30CB3D2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【总结】新增建筑物一并处分，但是不能优先受偿。</w:t>
      </w:r>
      <w:bookmarkStart w:id="0" w:name="_GoBack"/>
      <w:bookmarkEnd w:id="0"/>
    </w:p>
    <w:p w14:paraId="22B3D0C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三、抵押权的设立</w:t>
      </w:r>
    </w:p>
    <w:p w14:paraId="30C9312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不动产抵押权登记时设立。关于动产抵押权的登记对抗主义，应当注意以下问题：</w:t>
      </w:r>
    </w:p>
    <w:p w14:paraId="1EB7B68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1.由于抵押权的设立不转移标的物的占有，同时此类抵押权又无需以登记为其要件，因此，抵押合同一经有效订立，即可发生抵押权设定的效果。</w:t>
      </w:r>
    </w:p>
    <w:p w14:paraId="6632BFF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未办理抵押登记的，尽管不影响抵押权在当事人之间的存在，但是，抵押权人不得以此权利对抗善意第三人。依据《民法典担保制度解释》第54条，这里的“善意第三人”包括以下四类：①已经占有的善意买受人；②已经取得占有的善意承租人；③抵押人的保全或执行债权人；④抵押人的破产债权人。</w:t>
      </w:r>
    </w:p>
    <w:p w14:paraId="22A822D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四、正常经营活动买受人规则</w:t>
      </w:r>
    </w:p>
    <w:p w14:paraId="3464167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民法典》第404条是《民法典》针对动产抵押设置的新规则。根据该条的规定，动产抵押即使经过登记，仍不得对抗该条中规定的抵押财产的买受人。该条中抵押权人不能对抗之人必须同时满足以下几项条件：（1）必须是抵押财产的买受人；（2）该买受人必须是在正常经营活动中购买抵押财产，例如，汽车经销商将机动车抵押给银行后，又进行售卖，而买车人在4S店内购买了车辆。该项规定的立法理由在于，对于在正常经营活动中的买受人而言，法律不要求其考察标的物是否已被抵押；（3）买受人已支付合理价款；（4）买受人已经取得抵押财产的占有和所有权。所谓“不得对抗”，意味着：即使动产上已经设定了抵押权，并经过登记，对于满足本条规定条件的买受人而言，该抵押权视为不存在，后者仍可取得无权利负担的动产所有权，抵押权人不得向抵押财产的买受人主张抵押权。</w:t>
      </w:r>
    </w:p>
    <w:p w14:paraId="0B1453B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五</w:t>
      </w:r>
      <w:r>
        <w:rPr>
          <w:rFonts w:hint="default" w:ascii="Times New Roman Regular" w:hAnsi="Times New Roman Regular" w:cs="Times New Roman Regular"/>
          <w:sz w:val="21"/>
          <w:szCs w:val="21"/>
          <w:u w:val="none"/>
          <w:lang w:val="en-US" w:eastAsia="zh-CN"/>
        </w:rPr>
        <w:t>、</w:t>
      </w:r>
      <w:r>
        <w:rPr>
          <w:rFonts w:hint="eastAsia" w:ascii="Times New Roman Regular" w:hAnsi="Times New Roman Regular" w:cs="Times New Roman Regular"/>
          <w:sz w:val="21"/>
          <w:szCs w:val="21"/>
          <w:u w:val="none"/>
          <w:lang w:val="en-US" w:eastAsia="zh-CN"/>
        </w:rPr>
        <w:t>浮动抵押</w:t>
      </w:r>
    </w:p>
    <w:p w14:paraId="4671389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概念：作为抵押人的经营者与抵押权人约定，以其现有的和将有的所有经营性动产作为一个集合客体并在其上设立抵押权，在债务人不履行到期债务时，债权人有权对实现抵押权时的动产行使变价和优先受偿的权利。</w:t>
      </w:r>
    </w:p>
    <w:p w14:paraId="5C26FA3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2．浮动抵押的法律特征</w:t>
      </w:r>
    </w:p>
    <w:p w14:paraId="65885EB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（1）能够作为抵押人在自己的财产上设立浮动抵押权的必须是企业、个体工商户、农业生产经营者等经营者，非经营者不得为他人设立浮动抵押权。</w:t>
      </w:r>
    </w:p>
    <w:p w14:paraId="1F0902B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（2）抵押财产是抵押人现有的以及将有的生产设备、原材料、半成品、产品等动产，抵押财产处于不断变化之中，抵押权设立后抵押人新取得的动产自动成为抵押财产。</w:t>
      </w:r>
    </w:p>
    <w:p w14:paraId="6F24467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3．抵押权的设立：与普通动产抵押相同，即抵押合同生效时设立，未登记不得对抗善意第三人。</w:t>
      </w:r>
    </w:p>
    <w:p w14:paraId="68F48D8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六、最高额抵押</w:t>
      </w:r>
    </w:p>
    <w:p w14:paraId="04C1ABA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1．概念：抵押人与抵押权人约定，在一最高债权限额内，以抵押物的价值对一定期间内连续发生的债权作担保而设立抵押。</w:t>
      </w:r>
    </w:p>
    <w:p w14:paraId="163BBD7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2．最高额抵押权的法律特征</w:t>
      </w:r>
    </w:p>
    <w:p w14:paraId="7FA7E5F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（1）被担保的债权是一定期间内连续发生的债权（民420）。</w:t>
      </w:r>
    </w:p>
    <w:p w14:paraId="489EE9B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（2）存在最高债权额度与期限（民420）。</w:t>
      </w:r>
    </w:p>
    <w:p w14:paraId="3E2C609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（3）从属性有所松动，即最高额抵押担保的债权确定前，部分债权转让的，最高额抵押权不得转让，但是当事人另有约定的除外（民421）。</w:t>
      </w:r>
    </w:p>
    <w:p w14:paraId="12B8AAD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七</w:t>
      </w:r>
      <w:r>
        <w:rPr>
          <w:rFonts w:hint="default" w:ascii="Times New Roman Regular" w:hAnsi="Times New Roman Regular" w:cs="Times New Roman Regular"/>
          <w:sz w:val="21"/>
          <w:szCs w:val="21"/>
          <w:u w:val="none"/>
          <w:lang w:val="en-US" w:eastAsia="zh-CN"/>
        </w:rPr>
        <w:t>、质权的设立</w:t>
      </w:r>
    </w:p>
    <w:p w14:paraId="6CFF02D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（一）质押财产的交付</w:t>
      </w:r>
    </w:p>
    <w:p w14:paraId="5277568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动产质权自质押财产交付时设立，但不包括占有改定。</w:t>
      </w:r>
    </w:p>
    <w:p w14:paraId="6DEDE27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（二）质权可以善意取得</w:t>
      </w:r>
    </w:p>
    <w:p w14:paraId="1A84D76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（三）存货质押</w:t>
      </w:r>
    </w:p>
    <w:p w14:paraId="2DF774C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1．类型：（1）固定的存货质押；（2）动态的存货质押。</w:t>
      </w:r>
    </w:p>
    <w:p w14:paraId="57943BF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2．交易结构：（1）出质人与债权人：质押合同；（2）债权人与监管人：监管合同。</w:t>
      </w:r>
    </w:p>
    <w:p w14:paraId="4F29241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质权的设立时点：债权人委托的监管人实际控制货物之日（民法典担保制度解释55I）。如果监管人是受出质人委托而监管货物，或者虽然受债权人委托但是未实际履行监管职责，导致货物仍由出质人实际控制的，质权不设立（民法典担保制度解释55II）。</w:t>
      </w:r>
    </w:p>
    <w:p w14:paraId="1111B7A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4．违约责任</w:t>
      </w:r>
    </w:p>
    <w:p w14:paraId="2B4276C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（1）监管人违反约定向出质人或者其他人放货、因保管不善导致货物毁损灭失：监管人应承担违约责任（民法典担保制度解释55I）。</w:t>
      </w:r>
    </w:p>
    <w:p w14:paraId="3193706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监管人是受出质人委托而监管货物，或者虽然受债权人委托但是未实际履行监管职责，导致货物仍由出质人实际控制：债权人可以基于质押合同的约定请求出质人承担违约责任，但是不得超过质权有效设立时出质人应当承担的责任范围（民法典担保制度解释55II）。</w:t>
      </w:r>
    </w:p>
    <w:p w14:paraId="40A227B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（剩余内容下次课讲解）</w:t>
      </w: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汉仪书宋二简">
    <w:altName w:val="华文宋体"/>
    <w:panose1 w:val="02010600000101010101"/>
    <w:charset w:val="86"/>
    <w:family w:val="modern"/>
    <w:pitch w:val="default"/>
    <w:sig w:usb0="00000000" w:usb1="00000000" w:usb2="00000002" w:usb3="00000000" w:csb0="00040000" w:csb1="00000000"/>
  </w:font>
  <w:font w:name="华文宋体">
    <w:panose1 w:val="02010600040101010101"/>
    <w:charset w:val="86"/>
    <w:family w:val="auto"/>
    <w:pitch w:val="default"/>
    <w:sig w:usb0="80000287" w:usb1="280F3C52" w:usb2="00000016" w:usb3="00000000" w:csb0="0004001F" w:csb1="00000000"/>
  </w:font>
  <w:font w:name="Times New Roman Regular">
    <w:panose1 w:val="02020503050405090304"/>
    <w:charset w:val="00"/>
    <w:family w:val="auto"/>
    <w:pitch w:val="default"/>
    <w:sig w:usb0="E0000AFF" w:usb1="00007843" w:usb2="00000001" w:usb3="00000000" w:csb0="400001BF" w:csb1="DFF70000"/>
  </w:font>
  <w:font w:name="宋体-简">
    <w:panose1 w:val="02010800040101010101"/>
    <w:charset w:val="86"/>
    <w:family w:val="auto"/>
    <w:pitch w:val="default"/>
    <w:sig w:usb0="00000001" w:usb1="080F0000" w:usb2="00000000" w:usb3="00000000" w:csb0="00040000" w:csb1="0000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9"/>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CFBDAEF9"/>
    <w:rsid w:val="0D9A55A2"/>
    <w:rsid w:val="13EF1752"/>
    <w:rsid w:val="16EFD392"/>
    <w:rsid w:val="177DA370"/>
    <w:rsid w:val="17DFFA75"/>
    <w:rsid w:val="18BFC09B"/>
    <w:rsid w:val="1BC8E4F3"/>
    <w:rsid w:val="1BEF9C01"/>
    <w:rsid w:val="1BFB8A79"/>
    <w:rsid w:val="1FFBBE3B"/>
    <w:rsid w:val="1FFDE82A"/>
    <w:rsid w:val="1FFE3DC8"/>
    <w:rsid w:val="1FFF9676"/>
    <w:rsid w:val="25E4E361"/>
    <w:rsid w:val="26F6FA36"/>
    <w:rsid w:val="27FBB615"/>
    <w:rsid w:val="2FD9B963"/>
    <w:rsid w:val="2FF57ABD"/>
    <w:rsid w:val="33FD09F3"/>
    <w:rsid w:val="37F9300F"/>
    <w:rsid w:val="396C1DDF"/>
    <w:rsid w:val="39BBEE6C"/>
    <w:rsid w:val="39CD9E08"/>
    <w:rsid w:val="3AA211B0"/>
    <w:rsid w:val="3D758D90"/>
    <w:rsid w:val="3DDD8785"/>
    <w:rsid w:val="3DEE2497"/>
    <w:rsid w:val="3EFF2196"/>
    <w:rsid w:val="3EFFCDE3"/>
    <w:rsid w:val="3F362571"/>
    <w:rsid w:val="3F7D6D90"/>
    <w:rsid w:val="3FDF38B5"/>
    <w:rsid w:val="4BFDC25C"/>
    <w:rsid w:val="4D7AF3B1"/>
    <w:rsid w:val="4F7E5D39"/>
    <w:rsid w:val="4FEF7A7F"/>
    <w:rsid w:val="5BF630B3"/>
    <w:rsid w:val="5D1E5E35"/>
    <w:rsid w:val="5D2F548A"/>
    <w:rsid w:val="5D9CC53C"/>
    <w:rsid w:val="5DBFD756"/>
    <w:rsid w:val="5E976ACE"/>
    <w:rsid w:val="5EF589B3"/>
    <w:rsid w:val="5F2FB4C6"/>
    <w:rsid w:val="5F67BE34"/>
    <w:rsid w:val="5F9FED60"/>
    <w:rsid w:val="5FDFC522"/>
    <w:rsid w:val="5FF291E1"/>
    <w:rsid w:val="63F79634"/>
    <w:rsid w:val="676B1FCF"/>
    <w:rsid w:val="6BBF548D"/>
    <w:rsid w:val="6BEE3C17"/>
    <w:rsid w:val="6CFC5835"/>
    <w:rsid w:val="6EBFFE06"/>
    <w:rsid w:val="6EDC6954"/>
    <w:rsid w:val="6F7FD66B"/>
    <w:rsid w:val="6FC75035"/>
    <w:rsid w:val="6FE9DFA5"/>
    <w:rsid w:val="6FF6B73E"/>
    <w:rsid w:val="6FF7B5C8"/>
    <w:rsid w:val="6FFF6B06"/>
    <w:rsid w:val="72B16660"/>
    <w:rsid w:val="72FEDFAF"/>
    <w:rsid w:val="74EF0DAF"/>
    <w:rsid w:val="75FFDC8C"/>
    <w:rsid w:val="76576194"/>
    <w:rsid w:val="777E0985"/>
    <w:rsid w:val="77BFCCB0"/>
    <w:rsid w:val="78FF9F1C"/>
    <w:rsid w:val="79B72732"/>
    <w:rsid w:val="7A8FECFA"/>
    <w:rsid w:val="7B6D3C00"/>
    <w:rsid w:val="7B77E946"/>
    <w:rsid w:val="7B9D44AF"/>
    <w:rsid w:val="7BAF28C8"/>
    <w:rsid w:val="7BFFD2F7"/>
    <w:rsid w:val="7C7DDD51"/>
    <w:rsid w:val="7C9D61C3"/>
    <w:rsid w:val="7D473A11"/>
    <w:rsid w:val="7D6FDA1F"/>
    <w:rsid w:val="7D7FD33D"/>
    <w:rsid w:val="7DBDD90E"/>
    <w:rsid w:val="7DBFEFAD"/>
    <w:rsid w:val="7DE7821D"/>
    <w:rsid w:val="7DF9200D"/>
    <w:rsid w:val="7E3F6002"/>
    <w:rsid w:val="7EFF1AA0"/>
    <w:rsid w:val="7EFFC158"/>
    <w:rsid w:val="7F398CB3"/>
    <w:rsid w:val="7F3B9F4C"/>
    <w:rsid w:val="7F3C3286"/>
    <w:rsid w:val="7F695405"/>
    <w:rsid w:val="7F6B748A"/>
    <w:rsid w:val="7FB49696"/>
    <w:rsid w:val="7FB797CE"/>
    <w:rsid w:val="7FBF0F91"/>
    <w:rsid w:val="7FE7235C"/>
    <w:rsid w:val="7FFCE884"/>
    <w:rsid w:val="8ABEE47C"/>
    <w:rsid w:val="8BFB340A"/>
    <w:rsid w:val="957F8B5D"/>
    <w:rsid w:val="99FF3808"/>
    <w:rsid w:val="AEAF67DC"/>
    <w:rsid w:val="AECFAD74"/>
    <w:rsid w:val="AED07A5A"/>
    <w:rsid w:val="AEFFF231"/>
    <w:rsid w:val="AF7349BF"/>
    <w:rsid w:val="B1FDE468"/>
    <w:rsid w:val="B3FEA9EF"/>
    <w:rsid w:val="B61785CE"/>
    <w:rsid w:val="B7FEF551"/>
    <w:rsid w:val="BBD68691"/>
    <w:rsid w:val="BE470E73"/>
    <w:rsid w:val="BFD7C2A8"/>
    <w:rsid w:val="BFDF5E9D"/>
    <w:rsid w:val="BFFFC478"/>
    <w:rsid w:val="C2FF7057"/>
    <w:rsid w:val="CBDA46FA"/>
    <w:rsid w:val="CDF9AD73"/>
    <w:rsid w:val="CEAF22DB"/>
    <w:rsid w:val="CFABA3EB"/>
    <w:rsid w:val="CFBDAEF9"/>
    <w:rsid w:val="CFFF1593"/>
    <w:rsid w:val="D7F8DDAE"/>
    <w:rsid w:val="D99D7B6E"/>
    <w:rsid w:val="DBF64670"/>
    <w:rsid w:val="DE4FF25C"/>
    <w:rsid w:val="DE5EFF5E"/>
    <w:rsid w:val="DFDD6831"/>
    <w:rsid w:val="E5718167"/>
    <w:rsid w:val="E59B90E9"/>
    <w:rsid w:val="E5AB3AAB"/>
    <w:rsid w:val="E5DD9418"/>
    <w:rsid w:val="E787CCF8"/>
    <w:rsid w:val="E7BFCB01"/>
    <w:rsid w:val="E7EF776D"/>
    <w:rsid w:val="E9F63188"/>
    <w:rsid w:val="EA3CD53D"/>
    <w:rsid w:val="EB6E8309"/>
    <w:rsid w:val="EBD730EB"/>
    <w:rsid w:val="EC2D9E1A"/>
    <w:rsid w:val="EECA7655"/>
    <w:rsid w:val="EF06E542"/>
    <w:rsid w:val="EF73E6F1"/>
    <w:rsid w:val="EF7FB042"/>
    <w:rsid w:val="EFB7ADF2"/>
    <w:rsid w:val="EFCFFD3A"/>
    <w:rsid w:val="EFDF470A"/>
    <w:rsid w:val="EFDFF3E6"/>
    <w:rsid w:val="EFE712E6"/>
    <w:rsid w:val="EFE74EAF"/>
    <w:rsid w:val="EFF7C6A6"/>
    <w:rsid w:val="EFFC3132"/>
    <w:rsid w:val="F0D7EC59"/>
    <w:rsid w:val="F0DE3C2E"/>
    <w:rsid w:val="F1B927A4"/>
    <w:rsid w:val="F3FF92B4"/>
    <w:rsid w:val="F54E1163"/>
    <w:rsid w:val="F56E2A6E"/>
    <w:rsid w:val="F5EEDA60"/>
    <w:rsid w:val="F5EFB180"/>
    <w:rsid w:val="F6DFFC0C"/>
    <w:rsid w:val="F73F225B"/>
    <w:rsid w:val="F7BF3A04"/>
    <w:rsid w:val="F9B2A7D6"/>
    <w:rsid w:val="FABE4737"/>
    <w:rsid w:val="FB3760F9"/>
    <w:rsid w:val="FB3FDD72"/>
    <w:rsid w:val="FBDF91EB"/>
    <w:rsid w:val="FBFB9313"/>
    <w:rsid w:val="FBFF7EF4"/>
    <w:rsid w:val="FCEF4E65"/>
    <w:rsid w:val="FD375179"/>
    <w:rsid w:val="FD6C9E97"/>
    <w:rsid w:val="FD6EB3EE"/>
    <w:rsid w:val="FDBDD900"/>
    <w:rsid w:val="FDEB36AE"/>
    <w:rsid w:val="FDF59568"/>
    <w:rsid w:val="FE7F8EB7"/>
    <w:rsid w:val="FEA64923"/>
    <w:rsid w:val="FED769C8"/>
    <w:rsid w:val="FEFE8315"/>
    <w:rsid w:val="FF3362C6"/>
    <w:rsid w:val="FF6F6FFE"/>
    <w:rsid w:val="FF7BF13D"/>
    <w:rsid w:val="FF943FE1"/>
    <w:rsid w:val="FF9F8E8F"/>
    <w:rsid w:val="FFEFF665"/>
    <w:rsid w:val="FFF72BE1"/>
    <w:rsid w:val="FFFBE5A1"/>
    <w:rsid w:val="FFFD413B"/>
    <w:rsid w:val="FFFF283E"/>
    <w:rsid w:val="FFFF3C31"/>
    <w:rsid w:val="FFFF8129"/>
    <w:rsid w:val="FFFF91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unhideWhenUsed/>
    <w:qFormat/>
    <w:uiPriority w:val="99"/>
    <w:pPr>
      <w:widowControl/>
      <w:spacing w:before="100" w:beforeAutospacing="1" w:after="100" w:afterAutospacing="1" w:line="384" w:lineRule="exact"/>
      <w:ind w:firstLine="721" w:firstLineChars="200"/>
      <w:jc w:val="left"/>
    </w:pPr>
    <w:rPr>
      <w:rFonts w:ascii="宋体" w:hAnsi="宋体" w:eastAsia="汉仪书宋二简" w:cs="宋体"/>
      <w:color w:val="auto"/>
      <w:kern w:val="0"/>
      <w:sz w:val="24"/>
      <w:szCs w:val="24"/>
      <w:lang w:val="en-US" w:eastAsia="zh-CN" w:bidi="ar-SA"/>
    </w:rPr>
  </w:style>
  <w:style w:type="table" w:styleId="4">
    <w:name w:val="Table Grid"/>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88</TotalTime>
  <ScaleCrop>false</ScaleCrop>
  <LinksUpToDate>false</LinksUpToDate>
  <CharactersWithSpaces>0</CharactersWithSpaces>
  <Application>WPS Office_12.1.25895.25895_F1E327BC-269C-435d-A152-05C5408002CA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2026-02-08T16:22:00Z</dcterms:created>
  <dc:creator>Arthur (Xiao) Dong</dc:creator>
  <cp:lastModifiedBy>Arthur (Xiao) Dong</cp:lastModifiedBy>
  <dcterms:modified xsi:type="dcterms:W3CDTF">2026-07-06T22:43:00Z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2052-12.1.25895.25895</vt:lpwstr>
  </property>
  <property fmtid="{D5CDD505-2E9C-101B-9397-08002B2CF9AE}" pid="3" name="ICV">
    <vt:lpwstr>3A31E5C62E8666FD53247769E1688135_41</vt:lpwstr>
  </property>
</Properties>
</file>