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519CB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Regular" w:hAnsi="Times New Roman Regular" w:cs="Times New Roman Regular"/>
          <w:sz w:val="21"/>
          <w:szCs w:val="21"/>
          <w:u w:val="none"/>
          <w:lang w:val="en-US" w:eastAsia="zh-CN"/>
        </w:rPr>
      </w:pPr>
      <w:r>
        <w:rPr>
          <w:rFonts w:hint="eastAsia"/>
          <w:b/>
          <w:bCs/>
          <w:sz w:val="28"/>
          <w:szCs w:val="28"/>
          <w:lang w:val="en-US" w:eastAsia="zh-CN"/>
        </w:rPr>
        <w:t>民法主观专题突破第一讲课堂笔记（考点1-3）</w:t>
      </w:r>
    </w:p>
    <w:p w14:paraId="70C369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bCs/>
          <w:sz w:val="24"/>
          <w:szCs w:val="24"/>
          <w:u w:val="none"/>
          <w:lang w:val="en-US" w:eastAsia="zh-CN"/>
        </w:rPr>
      </w:pPr>
      <w:r>
        <w:rPr>
          <w:rFonts w:hint="eastAsia" w:ascii="Times New Roman Regular" w:hAnsi="Times New Roman Regular" w:cs="Times New Roman Regular"/>
          <w:b/>
          <w:bCs/>
          <w:sz w:val="24"/>
          <w:szCs w:val="24"/>
          <w:u w:val="none"/>
          <w:lang w:val="en-US" w:eastAsia="zh-CN"/>
        </w:rPr>
        <w:t>【考点1:民事主体】</w:t>
      </w:r>
    </w:p>
    <w:p w14:paraId="3CE6686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一、胎儿利益的保护</w:t>
      </w:r>
    </w:p>
    <w:p w14:paraId="0A0CF62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胎儿利益特殊保护的前提条件：（1）涉及的事项与胎儿的利益保护相关，如遗产继承、接受赠与以及遭受人身损害等；（2）胎儿出生时为活体。出生后随即夭折不影响胎儿利益的特殊保护。但出生时若为死体，则不得主张特殊保护。</w:t>
      </w:r>
    </w:p>
    <w:p w14:paraId="2018858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二、民事行为能力</w:t>
      </w:r>
    </w:p>
    <w:p w14:paraId="1A6ADEA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（一）完全民事行为能力人</w:t>
      </w:r>
    </w:p>
    <w:p w14:paraId="1A03066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1．成年人</w:t>
      </w:r>
    </w:p>
    <w:p w14:paraId="7B804B4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2．16周岁以上，以自己的劳动收入为主要生活来源的未成年人</w:t>
      </w:r>
      <w:r>
        <w:rPr>
          <w:rFonts w:hint="default" w:ascii="Times New Roman Regular" w:hAnsi="Times New Roman Regular" w:cs="Times New Roman Regular"/>
          <w:sz w:val="21"/>
          <w:szCs w:val="21"/>
          <w:u w:val="none"/>
          <w:lang w:val="en-US" w:eastAsia="zh-CN"/>
        </w:rPr>
        <w:tab/>
      </w:r>
      <w:r>
        <w:rPr>
          <w:rFonts w:hint="default" w:ascii="Times New Roman Regular" w:hAnsi="Times New Roman Regular" w:cs="Times New Roman Regular"/>
          <w:sz w:val="21"/>
          <w:szCs w:val="21"/>
          <w:u w:val="none"/>
          <w:lang w:val="en-US" w:eastAsia="zh-CN"/>
        </w:rPr>
        <w:t>如无其他效力瑕疵，均有效</w:t>
      </w:r>
    </w:p>
    <w:p w14:paraId="53A6759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（二）限制民事行为能力人</w:t>
      </w:r>
    </w:p>
    <w:p w14:paraId="45975CE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1．8周岁以上的未成年人</w:t>
      </w:r>
    </w:p>
    <w:p w14:paraId="1FE629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2．不能完全辨认自己行为的成年人</w:t>
      </w:r>
    </w:p>
    <w:p w14:paraId="44970C9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（三）无民事行为能力人</w:t>
      </w:r>
    </w:p>
    <w:p w14:paraId="667F6C9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1．不满8周岁的未成年人</w:t>
      </w:r>
    </w:p>
    <w:p w14:paraId="68D3143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2．不能辨认自己行为的成年人和八周岁以上的未成年人</w:t>
      </w:r>
    </w:p>
    <w:p w14:paraId="2BF140B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三、监护</w:t>
      </w:r>
    </w:p>
    <w:p w14:paraId="483098B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（一）法定监护</w:t>
      </w:r>
    </w:p>
    <w:p w14:paraId="7C897CC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父母是未成年子女的当然的、第一位的法定监护人：（1）父母作为监护人具有法定性与强制性，不得约定免除监护职责；（2）父母离婚不影响监护关系的存续；（3）涉及亲子关系的异议时，亲子关系异议之诉判决生效之前，监护关系不受影响。</w:t>
      </w:r>
    </w:p>
    <w:p w14:paraId="283E2B9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（二）协议监护</w:t>
      </w:r>
    </w:p>
    <w:p w14:paraId="383E03E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在尊重被监护人意愿的前提下，父母以外的有监护资格的主体之间可以通过协议的方式确定监护人，不同顺位的主体之间也可以订立此种协议。协议监护时不受顺位的限制，可以约定不同顺序的人共同担任监护人，也可以约定由顺序在后的人担任监护人。</w:t>
      </w:r>
    </w:p>
    <w:p w14:paraId="5B4042B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（三）指定监护</w:t>
      </w:r>
    </w:p>
    <w:p w14:paraId="5A48472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1.有权指定的组织或机关。依据《民法典》第31条第1款，有权指定的组织或机关包括被监护人住所地的居民委员会、村民委员会、民政部门以及人民法院。需要注意的是，当事人可以直接请求人民法院指定。</w:t>
      </w:r>
    </w:p>
    <w:p w14:paraId="49F6BB6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2.指定的法律效果。监护人被指定后，就会成立监护关系，被指定人不得擅自变更，擅自变更的，不免除其监护人责任。</w:t>
      </w:r>
    </w:p>
    <w:p w14:paraId="2C7CD07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（四）遗嘱监护</w:t>
      </w:r>
    </w:p>
    <w:p w14:paraId="5C496DC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遗嘱监护是指被监护人的父母担任监护人时通过遗嘱指定某人在其死后担任子女的监护人（《民法典》第29条）。对于遗嘱监护规则需要注意以下几点：</w:t>
      </w:r>
    </w:p>
    <w:p w14:paraId="44A0B1F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1.遗嘱人的范围：被监护人的父母+担任监护人（缺一不可）；</w:t>
      </w:r>
    </w:p>
    <w:p w14:paraId="746FF50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2.被指定人的范围：不必限于有法定监护资格的主体；</w:t>
      </w:r>
    </w:p>
    <w:p w14:paraId="7726596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3.遗嘱人死亡时监护人的确定：①配偶健在且有监护能力：配偶为监护人；②配偶已死亡或无监护能力：如果被指定人同意则被指定人担任监护人；如果被指定人不同意则按法定监护确定监护人。</w:t>
      </w:r>
    </w:p>
    <w:p w14:paraId="62773E9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（五）成年人意定监护</w:t>
      </w:r>
    </w:p>
    <w:p w14:paraId="4F67A3D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具有完全民事行为能力的成年人，可以与其近亲属、其他愿意担任监护人的个人或者组织事先协商，以书面形式确定自己的监护人，在自己丧失或者部分丧失民事行为能力时，由该监护人履行监护职责。对于意定监护协议，在未来的被监护人丧失或部分丧失民事行为能力之前，双方都享有任意解除权。</w:t>
      </w:r>
    </w:p>
    <w:p w14:paraId="462B9D1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（六）委托监护</w:t>
      </w:r>
    </w:p>
    <w:p w14:paraId="0278847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在委托监护的情形下，受托人并非监护人，仍以委托人为监护人，即委托监护不改变原有的监护关系</w:t>
      </w:r>
    </w:p>
    <w:p w14:paraId="264331B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（七）监护人的职责</w:t>
      </w:r>
    </w:p>
    <w:p w14:paraId="7A2ADDC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1.关键理解：“监护”拆解开来就是“监督”和“保护”，因此监护人的职责就是监督被监护人，并对被监护人的合法权益进行保护。</w:t>
      </w:r>
    </w:p>
    <w:p w14:paraId="78B1A89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2.监护人履行监护职责应奉行两个原则：（1）最有利于被监护人原则；（2）尊重被监护人真实意愿原则。</w:t>
      </w:r>
    </w:p>
    <w:p w14:paraId="11FDC1E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3.财产处分：监护人除为维护被监护人利益外，不得处分被监护人的财产（监护人如果不是为了维护被监护人的利益，而处分被监护人的财产，则构成无权处分）。</w:t>
      </w:r>
    </w:p>
    <w:p w14:paraId="2DA2B17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特殊规则</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夫妻双方用夫妻共同财产购买房屋并登记在未成年子女名下后，又处分该房屋的，不得以不符合被监护人利益为由主张该民事法律行为无效（《民法典婚姻家庭编解释二》第15条）</w:t>
      </w:r>
    </w:p>
    <w:p w14:paraId="69787AF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4.侵权责任：监护人不履行监护职责或者侵害被监护人合法权益的，应当承担侵权损害赔偿责任</w:t>
      </w:r>
    </w:p>
    <w:p w14:paraId="081A5B3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（八）监护资格的撤销与恢复</w:t>
      </w:r>
    </w:p>
    <w:p w14:paraId="3823217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撤销事由：（1）监护人实施严重损害被监护人身心健康的行为（如虐待被监护人）；（2）监护人怠于履行监护职责，或者无法履行监护职责且拒绝将监护职责部分或者全部委托给他人，导致被监护人处于危困状态（如遗弃被监护人）；（3）监护人实施严重侵害被监护人合法权益的其他行为（重点是前两种）</w:t>
      </w:r>
    </w:p>
    <w:p w14:paraId="70EB1C5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2.有权申请撤销的主体：非常广泛，沾边即可</w:t>
      </w:r>
    </w:p>
    <w:p w14:paraId="55C77F4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3.有权撤销的机关：只有人民法院有权撤销监护人的监护资格</w:t>
      </w:r>
    </w:p>
    <w:p w14:paraId="48EABA8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4.撤销监护资格的法律效果：监护人需要被更换，原监护人如果有扶养义务的，该义务不受影响</w:t>
      </w:r>
    </w:p>
    <w:p w14:paraId="1AF92F4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5.监护资格的恢复条件：（1）被撤销监护资格的人是被监护人的父母或子女，；（2）被撤销监护资格之人有悔改表现；（3）被撤销监护资格之人未对被监护人实施故意犯罪。</w:t>
      </w:r>
    </w:p>
    <w:p w14:paraId="6A1F24B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四、宣告失踪与宣告死亡</w:t>
      </w:r>
    </w:p>
    <w:p w14:paraId="44702B7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1.宣告失踪的条件：（1）自然人下落不明满2年；（2）利害关系人（近亲属、继承人、债权人、债务人、合伙人）申请；（3）人民法院公告三个月后作出判决</w:t>
      </w:r>
    </w:p>
    <w:p w14:paraId="3E9F358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2.指定财产代管人：失踪人的财产由其配偶、成年子女、父母或者其他愿意担任财产代管人的人代管</w:t>
      </w:r>
    </w:p>
    <w:p w14:paraId="3C9B34F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3.财产代管人的职责：</w:t>
      </w:r>
    </w:p>
    <w:p w14:paraId="38AA769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（1）财产代管人因故意或者重大过失造成失踪人财产损失的，应当承担赔偿责任；</w:t>
      </w:r>
    </w:p>
    <w:p w14:paraId="443F342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关联民诉法：失踪人的财产代管人向失踪人的债务人请求偿还债务时，应将财产代管人列为原告。债权人提起诉讼，请求失踪人的财产代管人支付失踪人所欠的债务和其他费用时，应当将财产代管人列为被告。</w:t>
      </w:r>
    </w:p>
    <w:p w14:paraId="227C91F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4.宣告死亡的条件</w:t>
      </w:r>
    </w:p>
    <w:p w14:paraId="5BABD91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（1）自然人下落不明满四年，或者因意外事件，下落不明满二年。因意外事件下落不明，经有关机关证明该自然人不可能生存的，申请宣告死亡不受二年时间的限制</w:t>
      </w:r>
    </w:p>
    <w:p w14:paraId="7613D9E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（2）利害关系人申请：虽然和宣告失踪有所不同，但不用专门记忆，和宣告失踪作类似把握即可</w:t>
      </w:r>
    </w:p>
    <w:p w14:paraId="11C395E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（3）人民法院判决</w:t>
      </w:r>
    </w:p>
    <w:p w14:paraId="4B963B1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5.宣告死亡和宣告失踪的关系：宣告死亡不以宣告失踪为条件，有人申请宣告死亡有人申请宣告失踪的，只要符合宣告死亡的条件，就应当宣告死亡</w:t>
      </w:r>
    </w:p>
    <w:p w14:paraId="31FAE9A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6.宣告死亡的法律效果</w:t>
      </w:r>
    </w:p>
    <w:p w14:paraId="06ED3F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推定下落不明人死亡：原则上以法院宣告死亡判决作出之日视为其死亡日期，因意外事件下落不明宣告死亡的，意外事件发生之日视为其死亡日期（关联保险法考点：宣告死亡日期在保险期间内的，死亡险也应当赔偿）。如果被宣告死亡之人实际上并未死亡，那么宣告死亡判决不影响其在被宣告死亡期间实施的民事法律行为的效力（即民事权利能力的消灭原因仅限于自然死亡）</w:t>
      </w:r>
    </w:p>
    <w:p w14:paraId="7B0B15B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（2）婚姻关系：被宣告死亡的人的婚姻关系，自死亡宣告之日起消除，配偶可以再婚</w:t>
      </w:r>
    </w:p>
    <w:p w14:paraId="290570C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（3）父母子女关系：被宣告死亡的人的子女可以不经同意而被他人收养</w:t>
      </w:r>
    </w:p>
    <w:p w14:paraId="43C42FB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（4）财产关系：发生遗产继承</w:t>
      </w:r>
    </w:p>
    <w:p w14:paraId="6D1B331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7.死亡宣告的撤销：“亡者归来”</w:t>
      </w:r>
    </w:p>
    <w:p w14:paraId="0E0D8DC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财产关系：继承人应当返还财产，无法返还的，应当给予适当补偿。如果财产已经被第三人合法取得，第三人原则上不负有返还义务。利害关系人隐瞒真实情况，致使他人被宣告死亡而取得其财产的，除应当返还财产外，还应当对由此造成的损失承担赔偿责任</w:t>
      </w:r>
    </w:p>
    <w:p w14:paraId="3573BE5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（2）婚姻关系：死亡宣告被撤销的，夫妻关系自撤销死亡宣告之日起自动恢复，但其配偶再婚（包括再婚后又离婚的）或向婚姻登记机关书面声明不愿意恢复的除外</w:t>
      </w:r>
    </w:p>
    <w:p w14:paraId="0DD431F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（3）父母子女关系：被宣告死亡的人在被宣告死亡期间，其子女被他人依法收养，即使死亡宣告被撤销，收养也依然有效</w:t>
      </w:r>
    </w:p>
    <w:p w14:paraId="789AF28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五</w:t>
      </w:r>
      <w:r>
        <w:rPr>
          <w:rFonts w:hint="default" w:ascii="Times New Roman Regular" w:hAnsi="Times New Roman Regular" w:cs="Times New Roman Regular"/>
          <w:sz w:val="21"/>
          <w:szCs w:val="21"/>
          <w:u w:val="none"/>
          <w:lang w:val="en-US" w:eastAsia="zh-CN"/>
        </w:rPr>
        <w:t>、法人的独立性</w:t>
      </w:r>
    </w:p>
    <w:p w14:paraId="2FF7904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法人的人格独立于其成员，对其财产有独立的所有权，法人自己承担无限责任，出资人原则上承担有限责任</w:t>
      </w:r>
    </w:p>
    <w:p w14:paraId="5FD7006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六</w:t>
      </w:r>
      <w:r>
        <w:rPr>
          <w:rFonts w:hint="default" w:ascii="Times New Roman Regular" w:hAnsi="Times New Roman Regular" w:cs="Times New Roman Regular"/>
          <w:sz w:val="21"/>
          <w:szCs w:val="21"/>
          <w:u w:val="none"/>
          <w:lang w:val="en-US" w:eastAsia="zh-CN"/>
        </w:rPr>
        <w:t>、法人的分类：重点掌握社团法人和财团法人、营利法人和非营利法人</w:t>
      </w:r>
    </w:p>
    <w:p w14:paraId="1DDFDFD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1.社团法人和财团法人：财团法人对应捐助法人，社团法人不等于社会团体</w:t>
      </w:r>
    </w:p>
    <w:p w14:paraId="6546E27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2.营利法人和非营利法人的区别不在于是否盈利，而在于是否分配利润</w:t>
      </w:r>
    </w:p>
    <w:p w14:paraId="6D8369F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七</w:t>
      </w:r>
      <w:r>
        <w:rPr>
          <w:rFonts w:hint="default" w:ascii="Times New Roman Regular" w:hAnsi="Times New Roman Regular" w:cs="Times New Roman Regular"/>
          <w:sz w:val="21"/>
          <w:szCs w:val="21"/>
          <w:u w:val="none"/>
          <w:lang w:val="en-US" w:eastAsia="zh-CN"/>
        </w:rPr>
        <w:t>、法人的机关</w:t>
      </w:r>
    </w:p>
    <w:p w14:paraId="0D97BEA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1.社团法人的机关：意思机关、执行机关、监督机关、法定代表人</w:t>
      </w:r>
    </w:p>
    <w:p w14:paraId="1C7A39A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2.财团法人的机关：执行机关、监督机关、法定代表人</w:t>
      </w:r>
    </w:p>
    <w:p w14:paraId="7710D03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八</w:t>
      </w:r>
      <w:r>
        <w:rPr>
          <w:rFonts w:hint="default" w:ascii="Times New Roman Regular" w:hAnsi="Times New Roman Regular" w:cs="Times New Roman Regular"/>
          <w:sz w:val="21"/>
          <w:szCs w:val="21"/>
          <w:u w:val="none"/>
          <w:lang w:val="en-US" w:eastAsia="zh-CN"/>
        </w:rPr>
        <w:t>、法定代表人</w:t>
      </w:r>
    </w:p>
    <w:p w14:paraId="5BD068F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主要是掌握表见代表制度：法人章程或者法人权力机构对法定代表人代表权的限制，不得对抗善意相对人。（即相对人不知道也不应当知道这一限制的，则代表行为有效）</w:t>
      </w:r>
    </w:p>
    <w:p w14:paraId="3729CDB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九</w:t>
      </w:r>
      <w:r>
        <w:rPr>
          <w:rFonts w:hint="default" w:ascii="Times New Roman Regular" w:hAnsi="Times New Roman Regular" w:cs="Times New Roman Regular"/>
          <w:sz w:val="21"/>
          <w:szCs w:val="21"/>
          <w:u w:val="none"/>
          <w:lang w:val="en-US" w:eastAsia="zh-CN"/>
        </w:rPr>
        <w:t>、法人的分支机构</w:t>
      </w:r>
    </w:p>
    <w:p w14:paraId="523F40E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1.法人的分支机构（如分公司）不具有法人资格，同时也不构成法人机关，是法人的一部分（类似于法人的一个部门）。不过，分支机构可以作为市场主体办理登记。</w:t>
      </w:r>
    </w:p>
    <w:p w14:paraId="6CC86FE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2.人分支机构所产生的责任，由法人承担。法人分支机构的责任由法人承担，并不是说法人与分支机构之间承担连带责任，而是法人自己承担自己的责任（单独责任）</w:t>
      </w:r>
    </w:p>
    <w:p w14:paraId="6B49011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十</w:t>
      </w:r>
      <w:r>
        <w:rPr>
          <w:rFonts w:hint="default" w:ascii="Times New Roman Regular" w:hAnsi="Times New Roman Regular" w:cs="Times New Roman Regular"/>
          <w:sz w:val="21"/>
          <w:szCs w:val="21"/>
          <w:u w:val="none"/>
          <w:lang w:val="en-US" w:eastAsia="zh-CN"/>
        </w:rPr>
        <w:t>、设立中法人的责任</w:t>
      </w:r>
    </w:p>
    <w:p w14:paraId="0C96AAD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为设立法人以法人名义实施法律行为的，法人成立的法人承担，法人未成立的设立人承担连带责任；为设立法人以自己名义实施法律行为的，法人成立的第三人可以选择法人或者设立人承担，法人未成立的由设立人承担责任。</w:t>
      </w:r>
    </w:p>
    <w:p w14:paraId="6E11BF4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十一</w:t>
      </w:r>
      <w:r>
        <w:rPr>
          <w:rFonts w:hint="default" w:ascii="Times New Roman Regular" w:hAnsi="Times New Roman Regular" w:cs="Times New Roman Regular"/>
          <w:sz w:val="21"/>
          <w:szCs w:val="21"/>
          <w:u w:val="none"/>
          <w:lang w:val="en-US" w:eastAsia="zh-CN"/>
        </w:rPr>
        <w:t>、非法人组织的责任承担</w:t>
      </w:r>
    </w:p>
    <w:p w14:paraId="2F83C28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先用非法人组织自己的财产清偿，不足以清偿的，出资人或者设立人承担无限连带责任。</w:t>
      </w:r>
    </w:p>
    <w:p w14:paraId="501629F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32391D5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【专题2:民事法律行为与代理】</w:t>
      </w:r>
    </w:p>
    <w:p w14:paraId="39032D5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一、意思表示</w:t>
      </w:r>
    </w:p>
    <w:p w14:paraId="46EABE6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（一）意思表示的构成</w:t>
      </w:r>
    </w:p>
    <w:p w14:paraId="570E31D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不需要从理论层面掌握意思表示的构成，只需要了解：如果不存在意思表示，则法律行为是不成立；如果存在意思表示，但意思表示不真实，则法律行为可能是无效或者可撤销。</w:t>
      </w:r>
    </w:p>
    <w:p w14:paraId="747AA3F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（二）意思表示的生效</w:t>
      </w:r>
    </w:p>
    <w:p w14:paraId="01A4AE4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无相对人的意思表示：完成时</w:t>
      </w:r>
    </w:p>
    <w:p w14:paraId="393C263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有相对人的意思表示：对话自相对人知道时；非对话自到达相对人时；公告自公告发布时</w:t>
      </w:r>
    </w:p>
    <w:p w14:paraId="0D9402D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（三）意思表示的形式</w:t>
      </w:r>
    </w:p>
    <w:p w14:paraId="4E0E206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包括明示、默示和沉默，沉默只有在法律规定、当事人约定或者存在交易习惯的情况下才构成意思表示。</w:t>
      </w:r>
    </w:p>
    <w:p w14:paraId="449DE9A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二、待批准生效的合同</w:t>
      </w:r>
    </w:p>
    <w:p w14:paraId="0C1F1C3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1．批准生效合同批准前的效力状态</w:t>
      </w:r>
    </w:p>
    <w:p w14:paraId="06FF351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（1）合同中履行报批等义务条款以及相关条款的效力在合同成立时就独立生效了。这一安排旨在推动报批义务的履行；</w:t>
      </w:r>
    </w:p>
    <w:p w14:paraId="4F9CCFD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（2）合同中的其他条款处于已经成立但尚未生效的状态。</w:t>
      </w:r>
    </w:p>
    <w:p w14:paraId="0B1DFD9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2．报批义务不履行时的法律救济</w:t>
      </w:r>
    </w:p>
    <w:p w14:paraId="2936359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如果报批义务人不履行报批义务，此时相对方可选择以下救济方式：（1）请求继续履行报批义务；（2）请求解除合同，并主张损害赔偿（《民法典合同编解释》第12条第1款）。</w:t>
      </w:r>
    </w:p>
    <w:p w14:paraId="1D87F56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3．法院支持报批义务的继续履行后报批义务人仍不履行时的法律后果</w:t>
      </w:r>
    </w:p>
    <w:p w14:paraId="3A42C7E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判决作出后如果报批义务人仍不履行报批义务，依据《民法典合同编通则解释》第12条第2款，对方可以主张解除合同并参照违反合同的违约责任请求其承担赔偿责任，之所以此时参照违约责任，是因为其过错更重。</w:t>
      </w:r>
    </w:p>
    <w:p w14:paraId="67C2C4A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4．批准前当事人一方请求履行合同主要义务时的法院处理</w:t>
      </w:r>
    </w:p>
    <w:p w14:paraId="1947CDB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如果在批准前合同一方起诉请求对方履行合同的主要义务，可以驳回其诉讼请求。驳回后当事人仍可另行提起诉讼，请求报批义务人履行报批义务，并不会违反一事不再理的原则。</w:t>
      </w:r>
    </w:p>
    <w:p w14:paraId="6F9A3EC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5．批准机关不予批准时的法律后果</w:t>
      </w:r>
    </w:p>
    <w:p w14:paraId="697F72F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在批准机关不予批准时，原则上报批义务人无需在批准机关不予批准后承担损害赔偿责任，因为批准机关不予批准的原因是多元的，通常而言不可归责于报批义务方。不过也存在例外，即不予批准的原因可以归责于报批义务方时，此时报批义务方需要就对方因此遭受的损失。</w:t>
      </w:r>
    </w:p>
    <w:p w14:paraId="49EEEF6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三、民事法律行为的效力瑕疵有三种：无效、可撤销和效力待定</w:t>
      </w:r>
    </w:p>
    <w:p w14:paraId="0E50FE5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四、民事法律行为无效的事由</w:t>
      </w:r>
    </w:p>
    <w:p w14:paraId="0A375DD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（一）无民事行为能力人</w:t>
      </w:r>
    </w:p>
    <w:p w14:paraId="4A75186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（二）虚假通谋行为</w:t>
      </w:r>
    </w:p>
    <w:p w14:paraId="49B6878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1．表面行为的效力</w:t>
      </w:r>
    </w:p>
    <w:p w14:paraId="45A1CD7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当事人实施虚假通谋行为时，其表面行为是无效的（《民法典》第146条第1款）。</w:t>
      </w:r>
    </w:p>
    <w:p w14:paraId="68D60B7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2．隐藏行为的效力</w:t>
      </w:r>
    </w:p>
    <w:p w14:paraId="17F51F9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对于隐藏行为的效力，应单独评价，如果不存在效力瑕疵事由，则隐藏行为有效。</w:t>
      </w:r>
    </w:p>
    <w:p w14:paraId="5A1C93D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（三）违反法律、行政法规的强制性规定</w:t>
      </w:r>
    </w:p>
    <w:p w14:paraId="0822F91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（四）违背公序良俗</w:t>
      </w:r>
    </w:p>
    <w:p w14:paraId="313C814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（五）恶意串通</w:t>
      </w:r>
    </w:p>
    <w:p w14:paraId="75943BE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五、可撤销的民事法律行为</w:t>
      </w:r>
    </w:p>
    <w:p w14:paraId="6DBDFDC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（一）事由</w:t>
      </w:r>
    </w:p>
    <w:p w14:paraId="3E26D45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1．重大误解</w:t>
      </w:r>
    </w:p>
    <w:p w14:paraId="516F657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意思表示内容（当事人、标的、法律行为的性质）的错误及表示本身的错误（口误、笔误）可以撤销，而单纯的动机错误通常不能撤销（交易上重要的性质错误除外）。</w:t>
      </w:r>
    </w:p>
    <w:p w14:paraId="7C4C4B8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2．欺诈</w:t>
      </w:r>
    </w:p>
    <w:p w14:paraId="609E532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（1）相对人欺诈</w:t>
      </w:r>
    </w:p>
    <w:p w14:paraId="5935D87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均可撤销。</w:t>
      </w:r>
    </w:p>
    <w:p w14:paraId="048401B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（2）第三人欺诈</w:t>
      </w:r>
    </w:p>
    <w:p w14:paraId="6F9E1F6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《民法典》第149条采取的方法是区分相对人的善恶意，只有相对人恶意（知道或者应当知道该欺诈行为）时，受欺诈方才能撤销民事法律行为。</w:t>
      </w:r>
    </w:p>
    <w:p w14:paraId="292BCAC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3．胁迫</w:t>
      </w:r>
    </w:p>
    <w:p w14:paraId="46060A6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不论是相对人胁迫还是第三人胁迫，受胁迫方都有权撤销民事法律行为。</w:t>
      </w:r>
    </w:p>
    <w:p w14:paraId="2CAE80F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4．显失公平</w:t>
      </w:r>
    </w:p>
    <w:p w14:paraId="6650322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依据《民法典》第151条，显失公平的民事法律行为是可撤销的。显失公平的构成需要满足两个要件（缺一不可）：（1）主观要件，即一方利用对方处于危困状态、缺乏判断能力等情形；（2）客观要件，即致使民事法律行为成立时显失公平（《民法典》第151条）。</w:t>
      </w:r>
    </w:p>
    <w:p w14:paraId="16D8D63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（二）撤销权的除斥期间</w:t>
      </w:r>
    </w:p>
    <w:p w14:paraId="1F1A018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1.欺诈和显失公平的法律行为除斥期间是一年。从权利人知道或者应当知道撤销事由时起算时间。</w:t>
      </w:r>
    </w:p>
    <w:p w14:paraId="78778CF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2.重大误解的法律行为撤销权除斥期间是九十日，从撤销权知道或者应当知道撤销事由之日起计算。</w:t>
      </w:r>
    </w:p>
    <w:p w14:paraId="32C1521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3.受胁迫的法律行为除斥期间为一年，从胁迫行为终止之日起算时间。</w:t>
      </w:r>
    </w:p>
    <w:p w14:paraId="619D4F1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4.最长保护期：从法律行为发生之日起五年。</w:t>
      </w:r>
    </w:p>
    <w:p w14:paraId="5F6BC10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六、效力待定的民事法律行为</w:t>
      </w:r>
    </w:p>
    <w:p w14:paraId="0522F94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效力待定的民事法律行为主要有以下情形：（1）限制民事行为能力人实施超越其民事行为能力的民事法律行为；（2）无权处分行为；（3）狭义无权代理行为。</w:t>
      </w:r>
    </w:p>
    <w:p w14:paraId="19AF344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无权处分行为中，负担行为有效，处分行为的效力待定。</w:t>
      </w:r>
    </w:p>
    <w:p w14:paraId="6D91A47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七、民事法律行为不成立、无效、被撤销或者确定不发生效力的法律效果</w:t>
      </w:r>
    </w:p>
    <w:p w14:paraId="5061719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1．返还财产</w:t>
      </w:r>
    </w:p>
    <w:p w14:paraId="25E6903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2．折价补偿</w:t>
      </w:r>
    </w:p>
    <w:p w14:paraId="3A08046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折价补偿适用于“不能返还或者没有必要返还的”情形。</w:t>
      </w:r>
    </w:p>
    <w:p w14:paraId="61B4126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3．损害赔偿</w:t>
      </w:r>
    </w:p>
    <w:p w14:paraId="07723D2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《民法典》第157条所提及的损害赔偿，在性质上属于缔约过失责任（与《民法典》第500条相同）。</w:t>
      </w:r>
    </w:p>
    <w:p w14:paraId="13B5210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八</w:t>
      </w:r>
      <w:r>
        <w:rPr>
          <w:rFonts w:hint="default" w:ascii="Times New Roman Regular" w:hAnsi="Times New Roman Regular" w:cs="Times New Roman Regular"/>
          <w:sz w:val="21"/>
          <w:szCs w:val="21"/>
          <w:u w:val="none"/>
          <w:lang w:val="en-US" w:eastAsia="zh-CN"/>
        </w:rPr>
        <w:t>、有权代理的法律效果</w:t>
      </w:r>
    </w:p>
    <w:p w14:paraId="4D424E0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代理行为的权利义务由被代理人承受。</w:t>
      </w:r>
    </w:p>
    <w:p w14:paraId="2E5BA1B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九</w:t>
      </w:r>
      <w:r>
        <w:rPr>
          <w:rFonts w:hint="default" w:ascii="Times New Roman Regular" w:hAnsi="Times New Roman Regular" w:cs="Times New Roman Regular"/>
          <w:sz w:val="21"/>
          <w:szCs w:val="21"/>
          <w:u w:val="none"/>
          <w:lang w:val="en-US" w:eastAsia="zh-CN"/>
        </w:rPr>
        <w:t>、无权代理：表见代理和狭义的无权代理都是无权代理</w:t>
      </w:r>
    </w:p>
    <w:p w14:paraId="4995236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（一）表见代理</w:t>
      </w:r>
    </w:p>
    <w:p w14:paraId="07E5442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1．表见代理的构成要件</w:t>
      </w:r>
    </w:p>
    <w:p w14:paraId="76B9E3A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（1）代理人欠缺代理权。</w:t>
      </w:r>
    </w:p>
    <w:p w14:paraId="4EC9964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（2）存在代理权外观。</w:t>
      </w:r>
    </w:p>
    <w:p w14:paraId="492B5D7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（3）代理权外观可归责于被代理人。</w:t>
      </w:r>
    </w:p>
    <w:p w14:paraId="4992138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（4）相对方善意且无过失</w:t>
      </w:r>
    </w:p>
    <w:p w14:paraId="7E7C956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2．表见代理的法律效果</w:t>
      </w:r>
    </w:p>
    <w:p w14:paraId="1C95814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（1）被代理人与相对方之间缔结有效的民事法律行为关系，发生相当于有权代理的法律效果；</w:t>
      </w:r>
    </w:p>
    <w:p w14:paraId="6D46C3C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（2）在代理人与第三人之间不发生法律关系；</w:t>
      </w:r>
    </w:p>
    <w:p w14:paraId="169C67A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（3）被代理人可能因表见代理而受到损害，对于该损害，被代理人视情况有权向代理人主张违约责任或者侵权损害赔偿等救济。</w:t>
      </w:r>
    </w:p>
    <w:p w14:paraId="6DDC527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（二）狭义的无权代理</w:t>
      </w:r>
    </w:p>
    <w:p w14:paraId="1049291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无权代理行为，若不构成表见代理，则构成狭义的无权代理。结合《民法典》第171条，狭义的无权代理发生以下法律效果：</w:t>
      </w:r>
    </w:p>
    <w:p w14:paraId="34843E4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1．代理行为效力待定：其最终效力取决于被代理人是否追认。</w:t>
      </w:r>
    </w:p>
    <w:p w14:paraId="76D0E09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2．相对方的催告权：《民法典》第171条第2款赋予相对人催告权（不论善恶意），其有权催告被代理人在30日内追认。如果被代理人在这30日的期间内仍然保持沉默，此时解释为拒绝追认，代理行为确定不生效。</w:t>
      </w:r>
    </w:p>
    <w:p w14:paraId="0322A53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善意相对人的撤销权：如果相对人是善意的，完全由被代理人一人决定代理行为的效力，并不合理，应当赋予善意相对人从代理行为中解脱出来的权利。基于这一考虑，《民法典》第171条第2款还赋予了善意相对人的撤销权，其有权在被代理人追认之前以通知的方式撤销。</w:t>
      </w:r>
    </w:p>
    <w:p w14:paraId="5E8057F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代理行为未被追认时相对人的救济。如果被代理人拒绝追认狭义无权代理行为，此时代理行为就确定不生效了，相对人的权益受损，尤其如果相对人是善意的，此时就更值得救济。《民法典》第171条第3款与第4款区分相对人善意与恶意，配置了不同的救济规则：</w:t>
      </w:r>
    </w:p>
    <w:p w14:paraId="5D6AD72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（1）善意相对人的救济方式。依据《民法典》第171条第3款，善意相对人有权请求无权代理人履行债务或者就其受到的损害请求行为人赔偿，不过，赔偿的范围不能超过被代理人追认时相对人所能获得的利益；</w:t>
      </w:r>
    </w:p>
    <w:p w14:paraId="53743F5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（2）相对人恶意时的救济。相对人恶意时，其救济的正当性相对较小，其只能请求无权代理人承担损害赔偿责任，即按照双方的过错承担赔偿责任。</w:t>
      </w:r>
    </w:p>
    <w:p w14:paraId="36C6181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4347C58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【专题3:物权变动】</w:t>
      </w:r>
    </w:p>
    <w:p w14:paraId="161919E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一、区分原则：负担行为和处分行为各自独立生效，是否办理不动产登记，不影响买卖合同本身的效力。</w:t>
      </w:r>
    </w:p>
    <w:p w14:paraId="07A340E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二、不动产登记</w:t>
      </w:r>
    </w:p>
    <w:p w14:paraId="7F97F32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（一）登记的原则和例外</w:t>
      </w:r>
    </w:p>
    <w:p w14:paraId="16C7B25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原则上不动产物权的变动都需要登记，但是有以下例外：（1）土地承包经营权自土地承包经营权合同生效时设立，登记不是土地承包经营权设立的要件；（2）土地承包经营权设立后的转让和互换，自合同生效时移转，未登记不得对抗善意第三人；（3）宅基地使用权的物权变动不以登记为其要件；（4）地役权自地役权合同生效时设立，未登记不得对抗善意第三人，而非生效要件。</w:t>
      </w:r>
    </w:p>
    <w:p w14:paraId="46A6464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（二）更正登记</w:t>
      </w:r>
    </w:p>
    <w:p w14:paraId="5A4B6B7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1.权利人发现登记簿记载错误，并在申请更正登记时提供证据加以证明的，不动产登记机构应予以更正；</w:t>
      </w:r>
    </w:p>
    <w:p w14:paraId="4520FF6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2.如系登记簿记载的权利人以外的利害关系人（例如主张自己才是不动产真正的所有权人之人）提出更正登记，则只有在不动产登记簿记载的权利人书面同意之时，登记机构才能予以更正。</w:t>
      </w:r>
    </w:p>
    <w:p w14:paraId="3C23CAC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（三）异议登记</w:t>
      </w:r>
    </w:p>
    <w:p w14:paraId="3EEAB85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异议登记将使记载于登记簿上的物权失去公信力，从而使第三人无从主张根据登记的公信力善意取得不动产物权。</w:t>
      </w:r>
    </w:p>
    <w:p w14:paraId="67245FB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异议登记是一种临时性保护措施。登记机构在进行异议登记之后，申请人应在异议登记之日起15日内向人民法院提起诉讼，要求确认自己在不动产上的物权。逾期不起诉的，异议登记失去效力。</w:t>
      </w:r>
    </w:p>
    <w:p w14:paraId="20A09A7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（四）预告登记</w:t>
      </w:r>
    </w:p>
    <w:p w14:paraId="126BAF6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1.一般的预告登记：在进行预告登记后，未经登记权利人的同意，房屋出卖人不得另行处分该房屋；实施处分行为的，该处分不发生物权的效力。但是，处分不动产的合同效力不受影响。</w:t>
      </w:r>
    </w:p>
    <w:p w14:paraId="1C3F4BB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《民法典物权编解释一》第4条</w:t>
      </w:r>
      <w:r>
        <w:rPr>
          <w:rFonts w:hint="eastAsia" w:ascii="Times New Roman Regular" w:hAnsi="Times New Roman Regular" w:cs="Times New Roman Regular"/>
          <w:sz w:val="21"/>
          <w:szCs w:val="21"/>
          <w:u w:val="none"/>
          <w:lang w:val="en-US" w:eastAsia="zh-CN"/>
        </w:rPr>
        <w:t>】</w:t>
      </w:r>
      <w:r>
        <w:rPr>
          <w:rFonts w:hint="default" w:ascii="Times New Roman Regular" w:hAnsi="Times New Roman Regular" w:cs="Times New Roman Regular"/>
          <w:sz w:val="21"/>
          <w:szCs w:val="21"/>
          <w:u w:val="none"/>
          <w:lang w:val="en-US" w:eastAsia="zh-CN"/>
        </w:rPr>
        <w:t xml:space="preserve"> 未经预告登记的权利人同意，转让不动产所有权等物权，或者设立建设用地使用权、居住权、地役权、抵押权等其他物权的，应当依照民法典第二百二十一条第一款的规定，认定其不发生物权效力。</w:t>
      </w:r>
    </w:p>
    <w:p w14:paraId="1573FA4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【注意】预告登记后，债权消灭或者自能够进行不动产登记之日起三个月内未申请登记的，预告登记失效。例如，在期房买卖中，房子建好后三个月内如果不办理本登记，则预告登记失效。</w:t>
      </w:r>
    </w:p>
    <w:p w14:paraId="154882C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2.抵押预告登记</w:t>
      </w:r>
    </w:p>
    <w:p w14:paraId="7E4E9DB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民法典担保制度解释》第52条：当事人办理抵押预告登记后，预告登记权利人请求就抵押财产优先受偿，经审查存在尚未办理建筑物所有权首次登记、预告登记的财产与办理建筑物所有权首次登记时的财产不一致、抵押预告登记已经失效等情形，导致不具备办理抵押登记条件的，人民法院不予支持；经审查已经办理建筑物所有权首次登记，且不存在预告登记失效等情形的，人民法院应予支持，并应当认定抵押权自预告登记之日起设立。</w:t>
      </w:r>
    </w:p>
    <w:p w14:paraId="7C6A1C2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当事人办理了抵押预告登记，抵押人破产，经审查抵押财产属于破产财产，预告登记权利人主张就抵押财产优先受偿的，人民法院应当在受理破产申请时抵押财产的价值范围内予以支持，但是在人民法院受理破产申请前一年内，债务人对没有财产担保的债务设立抵押预告登记的除外。</w:t>
      </w:r>
    </w:p>
    <w:p w14:paraId="7AA3A24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三、动产交付</w:t>
      </w:r>
    </w:p>
    <w:p w14:paraId="2180A0E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所谓“动产物权的设立和转让”，包括两种具体情形：（1）动产所有权转移，即普通动产依法律行为而转移所有权的，自出让人交付动产于受让人时发生移转效果；（2）质权设立（《民法典》第429条），即通过质权合同创立质权的，该质权自出质人交付质物于质权人时发生效力。</w:t>
      </w:r>
    </w:p>
    <w:p w14:paraId="76179E5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（一）交付的方式：包括现实交付、简易交付、指示交付和占有改定（后三种统称为观念交付，需要重点掌握）</w:t>
      </w:r>
    </w:p>
    <w:p w14:paraId="3F9AB0A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1.简易交付：在当事人实施动产物权变动行为之前，权利的受让人已经由于某种原因占有了该动产，此时，实际交付当然就不再需要。</w:t>
      </w:r>
    </w:p>
    <w:p w14:paraId="3932831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2.指示交付：从占有的角度，指示交付意味着出让人将自己的间接占有移转给受让人。</w:t>
      </w:r>
    </w:p>
    <w:p w14:paraId="13EA6FB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3.占有改定：在占有改定中，物权变动的时点是占有媒介关系生效时。</w:t>
      </w:r>
    </w:p>
    <w:p w14:paraId="0A92D15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【例】2月1日，甲、乙约定，甲将一台设备卖给乙。3月1日，甲、乙约定，设备所有权移转给乙，但甲继续租赁该设备一个月。</w:t>
      </w:r>
    </w:p>
    <w:p w14:paraId="5FCE93B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在此例中，甲与乙存在三重行为：（1）2月1日发生的买卖合同（负担行为）；（2）3月1日发生的所有权转移合意（处分行为）；（3）3月1日发生的租赁合同（占有媒介关系）。结合《民法典》第228条的规定，在甲与乙达成占有媒介关系的时候，乙就取得设备的所有权。</w:t>
      </w:r>
    </w:p>
    <w:p w14:paraId="3CBF7B7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【注意】善意取得和质权设定不能通过占有改定进行。</w:t>
      </w:r>
    </w:p>
    <w:p w14:paraId="4D3A8FC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（二）特殊动产（机动车、船舶、航空器）</w:t>
      </w:r>
    </w:p>
    <w:p w14:paraId="2002A0F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特殊动产的物权变动规则可归结为“交付变动、登记对抗”。</w:t>
      </w:r>
    </w:p>
    <w:p w14:paraId="14E6BEA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注意】关于本条所称“未经登记，不得对抗善意第三人”，应注意《民法典物权编解释一》第6条，即此处的善意第三人原则上应是对该特殊动产有直接交易利益的交易关系中的第三人（如买受人），而不包括转让人的一般债权人。后者以已交付给第三人的特殊动产未办理登记为由要求人民法院强制执行的，人民法院不予支持。</w:t>
      </w:r>
    </w:p>
    <w:p w14:paraId="16414EF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四、非基于法律行为的物权变动</w:t>
      </w:r>
    </w:p>
    <w:p w14:paraId="3D0FFF7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（一）依裁判文书等发生物权变动</w:t>
      </w:r>
    </w:p>
    <w:p w14:paraId="2F4D537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具体包括以下两类：（1）法院、仲裁机构作出的改变原有物权关系的判决书、裁决书、调解书，即形成性法律文书。形成性法律文书对应民法上的形成诉权；（2）法院在执行程序中作出的拍卖成交裁定书、变卖成交裁定书、以物抵债裁定书。</w:t>
      </w:r>
    </w:p>
    <w:p w14:paraId="1D9A702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【注意】以物抵债协议的诉讼中作出的调解书不是以物抵债裁定书，不具有物权效力，需要经过履行或者强制执行才能导致物权变动。</w:t>
      </w:r>
    </w:p>
    <w:p w14:paraId="38AD7FC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【拓展】在民事诉讼法上，民事判决包括给付判决、确认判决和形成判决，其中只有形成判决才能直接导致物权变动。</w:t>
      </w:r>
    </w:p>
    <w:p w14:paraId="54DABB6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（二）因继承发生物权变动</w:t>
      </w:r>
    </w:p>
    <w:p w14:paraId="0DCCDEF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在因继承引起物权变动的情形，无论是法定继承还是遗嘱继承，物权变动的效果均自继承开始之时（即被继承人死亡之时）发生。被继承人死亡时，其主体资格消灭从而也就丧失了其生前所享有的物权，此时，应在这一时点上确认继承人取得物权，否则将会产生财产无主的问题。</w:t>
      </w:r>
    </w:p>
    <w:p w14:paraId="062B72C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（三）因事实行为发生物权变动</w:t>
      </w:r>
    </w:p>
    <w:p w14:paraId="4476A65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合法建造、拆除行为属于事实行为，不要求行为人具有民事行为能力，自事实行为成就时就发生物权变动的效力。《民法典》230条使用了“合法建造”这一措辞，这意味着，只有合法建筑才能取得所有权。对于违法建筑，需要注意：（1）违法建筑指未取得建设工程规划许可证或者未按照建设工程规划许可证的规定建设的建筑物；（2）违法建筑的买卖、租赁或抵押，相应的买卖合同、租赁合同与抵押合同都是无效的。</w:t>
      </w:r>
    </w:p>
    <w:p w14:paraId="60A332B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（四）后续登记的问题（也叫宣示登记）</w:t>
      </w:r>
    </w:p>
    <w:p w14:paraId="2F8A5A3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尽管取得不动产物权的时候不需要登记，但如果要进一步处分不动产物权，依照法律规定需要办理登记的，未经登记，不发生物权效力。</w:t>
      </w:r>
    </w:p>
    <w:p w14:paraId="6E5F533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五、善意取得</w:t>
      </w:r>
    </w:p>
    <w:p w14:paraId="1200430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（一）善意取得的构成要件</w:t>
      </w:r>
    </w:p>
    <w:p w14:paraId="2638350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1．出让人须是无处分权人</w:t>
      </w:r>
    </w:p>
    <w:p w14:paraId="3A1B0AD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2．须出让人与受让人有转移所有权的合意</w:t>
      </w:r>
    </w:p>
    <w:p w14:paraId="740105E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3．受让人须为善意</w:t>
      </w:r>
    </w:p>
    <w:p w14:paraId="396A5E3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4．所有权移转需要登记的，已完成登记；无须登记的，已完成交付</w:t>
      </w:r>
    </w:p>
    <w:p w14:paraId="0FC9B84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5．受让人须以合理的价格有偿受让（一般是不能低于市场价格的70%）</w:t>
      </w:r>
    </w:p>
    <w:p w14:paraId="25434AD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（二）善意取得的扩张</w:t>
      </w:r>
    </w:p>
    <w:p w14:paraId="0EC283C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《民法典》第311条第3款规定：“当事人善意取得其他物权的，参照前两款规定。”善意取得所有权以外的物权，其最典型（也是法考最可能涉及）的情形是质权的善意取得。</w:t>
      </w:r>
    </w:p>
    <w:p w14:paraId="480071D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（三）遗失物善意取得的特殊规则</w:t>
      </w:r>
    </w:p>
    <w:p w14:paraId="18A7087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1．遗失物、盗赃物等占有脱离物适用善意取得制度时需要受到限制</w:t>
      </w:r>
    </w:p>
    <w:p w14:paraId="73D63AB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2．遗失人可以自知道或者应当知道受让人之日起2年内向受让人请求返还原物，这2年期间内不发生善意取得</w:t>
      </w:r>
    </w:p>
    <w:p w14:paraId="5604C47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【注意】如果题干中未明确的时间信息，直接认定2年期间未经过</w:t>
      </w:r>
    </w:p>
    <w:p w14:paraId="1CD9DF1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3．如果受让人系通过拍卖或者向具有经营资格的经营者购得该遗失物，所有权人等权利人在向其请求返还原物时应当支付其在受让标的物时所付的费用</w:t>
      </w:r>
    </w:p>
    <w:p w14:paraId="122D299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（四）善意取得的法律效果</w:t>
      </w:r>
    </w:p>
    <w:p w14:paraId="48DB64D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1．受让人取得所有权，原权利人的所有权消灭</w:t>
      </w:r>
    </w:p>
    <w:p w14:paraId="633050E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2．物上原有权利负担原则上消灭，但善意受让人在受让时知道或者应当知道的除外</w:t>
      </w:r>
    </w:p>
    <w:p w14:paraId="7B77E72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3．原权利人可向无权处分者主张债法层面的救济（违约、侵权等）</w:t>
      </w:r>
    </w:p>
    <w:p w14:paraId="334F860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00867A5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b w:val="0"/>
          <w:bCs w:val="0"/>
          <w:sz w:val="18"/>
          <w:szCs w:val="18"/>
          <w:u w:val="none"/>
          <w:lang w:val="en-US" w:eastAsia="zh-CN"/>
        </w:rPr>
      </w:pPr>
      <w:bookmarkStart w:id="0" w:name="_GoBack"/>
      <w:bookmarkEnd w:id="0"/>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宋体-简">
    <w:panose1 w:val="02010800040101010101"/>
    <w:charset w:val="86"/>
    <w:family w:val="auto"/>
    <w:pitch w:val="default"/>
    <w:sig w:usb0="00000001" w:usb1="080F0000" w:usb2="00000000" w:usb3="00000000" w:csb0="0004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C8E4F3"/>
    <w:rsid w:val="1BEF9C01"/>
    <w:rsid w:val="1BFB8A79"/>
    <w:rsid w:val="1FFBBE3B"/>
    <w:rsid w:val="1FFDE82A"/>
    <w:rsid w:val="1FFE3DC8"/>
    <w:rsid w:val="1FFF9676"/>
    <w:rsid w:val="25E4E361"/>
    <w:rsid w:val="26F6FA36"/>
    <w:rsid w:val="27FBB615"/>
    <w:rsid w:val="2FD9B963"/>
    <w:rsid w:val="2FF57ABD"/>
    <w:rsid w:val="33FD09F3"/>
    <w:rsid w:val="37F9300F"/>
    <w:rsid w:val="396C1DDF"/>
    <w:rsid w:val="39BBEE6C"/>
    <w:rsid w:val="39CD9E08"/>
    <w:rsid w:val="3AA211B0"/>
    <w:rsid w:val="3D758D90"/>
    <w:rsid w:val="3DDD8785"/>
    <w:rsid w:val="3DEE2497"/>
    <w:rsid w:val="3EFF2196"/>
    <w:rsid w:val="3EFFCDE3"/>
    <w:rsid w:val="3F362571"/>
    <w:rsid w:val="3F7D6D90"/>
    <w:rsid w:val="3FDF38B5"/>
    <w:rsid w:val="4BFDC25C"/>
    <w:rsid w:val="4D7AF3B1"/>
    <w:rsid w:val="4F7E5D39"/>
    <w:rsid w:val="4FEF7A7F"/>
    <w:rsid w:val="5BF630B3"/>
    <w:rsid w:val="5D1E5E35"/>
    <w:rsid w:val="5D2F548A"/>
    <w:rsid w:val="5D9CC53C"/>
    <w:rsid w:val="5DBFD756"/>
    <w:rsid w:val="5E976ACE"/>
    <w:rsid w:val="5EF589B3"/>
    <w:rsid w:val="5F2FB4C6"/>
    <w:rsid w:val="5F67BE34"/>
    <w:rsid w:val="5F9FED60"/>
    <w:rsid w:val="5FDFC522"/>
    <w:rsid w:val="5FF291E1"/>
    <w:rsid w:val="63F79634"/>
    <w:rsid w:val="676B1FCF"/>
    <w:rsid w:val="6BBF548D"/>
    <w:rsid w:val="6BEE3C17"/>
    <w:rsid w:val="6CFC5835"/>
    <w:rsid w:val="6EBFFE06"/>
    <w:rsid w:val="6EDC6954"/>
    <w:rsid w:val="6F7FD66B"/>
    <w:rsid w:val="6FC75035"/>
    <w:rsid w:val="6FE9DFA5"/>
    <w:rsid w:val="6FF6B73E"/>
    <w:rsid w:val="6FF7B5C8"/>
    <w:rsid w:val="6FFF6B06"/>
    <w:rsid w:val="72B16660"/>
    <w:rsid w:val="72FEDFAF"/>
    <w:rsid w:val="74EF0DAF"/>
    <w:rsid w:val="75FFDC8C"/>
    <w:rsid w:val="76576194"/>
    <w:rsid w:val="777E0985"/>
    <w:rsid w:val="77BFCCB0"/>
    <w:rsid w:val="78FF9F1C"/>
    <w:rsid w:val="79B72732"/>
    <w:rsid w:val="7A8FECFA"/>
    <w:rsid w:val="7B6D3C00"/>
    <w:rsid w:val="7B77E946"/>
    <w:rsid w:val="7B9D44AF"/>
    <w:rsid w:val="7BAF28C8"/>
    <w:rsid w:val="7BFFD2F7"/>
    <w:rsid w:val="7C7DDD51"/>
    <w:rsid w:val="7C9D61C3"/>
    <w:rsid w:val="7D473A11"/>
    <w:rsid w:val="7D6FDA1F"/>
    <w:rsid w:val="7D7FD33D"/>
    <w:rsid w:val="7DBDD90E"/>
    <w:rsid w:val="7DBFEFAD"/>
    <w:rsid w:val="7DE7821D"/>
    <w:rsid w:val="7DF9200D"/>
    <w:rsid w:val="7E3F6002"/>
    <w:rsid w:val="7EFF1AA0"/>
    <w:rsid w:val="7EFFC158"/>
    <w:rsid w:val="7EFFF8CD"/>
    <w:rsid w:val="7F398CB3"/>
    <w:rsid w:val="7F3B9F4C"/>
    <w:rsid w:val="7F3C3286"/>
    <w:rsid w:val="7F695405"/>
    <w:rsid w:val="7F6B748A"/>
    <w:rsid w:val="7FB49696"/>
    <w:rsid w:val="7FB797CE"/>
    <w:rsid w:val="7FBF0F91"/>
    <w:rsid w:val="7FE7235C"/>
    <w:rsid w:val="7FFCE884"/>
    <w:rsid w:val="8ABEE47C"/>
    <w:rsid w:val="8BFB340A"/>
    <w:rsid w:val="957F8B5D"/>
    <w:rsid w:val="99FF3808"/>
    <w:rsid w:val="AEAF67DC"/>
    <w:rsid w:val="AECFAD74"/>
    <w:rsid w:val="AED07A5A"/>
    <w:rsid w:val="AEFFF231"/>
    <w:rsid w:val="AF7349BF"/>
    <w:rsid w:val="B1FDE468"/>
    <w:rsid w:val="B3FEA9EF"/>
    <w:rsid w:val="B61785CE"/>
    <w:rsid w:val="B7FEF551"/>
    <w:rsid w:val="BBD68691"/>
    <w:rsid w:val="BE470E73"/>
    <w:rsid w:val="BFD7C2A8"/>
    <w:rsid w:val="BFDF5E9D"/>
    <w:rsid w:val="BFFFC478"/>
    <w:rsid w:val="C2FF7057"/>
    <w:rsid w:val="CBDA46FA"/>
    <w:rsid w:val="CDF9AD73"/>
    <w:rsid w:val="CEAF22DB"/>
    <w:rsid w:val="CFABA3EB"/>
    <w:rsid w:val="CFBDAEF9"/>
    <w:rsid w:val="CFFF1593"/>
    <w:rsid w:val="D7F8DDAE"/>
    <w:rsid w:val="D99D7B6E"/>
    <w:rsid w:val="DBF64670"/>
    <w:rsid w:val="DE4FF25C"/>
    <w:rsid w:val="DE5EFF5E"/>
    <w:rsid w:val="DFDD6831"/>
    <w:rsid w:val="E5718167"/>
    <w:rsid w:val="E59B90E9"/>
    <w:rsid w:val="E5AB3AAB"/>
    <w:rsid w:val="E5DD9418"/>
    <w:rsid w:val="E787CCF8"/>
    <w:rsid w:val="E7BFCB01"/>
    <w:rsid w:val="E7EF776D"/>
    <w:rsid w:val="E9F63188"/>
    <w:rsid w:val="EA3CD53D"/>
    <w:rsid w:val="EB6E8309"/>
    <w:rsid w:val="EBD730EB"/>
    <w:rsid w:val="EC2D9E1A"/>
    <w:rsid w:val="EECA7655"/>
    <w:rsid w:val="EF06E542"/>
    <w:rsid w:val="EF73E6F1"/>
    <w:rsid w:val="EF7FB042"/>
    <w:rsid w:val="EFB7ADF2"/>
    <w:rsid w:val="EFCFFD3A"/>
    <w:rsid w:val="EFDF470A"/>
    <w:rsid w:val="EFDFF3E6"/>
    <w:rsid w:val="EFE712E6"/>
    <w:rsid w:val="EFE74EAF"/>
    <w:rsid w:val="EFF7C6A6"/>
    <w:rsid w:val="F0D7EC59"/>
    <w:rsid w:val="F0DE3C2E"/>
    <w:rsid w:val="F1B927A4"/>
    <w:rsid w:val="F3FF92B4"/>
    <w:rsid w:val="F54E1163"/>
    <w:rsid w:val="F56E2A6E"/>
    <w:rsid w:val="F5EEDA60"/>
    <w:rsid w:val="F5EFB180"/>
    <w:rsid w:val="F6DFFC0C"/>
    <w:rsid w:val="F73F225B"/>
    <w:rsid w:val="FABE4737"/>
    <w:rsid w:val="FB3760F9"/>
    <w:rsid w:val="FB3FDD72"/>
    <w:rsid w:val="FBDF91EB"/>
    <w:rsid w:val="FBFB9313"/>
    <w:rsid w:val="FBFF7EF4"/>
    <w:rsid w:val="FCEF4E65"/>
    <w:rsid w:val="FD375179"/>
    <w:rsid w:val="FD6C9E97"/>
    <w:rsid w:val="FD6EB3EE"/>
    <w:rsid w:val="FDBDD900"/>
    <w:rsid w:val="FDEB36AE"/>
    <w:rsid w:val="FDF59568"/>
    <w:rsid w:val="FE7F8EB7"/>
    <w:rsid w:val="FEA64923"/>
    <w:rsid w:val="FED769C8"/>
    <w:rsid w:val="FEFE8315"/>
    <w:rsid w:val="FF3362C6"/>
    <w:rsid w:val="FF6F6FFE"/>
    <w:rsid w:val="FF7BF13D"/>
    <w:rsid w:val="FF943FE1"/>
    <w:rsid w:val="FF9F8E8F"/>
    <w:rsid w:val="FFEFF665"/>
    <w:rsid w:val="FFF72BE1"/>
    <w:rsid w:val="FFF762B1"/>
    <w:rsid w:val="FFFBE5A1"/>
    <w:rsid w:val="FFFD413B"/>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2</TotalTime>
  <ScaleCrop>false</ScaleCrop>
  <LinksUpToDate>false</LinksUpToDate>
  <CharactersWithSpaces>0</CharactersWithSpaces>
  <Application>WPS Office_12.1.25895.25895_F1E327BC-269C-435d-A152-05C5408002CA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2026-02-08T08:22:00Z</dcterms:created>
  <dc:creator>Arthur (Xiao) Dong</dc:creator>
  <cp:lastModifiedBy>Arthur (Xiao) Dong</cp:lastModifiedBy>
  <dcterms:modified xsi:type="dcterms:W3CDTF">2026-07-05T11:51:22Z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2052-12.1.25895.25895</vt:lpwstr>
  </property>
  <property fmtid="{D5CDD505-2E9C-101B-9397-08002B2CF9AE}" pid="3" name="ICV">
    <vt:lpwstr>3A31E5C62E8666FD53247769E1688135_41</vt:lpwstr>
  </property>
</Properties>
</file>