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B4C7D75">
      <w:pPr>
        <w:pStyle w:val="style0"/>
        <w:keepNext w:val="false"/>
        <w:keepLines w:val="false"/>
        <w:pageBreakBefore w:val="false"/>
        <w:widowControl w:val="false"/>
        <w:kinsoku/>
        <w:wordWrap/>
        <w:overflowPunct/>
        <w:topLinePunct w:val="false"/>
        <w:autoSpaceDE/>
        <w:autoSpaceDN/>
        <w:bidi w:val="false"/>
        <w:adjustRightInd/>
        <w:snapToGrid/>
        <w:spacing w:lineRule="auto" w:line="240"/>
        <w:jc w:val="center"/>
        <w:textAlignment w:val="auto"/>
        <w:rPr>
          <w:rFonts w:hint="default"/>
          <w:sz w:val="28"/>
          <w:szCs w:val="28"/>
          <w:lang w:val="en-US" w:eastAsia="zh-CN"/>
        </w:rPr>
      </w:pPr>
      <w:r>
        <w:rPr>
          <w:rFonts w:hint="eastAsia"/>
          <w:b/>
          <w:bCs/>
          <w:sz w:val="28"/>
          <w:szCs w:val="28"/>
          <w:lang w:val="en-US" w:eastAsia="zh-CN"/>
        </w:rPr>
        <w:t>商法客观精华突破第三讲课堂笔记（考点14-2</w:t>
      </w:r>
      <w:r>
        <w:rPr>
          <w:rFonts w:hint="default"/>
          <w:b/>
          <w:bCs/>
          <w:sz w:val="28"/>
          <w:szCs w:val="28"/>
          <w:lang w:val="en-US" w:eastAsia="zh-CN"/>
        </w:rPr>
        <w:t>1</w:t>
      </w:r>
      <w:r>
        <w:rPr>
          <w:rFonts w:hint="eastAsia"/>
          <w:b/>
          <w:bCs/>
          <w:sz w:val="28"/>
          <w:szCs w:val="28"/>
          <w:lang w:val="en-US" w:eastAsia="zh-CN"/>
        </w:rPr>
        <w:t>）</w:t>
      </w:r>
    </w:p>
    <w:p w14:paraId="430E6CD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eastAsia"/>
          <w:b/>
          <w:bCs/>
          <w:sz w:val="18"/>
          <w:szCs w:val="18"/>
          <w:u w:val="none"/>
          <w:lang w:val="en-US" w:eastAsia="zh-CN"/>
        </w:rPr>
      </w:pPr>
      <w:r>
        <w:rPr>
          <w:rFonts w:ascii="Times New Roman Regular" w:cs="Times New Roman Regular" w:hAnsi="Times New Roman Regular" w:hint="eastAsia"/>
          <w:b/>
          <w:bCs/>
          <w:sz w:val="18"/>
          <w:szCs w:val="18"/>
          <w:u w:val="none"/>
          <w:lang w:val="en-US" w:eastAsia="zh-CN"/>
        </w:rPr>
        <w:t>【考点14:有限合伙企业】</w:t>
      </w:r>
    </w:p>
    <w:p w14:paraId="4EA6C4E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一、</w:t>
      </w:r>
      <w:r>
        <w:rPr>
          <w:rFonts w:ascii="Times New Roman Regular" w:cs="Times New Roman Regular" w:hAnsi="Times New Roman Regular" w:hint="default"/>
          <w:b w:val="false"/>
          <w:bCs w:val="false"/>
          <w:sz w:val="18"/>
          <w:szCs w:val="18"/>
          <w:u w:val="none"/>
          <w:lang w:val="en-US" w:eastAsia="zh-CN"/>
        </w:rPr>
        <w:t>组成</w:t>
      </w:r>
    </w:p>
    <w:p w14:paraId="31EB92C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1.合伙人</w:t>
      </w:r>
    </w:p>
    <w:p w14:paraId="351AE68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有限合伙人没有民事行为能力的要求。</w:t>
      </w:r>
    </w:p>
    <w:p w14:paraId="56F678C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2.出资</w:t>
      </w:r>
    </w:p>
    <w:p w14:paraId="5C6D962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有限合伙人可以货币、实物、知识产权、土地使用权或者其他财产权利作价出资；但不得以劳务出资。</w:t>
      </w:r>
    </w:p>
    <w:p w14:paraId="791EE9B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二、</w:t>
      </w:r>
      <w:r>
        <w:rPr>
          <w:rFonts w:ascii="Times New Roman Regular" w:cs="Times New Roman Regular" w:hAnsi="Times New Roman Regular" w:hint="default"/>
          <w:b w:val="false"/>
          <w:bCs w:val="false"/>
          <w:sz w:val="18"/>
          <w:szCs w:val="18"/>
          <w:u w:val="none"/>
          <w:lang w:val="en-US" w:eastAsia="zh-CN"/>
        </w:rPr>
        <w:t>事务执行</w:t>
      </w:r>
    </w:p>
    <w:p w14:paraId="3325094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1．有限合伙企业由普通合伙人执行合伙事务。有限合伙人不执行合伙事务，不得对外代表有限合伙企业。</w:t>
      </w:r>
    </w:p>
    <w:p w14:paraId="25D323D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有限合伙人的下列“对内”管理行为，不视为执行合伙事务：（1）参与决定普通合伙人入伙、退伙。（2）对企业的经营管理提出建议。（3）参与选择承办有限合伙企业审计业务的会计师事务所。（4）获取经审计的有限合伙企业财务会计报告。（5）对涉及自身利益的情况，查阅有限合伙企业财务会计账簿等财务资料。（6）在有限合伙企业中的利益受到侵害时，向有责任的合伙人主张权利或者提起诉讼。（7）执行事务合伙人怠于行使权利时，督促其行使权利或者为了本企业的利益以自己的名义提起诉讼。（8）依法为本企业提供担保</w:t>
      </w:r>
    </w:p>
    <w:p w14:paraId="1E86794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3.表见合伙的后果：第三人有理由相信有限合伙人为普通合伙人并与其交易的，该有限合伙人对该笔交易承担与普通合伙人同样的责任。</w:t>
      </w:r>
    </w:p>
    <w:p w14:paraId="0DDA415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三、</w:t>
      </w:r>
      <w:r>
        <w:rPr>
          <w:rFonts w:ascii="Times New Roman Regular" w:cs="Times New Roman Regular" w:hAnsi="Times New Roman Regular" w:hint="default"/>
          <w:b w:val="false"/>
          <w:bCs w:val="false"/>
          <w:sz w:val="18"/>
          <w:szCs w:val="18"/>
          <w:u w:val="none"/>
          <w:lang w:val="en-US" w:eastAsia="zh-CN"/>
        </w:rPr>
        <w:t>有限合伙人的权利规则</w:t>
      </w:r>
    </w:p>
    <w:p w14:paraId="62AF87B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1.分红规则</w:t>
      </w:r>
    </w:p>
    <w:p w14:paraId="70AACB6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有限合伙企业不得将全部利润分配给部分合伙人；但是，合伙协议另有约定的除外。</w:t>
      </w:r>
    </w:p>
    <w:p w14:paraId="4175465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2.自我交易与竞业</w:t>
      </w:r>
    </w:p>
    <w:p w14:paraId="20C3E21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（1）有限合伙人可以同本有限合伙企业进行交易；但是，合伙协议另有约定的除外</w:t>
      </w:r>
    </w:p>
    <w:p w14:paraId="51F8AE4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（2）有限合伙人可以自营或者同他人合作经营与本有限合伙企业相竞争的业务；但是，合伙协议另有约定的除外。</w:t>
      </w:r>
    </w:p>
    <w:p w14:paraId="2E1EDDD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3.对财产份额的出质与转让</w:t>
      </w:r>
    </w:p>
    <w:p w14:paraId="3D636B0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（1）有限合伙人可以将其在有限合伙企业中的财产份额出质；但是，合伙协议另有约定的除外</w:t>
      </w:r>
    </w:p>
    <w:p w14:paraId="36E9A56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（2）有限合伙人可以按照合伙协议的约定向合伙人以外的人转让其在有限合伙企业中的财产份额，但应当提前三十日通知其他合伙人</w:t>
      </w:r>
    </w:p>
    <w:p w14:paraId="55B0F5E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四、</w:t>
      </w:r>
      <w:r>
        <w:rPr>
          <w:rFonts w:ascii="Times New Roman Regular" w:cs="Times New Roman Regular" w:hAnsi="Times New Roman Regular" w:hint="default"/>
          <w:b w:val="false"/>
          <w:bCs w:val="false"/>
          <w:sz w:val="18"/>
          <w:szCs w:val="18"/>
          <w:u w:val="none"/>
          <w:lang w:val="en-US" w:eastAsia="zh-CN"/>
        </w:rPr>
        <w:t>有限合伙人的有限责任</w:t>
      </w:r>
    </w:p>
    <w:p w14:paraId="1CD6A4E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1．新入伙的有限合伙人对入伙前有限合伙企业的债务，以其认缴的出资额为限承担责任。</w:t>
      </w:r>
    </w:p>
    <w:p w14:paraId="056388B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2．有限合伙人退伙后，对基于其退伙前的原因发生的有限合伙企业债务，以其退伙时从有限合伙企业中取回的财产承担责任。</w:t>
      </w:r>
    </w:p>
    <w:p w14:paraId="7175BAA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有限合伙人的自有财产不足以清偿其与合伙企业无关的债务的，该合伙人可以以其从有限合伙企业中分取的收益用于清偿；债权人也可以依法请求法院强制执行该合伙人在有限合伙企业中的财产份额用于清偿。</w:t>
      </w:r>
    </w:p>
    <w:p w14:paraId="39D4A69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法院强制执行有限合伙人的财产份额时，应当通知全体合伙人。在同等条件下，其他合伙人有优先购买权</w:t>
      </w:r>
    </w:p>
    <w:p w14:paraId="0118B4B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五、</w:t>
      </w:r>
      <w:r>
        <w:rPr>
          <w:rFonts w:ascii="Times New Roman Regular" w:cs="Times New Roman Regular" w:hAnsi="Times New Roman Regular" w:hint="default"/>
          <w:b w:val="false"/>
          <w:bCs w:val="false"/>
          <w:sz w:val="18"/>
          <w:szCs w:val="18"/>
          <w:u w:val="none"/>
          <w:lang w:val="en-US" w:eastAsia="zh-CN"/>
        </w:rPr>
        <w:t>合伙人身份的转化</w:t>
      </w:r>
    </w:p>
    <w:p w14:paraId="1304772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1．有限合伙人转变为普通合伙人的，对其作为有限合伙人期间有限合伙企业发生的债务承担无限连带责任</w:t>
      </w:r>
    </w:p>
    <w:p w14:paraId="7809C79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2．普通合伙人转变为有限合伙人的，对其作为普通合伙人期间合伙企业发生的债务承担无限连带责任。</w:t>
      </w:r>
    </w:p>
    <w:bookmarkStart w:id="0" w:name="_GoBack"/>
    <w:bookmarkEnd w:id="0"/>
    <w:p w14:paraId="4B0545B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eastAsia"/>
          <w:b w:val="false"/>
          <w:bCs w:val="false"/>
          <w:sz w:val="18"/>
          <w:szCs w:val="18"/>
          <w:u w:val="none"/>
          <w:lang w:val="en-US" w:eastAsia="zh-CN"/>
        </w:rPr>
      </w:pPr>
    </w:p>
    <w:p w14:paraId="4904F42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bCs/>
          <w:sz w:val="18"/>
          <w:szCs w:val="18"/>
          <w:lang w:val="en-US" w:eastAsia="zh-CN"/>
        </w:rPr>
      </w:pPr>
      <w:r>
        <w:rPr>
          <w:rFonts w:ascii="Times New Roman Regular" w:cs="Times New Roman Regular" w:hAnsi="Times New Roman Regular" w:hint="eastAsia"/>
          <w:b/>
          <w:bCs/>
          <w:sz w:val="18"/>
          <w:szCs w:val="18"/>
          <w:lang w:val="en-US" w:eastAsia="zh-CN"/>
        </w:rPr>
        <w:t>【考点15:债务人财产】</w:t>
      </w:r>
    </w:p>
    <w:p w14:paraId="7FC776A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一、</w:t>
      </w:r>
      <w:r>
        <w:rPr>
          <w:rFonts w:ascii="Times New Roman Regular" w:cs="Times New Roman Regular" w:hAnsi="Times New Roman Regular" w:hint="default"/>
          <w:b w:val="false"/>
          <w:bCs w:val="false"/>
          <w:sz w:val="18"/>
          <w:szCs w:val="18"/>
          <w:u w:val="none"/>
          <w:lang w:val="en-US" w:eastAsia="zh-CN"/>
        </w:rPr>
        <w:t>破产程序前行为的撤销</w:t>
      </w:r>
    </w:p>
    <w:p w14:paraId="52421DF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法院受理破产申请前一年内，涉及债务人财产的下列行为，管理人有权请求法院予以撤销：①无偿转让财产的；②以明显不合理的价格进行交易的；③对没有财产担保的债务提供财产担保的；④对未到期的债务提前清偿的；⑤放弃债权的。</w:t>
      </w:r>
    </w:p>
    <w:p w14:paraId="4A128F1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2．法院受理破产申请前六个月内，债务人存在破产原因，仍对个别债权人进行清偿的，管理人有权请求法院予以撤销。</w:t>
      </w:r>
    </w:p>
    <w:p w14:paraId="3967A89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注意1：《企业破产法司法解释（二）》第15条规定：债务人经诉讼、仲裁、执行程序对债权人进行的个别清偿，管理人依据《企业破产法》第32条的规定请求撤销的，人民法院不予支持。但是，债务人与债权人恶意串通损害其他债权人利益的除外。</w:t>
      </w:r>
    </w:p>
    <w:p w14:paraId="43C712A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注意2：根据《企业破产法司法解释（二）》第16条规定，债务人对债权人进行的以下个别清偿，管理人依据《企业破产法》第32条的规定请求撤销的，人民法院不予支持：</w:t>
      </w:r>
    </w:p>
    <w:p w14:paraId="1E73E90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（1）债务人为维系基本生产需要而支付水费、电费等的；</w:t>
      </w:r>
    </w:p>
    <w:p w14:paraId="0B794C6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（2）债务人支付劳动报酬、人身损害赔偿金的；</w:t>
      </w:r>
    </w:p>
    <w:p w14:paraId="3C5C077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（3）使债务人财产受益的其他个别清偿。</w:t>
      </w:r>
    </w:p>
    <w:p w14:paraId="2113ED7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二、</w:t>
      </w:r>
      <w:r>
        <w:rPr>
          <w:rFonts w:ascii="Times New Roman Regular" w:cs="Times New Roman Regular" w:hAnsi="Times New Roman Regular" w:hint="default"/>
          <w:b w:val="false"/>
          <w:bCs w:val="false"/>
          <w:sz w:val="18"/>
          <w:szCs w:val="18"/>
          <w:u w:val="none"/>
          <w:lang w:val="en-US" w:eastAsia="zh-CN"/>
        </w:rPr>
        <w:t>破产无效行为</w:t>
      </w:r>
    </w:p>
    <w:p w14:paraId="01B3A9E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1．为逃避债务而隐匿、转移财产的；</w:t>
      </w:r>
    </w:p>
    <w:p w14:paraId="6F37DDA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2．虚构债务或者承认不真实的债务的。</w:t>
      </w:r>
    </w:p>
    <w:p w14:paraId="244976B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三、</w:t>
      </w:r>
      <w:r>
        <w:rPr>
          <w:rFonts w:ascii="Times New Roman Regular" w:cs="Times New Roman Regular" w:hAnsi="Times New Roman Regular" w:hint="default"/>
          <w:b w:val="false"/>
          <w:bCs w:val="false"/>
          <w:sz w:val="18"/>
          <w:szCs w:val="18"/>
          <w:u w:val="none"/>
          <w:lang w:val="en-US" w:eastAsia="zh-CN"/>
        </w:rPr>
        <w:t>管理人的追回权</w:t>
      </w:r>
    </w:p>
    <w:p w14:paraId="3555AC9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人民法院受理破产申请后，债务人的出资人尚未完全履行出资义务的，管理人应当要求该出资人缴纳所认缴的出资，而不受出资期限的限制</w:t>
      </w:r>
    </w:p>
    <w:p w14:paraId="097A5B0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四、</w:t>
      </w:r>
      <w:r>
        <w:rPr>
          <w:rFonts w:ascii="Times New Roman Regular" w:cs="Times New Roman Regular" w:hAnsi="Times New Roman Regular" w:hint="default"/>
          <w:b w:val="false"/>
          <w:bCs w:val="false"/>
          <w:sz w:val="18"/>
          <w:szCs w:val="18"/>
          <w:u w:val="none"/>
          <w:lang w:val="en-US" w:eastAsia="zh-CN"/>
        </w:rPr>
        <w:t>对企业管理层的特别追回权</w:t>
      </w:r>
    </w:p>
    <w:p w14:paraId="76BEC1F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债务人的董事、监事和高级管理人员利用职权从企业获取的非正常收入和侵占的企业财产，管理人应当追回</w:t>
      </w:r>
    </w:p>
    <w:p w14:paraId="6B350B0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五、取回权</w:t>
      </w:r>
    </w:p>
    <w:p w14:paraId="201A5D2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（一）一般取回权</w:t>
      </w:r>
    </w:p>
    <w:p w14:paraId="31B78EF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1．取回权是指管理人占有不属于破产财产的他人财产，该财产的权利人可以不经破产清算程序，而经管理人同意将其直接取回的权利。</w:t>
      </w:r>
    </w:p>
    <w:p w14:paraId="3BF52A3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根据《企业破产法司法解释（二）》第26条规定：权利人依据《企业破产法》第38条的规定行使取回权，应当在破产财产变价方案或者和解协议、重整计划草案提交债权人会议表决前向管理人提出。权利人在上述期限后主张取回相关财产的，应当承担延迟行使取回权增加的相关费用。</w:t>
      </w:r>
    </w:p>
    <w:p w14:paraId="1B4B035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企业破产法司法解释（二）》第32条规定：债务人占有的他人财产毁损、灭失，因此获得的保险金、赔偿金、代偿物尚未交付给债务人，或者代偿物虽已交付给债务人但能与债务人财产予以区分的，权利人主张取回就此获得的保险金、赔偿金、代偿物的，人民法院应予支持。保险金、赔偿金已经交付给债务人，或者代偿物已经交付给债务人且不能与债务人财产予以区分的，人民法院应当按照以下规定处理：财产毁损、灭失发生在破产申请受理前的，权利人因财产损失形成的债权，作为普通破产债权清偿；财产毁损、灭失发生在破产申请受理后的，因管理人或者相关人员执行职务导致权利人损害产生的债务，作为共益债务清偿。</w:t>
      </w:r>
    </w:p>
    <w:p w14:paraId="30ECDE3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（二）特殊取回权</w:t>
      </w:r>
    </w:p>
    <w:p w14:paraId="66A52A6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法院受理破产申请时，出卖人已将买卖标的物向作为买受人的债务人发运，债务人尚未收到且未付清全部价款的，出卖人可以取回在运途中的标的物。但是，管理人可以支付全部价款，请求出卖人交付标的物。</w:t>
      </w:r>
    </w:p>
    <w:p w14:paraId="3CB738A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六、抵销权</w:t>
      </w:r>
    </w:p>
    <w:p w14:paraId="473C34A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1．债权人在破产申请受理前对债务人负有债务的，可以向管理人主张抵销</w:t>
      </w:r>
    </w:p>
    <w:p w14:paraId="540B479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2．债务人的债务人在破产受理后取得他人对债务人的债权的，不能向债务人主张抵销</w:t>
      </w:r>
    </w:p>
    <w:p w14:paraId="33F1DD2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七、破产费用和共益债务</w:t>
      </w:r>
    </w:p>
    <w:p w14:paraId="6EB7298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（一）破产费用</w:t>
      </w:r>
    </w:p>
    <w:p w14:paraId="096845C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1.破产案件的诉讼费用；2.管理、变价和分配债务人财产的费用；3.管理人执行职务的费用、报酬和聘用工作人员的费用</w:t>
      </w:r>
    </w:p>
    <w:p w14:paraId="1D1F7C1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（二）共益债务</w:t>
      </w:r>
    </w:p>
    <w:p w14:paraId="1C47C99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法院受理破产申请后发生的下列债务，为共益债务：1.因管理人或者债务人请求对方当事人履行双方均未履行完毕的合同所产生的债务；2.债务人财产受无因管理所产生的债务；3.因债务人不当得利所产生的债务；4.为债务人继续营业而应支付的劳动报酬和社会保险费用以及由此产生的其他债务；5.管理人或者相关人员执行职务致人损害所产生的债务；6.债务人财产致人损害所产生的债务</w:t>
      </w:r>
    </w:p>
    <w:p w14:paraId="4B9403F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（三）清偿方法</w:t>
      </w:r>
    </w:p>
    <w:p w14:paraId="7C84FD4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1．破产费用和共益债务由债务人财产随时清偿；</w:t>
      </w:r>
    </w:p>
    <w:p w14:paraId="2883B1A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2．债务人财产不足以清偿所有破产费用和共益债务的，先行清偿破产费用。债务人财产不足以清偿所有破产费用或者共益债务的，按照比例清偿；</w:t>
      </w:r>
    </w:p>
    <w:p w14:paraId="108C234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3．债务人财产不足以清偿破产费用的，管理人应当提请法院终结破产程序。</w:t>
      </w:r>
    </w:p>
    <w:p w14:paraId="595E635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八、破产债权申报</w:t>
      </w:r>
    </w:p>
    <w:p w14:paraId="7BD5E49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（一）可申报债权的特点</w:t>
      </w:r>
    </w:p>
    <w:p w14:paraId="0C8C21A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1．须为以财产给付为内容的请求权。</w:t>
      </w:r>
    </w:p>
    <w:p w14:paraId="616A114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2．须为以债务人财产为基础的请求权</w:t>
      </w:r>
    </w:p>
    <w:p w14:paraId="1F065D9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3．须为法院受理破产申请前成立的对债务人享有的债权，债权的到期时间在所不问</w:t>
      </w:r>
    </w:p>
    <w:p w14:paraId="4E4DC64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4．须为平等民事主体之间的请求权。</w:t>
      </w:r>
    </w:p>
    <w:p w14:paraId="3979594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5．须为合法有效的债权。</w:t>
      </w:r>
    </w:p>
    <w:p w14:paraId="04BC48F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（二）可申报的范围</w:t>
      </w:r>
    </w:p>
    <w:p w14:paraId="58693C7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1．未到期的债权，在破产申请受理时视为到期。</w:t>
      </w:r>
    </w:p>
    <w:p w14:paraId="7A26E64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2．成立于破产程序开始前的无财产担保债权。</w:t>
      </w:r>
    </w:p>
    <w:p w14:paraId="0D91863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3．附条件、附期限的债权和诉讼、仲裁未决的债权，债权人可以申报。</w:t>
      </w:r>
    </w:p>
    <w:p w14:paraId="668A765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p>
    <w:p w14:paraId="2BA4CA0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eastAsia"/>
          <w:b/>
          <w:bCs/>
          <w:sz w:val="18"/>
          <w:szCs w:val="18"/>
          <w:u w:val="none"/>
          <w:lang w:val="en-US" w:eastAsia="zh-CN"/>
        </w:rPr>
      </w:pPr>
      <w:r>
        <w:rPr>
          <w:rFonts w:ascii="Times New Roman Regular" w:cs="Times New Roman Regular" w:hAnsi="Times New Roman Regular" w:hint="eastAsia"/>
          <w:b/>
          <w:bCs/>
          <w:sz w:val="18"/>
          <w:szCs w:val="18"/>
          <w:u w:val="none"/>
          <w:lang w:val="en-US" w:eastAsia="zh-CN"/>
        </w:rPr>
        <w:t>【考点16:重整、和解与清算程序】</w:t>
      </w:r>
    </w:p>
    <w:p w14:paraId="4F0A090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一、重整程序</w:t>
      </w:r>
    </w:p>
    <w:p w14:paraId="0058BD3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（一）重整申请</w:t>
      </w:r>
    </w:p>
    <w:p w14:paraId="4161A18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1．如果债务人具有破产原因或者有明显丧失清偿能力可能的，可以依照破产法进行重整。</w:t>
      </w:r>
    </w:p>
    <w:p w14:paraId="343E1DB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2．债权人申请对债务人进行破产清算的，在人民法院受理破产申请后、宣告债务人破产前，债务人可以向人民法院申请重整。</w:t>
      </w:r>
    </w:p>
    <w:p w14:paraId="285E532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3．债务人有权向法院申请重整，债权人可以向法院提出异议，由法院裁定，人民法院经审查认为重整申请符合本法规定的，应当裁定债务人重整。</w:t>
      </w:r>
    </w:p>
    <w:p w14:paraId="4F4BB77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（二）重整期间</w:t>
      </w:r>
    </w:p>
    <w:p w14:paraId="0379BF7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自人民法院裁定债务人重整之日起至重整程序终止，为重整期间。（考点）</w:t>
      </w:r>
    </w:p>
    <w:p w14:paraId="14FDB1B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注意1：法院裁定批准重整计划草案则重整程序终止。</w:t>
      </w:r>
    </w:p>
    <w:p w14:paraId="229909A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注意2：在重整期间，债务人或者管理人为继续营业而借款的，可以为该借款设定担保</w:t>
      </w:r>
    </w:p>
    <w:p w14:paraId="70530F1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（三）重整计划</w:t>
      </w:r>
    </w:p>
    <w:p w14:paraId="60BAD0F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1．计划制定：</w:t>
      </w:r>
    </w:p>
    <w:p w14:paraId="0B734E6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债务人自行管理财产和营业事务的，由债务人制作重整计划草案。管理人负责管理财产和营业事务的，由管理人制作重整计划草案</w:t>
      </w:r>
    </w:p>
    <w:p w14:paraId="4C66D0D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2．计划表决：</w:t>
      </w:r>
    </w:p>
    <w:p w14:paraId="3C72DE5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各类债权的债权人参加讨论重整计划草案的债权人会议，依照债权分类，分组对重整计划草案进行表决</w:t>
      </w:r>
    </w:p>
    <w:p w14:paraId="2B6E0C3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3．计划通过：</w:t>
      </w:r>
    </w:p>
    <w:p w14:paraId="59E07D2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出席会议的同一表决组的债权人过半数同意重整计划草案之外，还需满足其所代表的债权额占该组债权总额的三分之二以上，该组重整计划草案方能通过</w:t>
      </w:r>
    </w:p>
    <w:p w14:paraId="47D527C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4．各表决组均通过重整计划草案时，重整计划即为通过。</w:t>
      </w:r>
    </w:p>
    <w:p w14:paraId="3E169B9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5．（1）债务人不能执行或者不执行重整计划的，法院经管理人或者利害关系人请求，应当裁定终止重整计划的执行，并宣告债务人破产。</w:t>
      </w:r>
    </w:p>
    <w:p w14:paraId="7990F53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（2）法院裁定终止重整计划执行的，债权人在重整计划中作出的债权调整的承诺失去效力。债权人因执行重整计划所受的清偿仍然有效。</w:t>
      </w:r>
    </w:p>
    <w:p w14:paraId="1A1A6BB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（3）经人民法院裁定批准的重整计划，对债务人和全体债权人均有约束力</w:t>
      </w:r>
    </w:p>
    <w:p w14:paraId="4133AB7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二、和解程序</w:t>
      </w:r>
    </w:p>
    <w:p w14:paraId="3A47815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（一）和解协议的表决</w:t>
      </w:r>
    </w:p>
    <w:p w14:paraId="6D7017E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债权人会议通过和解协议的决议，由出席会议的有表决权的债权人过半数同意，并且其所代表的债权额占无财产担保债权总额的2/3以上。债权人会议通过和解协议的，由法院裁定认可，终止和解程序，并予以公告</w:t>
      </w:r>
    </w:p>
    <w:p w14:paraId="3964317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2．和解协议草案经债权人会议表决未获得通过，或者已经债权人会议通过的和解协议未获得法院认可的，法院应当裁定终止和解程序，并宣告债务人破产</w:t>
      </w:r>
    </w:p>
    <w:p w14:paraId="1482B5B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（二）和解协议的效力</w:t>
      </w:r>
    </w:p>
    <w:p w14:paraId="6CA2A7C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1．经法院裁定认可的和解协议，对债务人和全体和解债权人均有约束力。</w:t>
      </w:r>
    </w:p>
    <w:p w14:paraId="4DDDA8E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2．债务人不能执行或者不执行和解协议的，法院经和解债权人请求，应当裁定终止和解协议的执行，并宣告债务人破产。</w:t>
      </w:r>
    </w:p>
    <w:p w14:paraId="7829B91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3．法院裁定终止和解协议执行的，和解债权人在和解协议中作出的债权调整的承诺失去效力。</w:t>
      </w:r>
    </w:p>
    <w:p w14:paraId="3BB7F3E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4．和解债权人因执行和解协议所受的清偿仍然有效</w:t>
      </w:r>
    </w:p>
    <w:p w14:paraId="2762C8A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三、清算程序</w:t>
      </w:r>
    </w:p>
    <w:p w14:paraId="303ED5B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（一）破产宣告</w:t>
      </w:r>
    </w:p>
    <w:p w14:paraId="527FCB1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债务人一旦被宣告破产，则不可能再进入重整或者和解程序</w:t>
      </w:r>
    </w:p>
    <w:p w14:paraId="7BC7F0C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（二）别除权</w:t>
      </w:r>
    </w:p>
    <w:p w14:paraId="528AA8E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1．对破产人的特定财产享有担保权的权利人，对该特定财产享有优先受偿的权利。</w:t>
      </w:r>
    </w:p>
    <w:p w14:paraId="7319E80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2．当别除权标的物不足清偿被担保的全部债务时，别除权人不得就未足额清偿部分请求由破产财产获得优先清偿，而只能作为普通破产债权参加集体清偿</w:t>
      </w:r>
    </w:p>
    <w:p w14:paraId="74623EB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（三）清偿顺序</w:t>
      </w:r>
    </w:p>
    <w:p w14:paraId="6B98EF8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破产财产在优先清偿破产费用和共益债务后，依照下列顺序清偿：</w:t>
      </w:r>
    </w:p>
    <w:p w14:paraId="5BB376D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1．破产人所欠职工的工资和医疗、伤残补助、抚恤费用，所欠的应当划入职工个人账户的基本养老保险、基本医疗保险费用，以及法律、行政法规规定应当支付给职工的补偿金；</w:t>
      </w:r>
    </w:p>
    <w:p w14:paraId="7FB89C4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2．破产人欠缴的除前项规定以外的社会保险费用和破产人所欠税款；</w:t>
      </w:r>
    </w:p>
    <w:p w14:paraId="58D3EDD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3．普通破产债权。</w:t>
      </w:r>
    </w:p>
    <w:p w14:paraId="47A40FB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p>
    <w:p w14:paraId="4D620F7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eastAsia"/>
          <w:b/>
          <w:bCs/>
          <w:sz w:val="18"/>
          <w:szCs w:val="18"/>
          <w:u w:val="none"/>
          <w:lang w:val="en-US" w:eastAsia="zh-CN"/>
        </w:rPr>
      </w:pPr>
      <w:r>
        <w:rPr>
          <w:rFonts w:ascii="Times New Roman Regular" w:cs="Times New Roman Regular" w:hAnsi="Times New Roman Regular" w:hint="eastAsia"/>
          <w:b/>
          <w:bCs/>
          <w:sz w:val="18"/>
          <w:szCs w:val="18"/>
          <w:u w:val="none"/>
          <w:lang w:val="en-US" w:eastAsia="zh-CN"/>
        </w:rPr>
        <w:t>【考点17:保险合同的解除】</w:t>
      </w:r>
    </w:p>
    <w:p w14:paraId="0FA879D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一、</w:t>
      </w:r>
      <w:r>
        <w:rPr>
          <w:rFonts w:ascii="Times New Roman Regular" w:cs="Times New Roman Regular" w:hAnsi="Times New Roman Regular" w:hint="default"/>
          <w:b w:val="false"/>
          <w:bCs w:val="false"/>
          <w:sz w:val="18"/>
          <w:szCs w:val="18"/>
          <w:u w:val="none"/>
          <w:lang w:val="en-US" w:eastAsia="zh-CN"/>
        </w:rPr>
        <w:t>原则</w:t>
      </w:r>
    </w:p>
    <w:p w14:paraId="6329D4E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除保险法另有规定或者保险合同另有约定外，保险合同成立后，投保人可以解除保险合同，保险人不得解除保险合同</w:t>
      </w:r>
    </w:p>
    <w:p w14:paraId="5D7615A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二、</w:t>
      </w:r>
      <w:r>
        <w:rPr>
          <w:rFonts w:ascii="Times New Roman Regular" w:cs="Times New Roman Regular" w:hAnsi="Times New Roman Regular" w:hint="default"/>
          <w:b w:val="false"/>
          <w:bCs w:val="false"/>
          <w:sz w:val="18"/>
          <w:szCs w:val="18"/>
          <w:u w:val="none"/>
          <w:lang w:val="en-US" w:eastAsia="zh-CN"/>
        </w:rPr>
        <w:t>保险人解除保险合同的条件</w:t>
      </w:r>
    </w:p>
    <w:p w14:paraId="3D5E2E0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1．未履行如实告知义务：</w:t>
      </w:r>
    </w:p>
    <w:p w14:paraId="42DC02C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投保人故意或者因重大过失未履行如实告知义务，足以影响保险人决定是否同意承保或者提高保险费率的，保险人有权解除合同。</w:t>
      </w:r>
    </w:p>
    <w:p w14:paraId="2307F1E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（1）投保人故意不履行如实告知义务的，保险人对于合同解除前发生的保险事故，不承担赔偿或者给付保险金的责任，不退还保险费。（不赔不退）</w:t>
      </w:r>
    </w:p>
    <w:p w14:paraId="6A9E6FF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（2）投保人因重大过失未履行如实告知义务，对保险事故的发生有严重影响的，保险人对于合同解除前发生的保险事故，不承担赔偿或者给付保险金的责任，但应当退还保险费。（不赔要退）</w:t>
      </w:r>
    </w:p>
    <w:p w14:paraId="2435504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2．谎报、虚报保险事故</w:t>
      </w:r>
    </w:p>
    <w:p w14:paraId="6D4D685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3．故意制造保险事故</w:t>
      </w:r>
    </w:p>
    <w:p w14:paraId="5FFC5EF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4．未尽到安全义务</w:t>
      </w:r>
    </w:p>
    <w:p w14:paraId="66F9D3B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5．危险程度增加未告知</w:t>
      </w:r>
    </w:p>
    <w:p w14:paraId="2926444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三、</w:t>
      </w:r>
      <w:r>
        <w:rPr>
          <w:rFonts w:ascii="Times New Roman Regular" w:cs="Times New Roman Regular" w:hAnsi="Times New Roman Regular" w:hint="default"/>
          <w:b w:val="false"/>
          <w:bCs w:val="false"/>
          <w:sz w:val="18"/>
          <w:szCs w:val="18"/>
          <w:u w:val="none"/>
          <w:lang w:val="en-US" w:eastAsia="zh-CN"/>
        </w:rPr>
        <w:t>保险人解除合同的限制</w:t>
      </w:r>
    </w:p>
    <w:p w14:paraId="0A10B3B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不可抗辩：投保人不履行如实告知义务的，保险人的解除权自知道有解除事由之日起，超过三十日不行使而消灭。自合同成立之日起超过二年的，保险人不得解除合同；发生保险事故的，保险人应当承担赔偿或者给付保险金的责任。</w:t>
      </w:r>
    </w:p>
    <w:p w14:paraId="466C1F1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2.禁止反言：保险人在合同订立时已经知道投保人未如实告知的情况的，保险人不得解除合同；发生保险事故的，保险人应当承担赔偿或者给付保险金的责任。</w:t>
      </w:r>
    </w:p>
    <w:p w14:paraId="09633C3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p>
    <w:p w14:paraId="676B32F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bCs/>
          <w:sz w:val="18"/>
          <w:szCs w:val="18"/>
          <w:u w:val="none"/>
          <w:lang w:val="en-US" w:eastAsia="zh-CN"/>
        </w:rPr>
      </w:pPr>
      <w:r>
        <w:rPr>
          <w:rFonts w:ascii="Times New Roman Regular" w:cs="Times New Roman Regular" w:hAnsi="Times New Roman Regular" w:hint="eastAsia"/>
          <w:b/>
          <w:bCs/>
          <w:sz w:val="18"/>
          <w:szCs w:val="18"/>
          <w:u w:val="none"/>
          <w:lang w:val="en-US" w:eastAsia="zh-CN"/>
        </w:rPr>
        <w:t>【考点18:财产保险合同】</w:t>
      </w:r>
    </w:p>
    <w:p w14:paraId="316D8DD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一、施救费用的规定</w:t>
      </w:r>
    </w:p>
    <w:p w14:paraId="77862CA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施救费用的承担</w:t>
      </w:r>
    </w:p>
    <w:p w14:paraId="6B6FAD7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1．保险事故发生时，被保险人有责任尽力采取必要的措施，防止或者减少损失。</w:t>
      </w:r>
    </w:p>
    <w:p w14:paraId="4C28E26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保险事故发生后，被保险人请求保险人承担为防止或者减少保险标的的损失所支付的必要、合理费用，保险人以被保险人采取的措施未产生实际效果为由抗辩的，人民法院不予支持</w:t>
      </w:r>
    </w:p>
    <w:p w14:paraId="17FE565C">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2．保险事故发生后，被保险人为防止或者减少保险标的的损失所支付的必要的、合理的费用，由保险人承担</w:t>
      </w:r>
    </w:p>
    <w:p w14:paraId="1112AF6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3．保险人所承担的数额在保险标的损失赔偿金额以外另行计算，最高不超过保险金额的数额</w:t>
      </w:r>
    </w:p>
    <w:p w14:paraId="7CDDC84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二、代位求偿</w:t>
      </w:r>
    </w:p>
    <w:p w14:paraId="2DC3285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（一）</w:t>
      </w:r>
      <w:r>
        <w:rPr>
          <w:rFonts w:ascii="Times New Roman Regular" w:cs="Times New Roman Regular" w:hAnsi="Times New Roman Regular" w:hint="default"/>
          <w:b w:val="false"/>
          <w:bCs w:val="false"/>
          <w:sz w:val="18"/>
          <w:szCs w:val="18"/>
          <w:u w:val="none"/>
          <w:lang w:val="en-US" w:eastAsia="zh-CN"/>
        </w:rPr>
        <w:t>规则</w:t>
      </w:r>
    </w:p>
    <w:p w14:paraId="4516A4B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1．保险事故是由第三人的行为引起</w:t>
      </w:r>
    </w:p>
    <w:p w14:paraId="11423B1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2．保险公司已向被保险人支付赔偿</w:t>
      </w:r>
    </w:p>
    <w:p w14:paraId="23EE429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3．保险公司行使代位求偿权的数额以给付的保险金为限</w:t>
      </w:r>
    </w:p>
    <w:p w14:paraId="303BEB1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4．被保险人已经从第三者取得损害赔偿的，保险人赔偿保险金时，可以相应扣减被保险人从第三者已取得的赔偿金额</w:t>
      </w:r>
    </w:p>
    <w:p w14:paraId="00109F5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5．保险人行使代位请求赔偿的权利，不影响被保险人就未取得赔偿的部分向第三者请求赔偿的权利</w:t>
      </w:r>
    </w:p>
    <w:p w14:paraId="2DBD9D8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（二）</w:t>
      </w:r>
      <w:r>
        <w:rPr>
          <w:rFonts w:ascii="Times New Roman Regular" w:cs="Times New Roman Regular" w:hAnsi="Times New Roman Regular" w:hint="default"/>
          <w:b w:val="false"/>
          <w:bCs w:val="false"/>
          <w:sz w:val="18"/>
          <w:szCs w:val="18"/>
          <w:u w:val="none"/>
          <w:lang w:val="en-US" w:eastAsia="zh-CN"/>
        </w:rPr>
        <w:t>被保险人弃权的后果</w:t>
      </w:r>
    </w:p>
    <w:p w14:paraId="0AFBA6A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1.</w:t>
      </w:r>
      <w:r>
        <w:rPr>
          <w:rFonts w:ascii="Times New Roman Regular" w:cs="Times New Roman Regular" w:hAnsi="Times New Roman Regular" w:hint="default"/>
          <w:b w:val="false"/>
          <w:bCs w:val="false"/>
          <w:sz w:val="18"/>
          <w:szCs w:val="18"/>
          <w:u w:val="none"/>
          <w:lang w:val="en-US" w:eastAsia="zh-CN"/>
        </w:rPr>
        <w:t>保险人赔偿前</w:t>
      </w:r>
      <w:r>
        <w:rPr>
          <w:rFonts w:ascii="Times New Roman Regular" w:cs="Times New Roman Regular" w:hAnsi="Times New Roman Regular" w:hint="eastAsia"/>
          <w:b w:val="false"/>
          <w:bCs w:val="false"/>
          <w:sz w:val="18"/>
          <w:szCs w:val="18"/>
          <w:u w:val="none"/>
          <w:lang w:val="en-US" w:eastAsia="zh-CN"/>
        </w:rPr>
        <w:t>：保</w:t>
      </w:r>
      <w:r>
        <w:rPr>
          <w:rFonts w:ascii="Times New Roman Regular" w:cs="Times New Roman Regular" w:hAnsi="Times New Roman Regular" w:hint="default"/>
          <w:b w:val="false"/>
          <w:bCs w:val="false"/>
          <w:sz w:val="18"/>
          <w:szCs w:val="18"/>
          <w:u w:val="none"/>
          <w:lang w:val="en-US" w:eastAsia="zh-CN"/>
        </w:rPr>
        <w:t>险事故发生后，保险人未赔偿保险金之前，被保险人放弃对第三者的请求赔偿的权利的，保险人不承担赔偿保险金的责任</w:t>
      </w:r>
    </w:p>
    <w:p w14:paraId="3990956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2.</w:t>
      </w:r>
      <w:r>
        <w:rPr>
          <w:rFonts w:ascii="Times New Roman Regular" w:cs="Times New Roman Regular" w:hAnsi="Times New Roman Regular" w:hint="default"/>
          <w:b w:val="false"/>
          <w:bCs w:val="false"/>
          <w:sz w:val="18"/>
          <w:szCs w:val="18"/>
          <w:u w:val="none"/>
          <w:lang w:val="en-US" w:eastAsia="zh-CN"/>
        </w:rPr>
        <w:t>保险人赔偿后</w:t>
      </w:r>
      <w:r>
        <w:rPr>
          <w:rFonts w:ascii="Times New Roman Regular" w:cs="Times New Roman Regular" w:hAnsi="Times New Roman Regular" w:hint="eastAsia"/>
          <w:b w:val="false"/>
          <w:bCs w:val="false"/>
          <w:sz w:val="18"/>
          <w:szCs w:val="18"/>
          <w:u w:val="none"/>
          <w:lang w:val="en-US" w:eastAsia="zh-CN"/>
        </w:rPr>
        <w:t>：</w:t>
      </w:r>
      <w:r>
        <w:rPr>
          <w:rFonts w:ascii="Times New Roman Regular" w:cs="Times New Roman Regular" w:hAnsi="Times New Roman Regular" w:hint="default"/>
          <w:b w:val="false"/>
          <w:bCs w:val="false"/>
          <w:sz w:val="18"/>
          <w:szCs w:val="18"/>
          <w:u w:val="none"/>
          <w:lang w:val="en-US" w:eastAsia="zh-CN"/>
        </w:rPr>
        <w:t>保险人向被保险人赔偿保险金后，被保险人未经保险人同意放弃对第三者请求赔偿的权利的，该行为无效</w:t>
      </w:r>
    </w:p>
    <w:p w14:paraId="7F4E4DC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（三）</w:t>
      </w:r>
      <w:r>
        <w:rPr>
          <w:rFonts w:ascii="Times New Roman Regular" w:cs="Times New Roman Regular" w:hAnsi="Times New Roman Regular" w:hint="default"/>
          <w:b w:val="false"/>
          <w:bCs w:val="false"/>
          <w:sz w:val="18"/>
          <w:szCs w:val="18"/>
          <w:u w:val="none"/>
          <w:lang w:val="en-US" w:eastAsia="zh-CN"/>
        </w:rPr>
        <w:t>例外</w:t>
      </w:r>
    </w:p>
    <w:p w14:paraId="25CD6C2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保险人不得对被保险人的家庭成员或者其组成人员行使代位请求赔偿的权利，除非是被保险人的家庭成员或者其组成人员故意造成这种保险事故</w:t>
      </w:r>
    </w:p>
    <w:p w14:paraId="60525E5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p>
    <w:p w14:paraId="549F4B4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eastAsia"/>
          <w:b/>
          <w:bCs/>
          <w:sz w:val="18"/>
          <w:szCs w:val="18"/>
          <w:u w:val="none"/>
          <w:lang w:val="en-US" w:eastAsia="zh-CN"/>
        </w:rPr>
      </w:pPr>
      <w:r>
        <w:rPr>
          <w:rFonts w:ascii="Times New Roman Regular" w:cs="Times New Roman Regular" w:hAnsi="Times New Roman Regular" w:hint="eastAsia"/>
          <w:b/>
          <w:bCs/>
          <w:sz w:val="18"/>
          <w:szCs w:val="18"/>
          <w:u w:val="none"/>
          <w:lang w:val="en-US" w:eastAsia="zh-CN"/>
        </w:rPr>
        <w:t>【考点19:人身保险合同】</w:t>
      </w:r>
    </w:p>
    <w:p w14:paraId="5F010F9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一、</w:t>
      </w:r>
      <w:r>
        <w:rPr>
          <w:rFonts w:ascii="Times New Roman Regular" w:cs="Times New Roman Regular" w:hAnsi="Times New Roman Regular" w:hint="default"/>
          <w:b w:val="false"/>
          <w:bCs w:val="false"/>
          <w:sz w:val="18"/>
          <w:szCs w:val="18"/>
          <w:u w:val="none"/>
          <w:lang w:val="en-US" w:eastAsia="zh-CN"/>
        </w:rPr>
        <w:t>人身保险合同的受益人</w:t>
      </w:r>
    </w:p>
    <w:p w14:paraId="29EBD57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（一）指定</w:t>
      </w:r>
    </w:p>
    <w:p w14:paraId="016D2EF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人身保险的受益人由被保险人或者投保人指定。投保人指定受益人时须经被保险人同意，否则无效</w:t>
      </w:r>
    </w:p>
    <w:p w14:paraId="6FCE3C1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（二）变更</w:t>
      </w:r>
    </w:p>
    <w:p w14:paraId="0DC275D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1．投保人变更受益人未经被保险人同意的无效。</w:t>
      </w:r>
    </w:p>
    <w:p w14:paraId="2D0B820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2．投保人或者被保险人变更受益人未通知保险人，对保险人不发生效力。</w:t>
      </w:r>
    </w:p>
    <w:p w14:paraId="720B559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3．投保人或者被保险人变更受益人，当事人主张变更行为自变更意思表示发出时生效的，人民法院应予支持。</w:t>
      </w:r>
    </w:p>
    <w:p w14:paraId="0E7ED19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4．投保人或者被保险人在保险事故发生后变更受益人，变更后的受益人请求保险人给付保险金的，人民法院不予支持。</w:t>
      </w:r>
    </w:p>
    <w:p w14:paraId="509FFD6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二、</w:t>
      </w:r>
      <w:r>
        <w:rPr>
          <w:rFonts w:ascii="Times New Roman Regular" w:cs="Times New Roman Regular" w:hAnsi="Times New Roman Regular" w:hint="default"/>
          <w:b w:val="false"/>
          <w:bCs w:val="false"/>
          <w:sz w:val="18"/>
          <w:szCs w:val="18"/>
          <w:u w:val="none"/>
          <w:lang w:val="en-US" w:eastAsia="zh-CN"/>
        </w:rPr>
        <w:t>死亡保险被保险人的资格</w:t>
      </w:r>
    </w:p>
    <w:p w14:paraId="19154A7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1．投保人不得为无民事行为能力人投保以死亡为给付保险金条件的人身保险，保险人也不得承保。</w:t>
      </w:r>
    </w:p>
    <w:p w14:paraId="2E6AE77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2．父母为其未成年子女投保的人身保险，不受上述规定限制，但是死亡给付保险金额总和不得超过保险监督管理机构规定的限额。</w:t>
      </w:r>
    </w:p>
    <w:p w14:paraId="0F88784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三</w:t>
      </w:r>
      <w:r>
        <w:rPr>
          <w:rFonts w:ascii="Times New Roman Regular" w:cs="Times New Roman Regular" w:hAnsi="Times New Roman Regular" w:hint="default"/>
          <w:b w:val="false"/>
          <w:bCs w:val="false"/>
          <w:sz w:val="18"/>
          <w:szCs w:val="18"/>
          <w:u w:val="none"/>
          <w:lang w:val="en-US" w:eastAsia="zh-CN"/>
        </w:rPr>
        <w:t>、年龄误报</w:t>
      </w:r>
    </w:p>
    <w:p w14:paraId="16170D0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1.不符合承保条件：投保人申报的被保险人年龄不真实，并且其真实年龄不符合合同约定的年龄限制的，保险人可以解除合同，并按照合同约定退还保险单的现金价值，但是自合同成立之日起逾二年的除外</w:t>
      </w:r>
    </w:p>
    <w:p w14:paraId="626443D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2.年龄说小：投保人申报的被保险人年龄不真实，致使投保人支付的保险费少于应付保险费的，保险人有权更正并要求投保人补交保险费，或者在给付保险金时按照实付保险费与应付保险费的比例支付</w:t>
      </w:r>
    </w:p>
    <w:p w14:paraId="03B2076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3.年龄说大：投保人申报的被保险人年龄不真实，致使投保人实付保险费多于应付保险费的，保险人应当将多收的保险费退还投保人</w:t>
      </w:r>
    </w:p>
    <w:p w14:paraId="47BF924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四</w:t>
      </w:r>
      <w:r>
        <w:rPr>
          <w:rFonts w:ascii="Times New Roman Regular" w:cs="Times New Roman Regular" w:hAnsi="Times New Roman Regular" w:hint="default"/>
          <w:b w:val="false"/>
          <w:bCs w:val="false"/>
          <w:sz w:val="18"/>
          <w:szCs w:val="18"/>
          <w:u w:val="none"/>
          <w:lang w:val="en-US" w:eastAsia="zh-CN"/>
        </w:rPr>
        <w:t>、保险费的缴纳与合同的效力</w:t>
      </w:r>
    </w:p>
    <w:p w14:paraId="5621449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（一）保险合同的中止</w:t>
      </w:r>
    </w:p>
    <w:p w14:paraId="2BB2DAD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合同约定分期支付保险费，投保人支付首期保险费后，除合同另有约定外，投保人自保险人催告之日起超过三十日未支付当期保险费，或者超过约定的期限六十日未支付当期保险费的，合同效力中止，或者由保险人按照合同约定的条件减少保险金额</w:t>
      </w:r>
    </w:p>
    <w:p w14:paraId="74F4682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（二）保险合同的复效与解除</w:t>
      </w:r>
    </w:p>
    <w:p w14:paraId="53DFF31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1．依照上述规定合同效力中止的，投保人提出恢复效力申请并同意补交保险费，除被保险人的危险程度在中止期间显著增加外，保险人拒绝恢复效力的，人民法院不予支持。</w:t>
      </w:r>
    </w:p>
    <w:p w14:paraId="2FD637D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2．保险人在收到恢复效力申请后，三十日内未明确拒绝的，应认定为同意恢复效力。</w:t>
      </w:r>
    </w:p>
    <w:p w14:paraId="6B4E69E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3．保险合同自投保人补交保险费之日恢复效力。保险人要求投保人补交相应利息的，人民法院应予支持。</w:t>
      </w:r>
    </w:p>
    <w:p w14:paraId="6CCF9AE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4．但是，自合同效力中止之日起2年内双方未达成协议的，保险人有权解除合同</w:t>
      </w:r>
    </w:p>
    <w:p w14:paraId="0F35C77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五</w:t>
      </w:r>
      <w:r>
        <w:rPr>
          <w:rFonts w:ascii="Times New Roman Regular" w:cs="Times New Roman Regular" w:hAnsi="Times New Roman Regular" w:hint="default"/>
          <w:b w:val="false"/>
          <w:bCs w:val="false"/>
          <w:sz w:val="18"/>
          <w:szCs w:val="18"/>
          <w:u w:val="none"/>
          <w:lang w:val="en-US" w:eastAsia="zh-CN"/>
        </w:rPr>
        <w:t>、人身保险合同的法定除外责任</w:t>
      </w:r>
    </w:p>
    <w:p w14:paraId="1D5A6D4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（一）投保人和受益人的过错行为</w:t>
      </w:r>
    </w:p>
    <w:p w14:paraId="2042CF1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1．投保人故意造成被保险人死亡、伤残或者疾病的，保险人不承担给付保险金的责任</w:t>
      </w:r>
    </w:p>
    <w:p w14:paraId="2016650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2．受益人故意造成被保险人死亡、伤残、疾病的，或者故意杀害被保险人未遂的，该受益人丧失受益权</w:t>
      </w:r>
    </w:p>
    <w:p w14:paraId="282ADD0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（二）被保险人的自杀行为</w:t>
      </w:r>
    </w:p>
    <w:p w14:paraId="7B609A6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以被保险人死亡为给付保险金条件的合同，自合同成立或者合同效力恢复之日起二年内，被保险人自杀的，保险人不承担给付保险金的责任，但被保险人自杀时为无民事行为能力人的除外。</w:t>
      </w:r>
    </w:p>
    <w:p w14:paraId="281F80E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p>
    <w:p w14:paraId="12A40A9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eastAsia"/>
          <w:b/>
          <w:bCs/>
          <w:sz w:val="18"/>
          <w:szCs w:val="18"/>
          <w:u w:val="none"/>
          <w:lang w:val="en-US" w:eastAsia="zh-CN"/>
        </w:rPr>
      </w:pPr>
      <w:r>
        <w:rPr>
          <w:rFonts w:ascii="Times New Roman Regular" w:cs="Times New Roman Regular" w:hAnsi="Times New Roman Regular" w:hint="eastAsia"/>
          <w:b/>
          <w:bCs/>
          <w:sz w:val="18"/>
          <w:szCs w:val="18"/>
          <w:u w:val="none"/>
          <w:lang w:val="en-US" w:eastAsia="zh-CN"/>
        </w:rPr>
        <w:t>【考点20:票据法】</w:t>
      </w:r>
    </w:p>
    <w:p w14:paraId="3D0114F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一、票据的种类：汇票、本票、支票</w:t>
      </w:r>
    </w:p>
    <w:p w14:paraId="23E6D72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二、票据行为</w:t>
      </w:r>
    </w:p>
    <w:p w14:paraId="0005654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（一）出票：出票是指出票人签发票据并将其交付给收款人的票据行为。</w:t>
      </w:r>
    </w:p>
    <w:p w14:paraId="5AD5181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（二）背书：背书是指在票据背面或粘单上记载有关事项并签章的票据行为</w:t>
      </w:r>
    </w:p>
    <w:p w14:paraId="3504D4F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1.出票人的限制背书：出票人在汇票上记载“不得转让”字样的，汇票不得转让</w:t>
      </w:r>
    </w:p>
    <w:p w14:paraId="7543F27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2.背书人的限制背书：背书人在汇票上记载“不得转让”字样，其后手再背书转让的，原背书人对后手的被背书人不承担保证责任</w:t>
      </w:r>
    </w:p>
    <w:p w14:paraId="3B5ECE3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3.附条件背书：背书不得附有条件，背书时附有条件的，所附条件不具有汇票上的效力。</w:t>
      </w:r>
    </w:p>
    <w:p w14:paraId="2734C7C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4.部分背书和分别背书：将汇票金额的一部分转让的背书或者将汇票金额分别转让给二人以上的背书无效</w:t>
      </w:r>
    </w:p>
    <w:p w14:paraId="0680ABF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5.期后背书：汇票被拒绝承兑、被拒绝付款或者超过付款提示期限的，不得背书转让；背书转让的，背书人应当承担汇票责任。</w:t>
      </w:r>
    </w:p>
    <w:p w14:paraId="17D8EE8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6.回头背书</w:t>
      </w:r>
    </w:p>
    <w:p w14:paraId="36F62C1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持票人为出票人的，对其前手无追索权。持票人为背书人的，对其后手无追索权。</w:t>
      </w:r>
    </w:p>
    <w:p w14:paraId="6D4399A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（三）承兑</w:t>
      </w:r>
    </w:p>
    <w:p w14:paraId="09CE247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付款人承兑汇票后，应当承担到期付款的责任</w:t>
      </w:r>
    </w:p>
    <w:p w14:paraId="4E1B592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附条件承兑：承兑不得附有条件（部分承兑亦视为附条件），附条件则视为拒绝承兑</w:t>
      </w:r>
    </w:p>
    <w:p w14:paraId="7D7A69E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（四）保证</w:t>
      </w:r>
    </w:p>
    <w:p w14:paraId="01E010A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保证人与被保证人之间以及保证人之间就票据债务负连带责任</w:t>
      </w:r>
    </w:p>
    <w:p w14:paraId="7F5AFAB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三、票据权利</w:t>
      </w:r>
    </w:p>
    <w:p w14:paraId="290203C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（一）种类：付款请求权和追索权</w:t>
      </w:r>
    </w:p>
    <w:p w14:paraId="0D779AE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（二）条件</w:t>
      </w:r>
    </w:p>
    <w:p w14:paraId="63349CC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1．取得方式合法；</w:t>
      </w:r>
    </w:p>
    <w:p w14:paraId="18B945E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（1）以欺诈、偷盗或者胁迫等手段取得票据的，或者明知有前列情形，出于恶意取得票据的，不得享有票据权利。</w:t>
      </w:r>
    </w:p>
    <w:p w14:paraId="4168553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（2）持票人因重大过失取得不符合本法规定的票据的，也不得享有票据权利</w:t>
      </w:r>
    </w:p>
    <w:p w14:paraId="5C5A3A2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2．主观为善意</w:t>
      </w:r>
    </w:p>
    <w:p w14:paraId="0B41D77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3．支付对价</w:t>
      </w:r>
    </w:p>
    <w:p w14:paraId="1571931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注意：因税收、继承、赠与可以依法无偿取得票据的，不受给付对价的限制。但是，所享有的票据权利不得优于其前手的权利</w:t>
      </w:r>
    </w:p>
    <w:p w14:paraId="071848B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（三）票据的对人抗辩</w:t>
      </w:r>
    </w:p>
    <w:p w14:paraId="6694C1C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在原因关系不存在、无效或消灭的情形下，票据债务人可对有直接原因关系的票据权利人进行抗辩；2．票据债务人可对有直接债权债务关系且未履行约定的持票人进行抗辩；3．持票人以欺诈、偷盗、胁迫等非法手段取得票据，或明知有此类情形仍恶意取得票据；4．持票人明知票据债务人与出票人或与持票人前手之间存在抗辩事由而取得票据；5．持票人以重大过失取得票据</w:t>
      </w:r>
    </w:p>
    <w:p w14:paraId="6E09595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（四）追索权</w:t>
      </w:r>
    </w:p>
    <w:p w14:paraId="162BE41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汇票到期被拒绝付款的，持票人可以对背书人、出票人以及汇票的其他债务人行使追索权</w:t>
      </w:r>
    </w:p>
    <w:p w14:paraId="176B8E9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p>
    <w:p w14:paraId="12173C59">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eastAsia"/>
          <w:b/>
          <w:bCs/>
          <w:sz w:val="18"/>
          <w:szCs w:val="18"/>
          <w:u w:val="none"/>
          <w:lang w:val="en-US" w:eastAsia="zh-CN"/>
        </w:rPr>
      </w:pPr>
      <w:r>
        <w:rPr>
          <w:rFonts w:ascii="Times New Roman Regular" w:cs="Times New Roman Regular" w:hAnsi="Times New Roman Regular" w:hint="eastAsia"/>
          <w:b/>
          <w:bCs/>
          <w:sz w:val="18"/>
          <w:szCs w:val="18"/>
          <w:u w:val="none"/>
          <w:lang w:val="en-US" w:eastAsia="zh-CN"/>
        </w:rPr>
        <w:t>【考点21:证券法】</w:t>
      </w:r>
    </w:p>
    <w:p w14:paraId="37934DA8">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eastAsia"/>
          <w:b w:val="false"/>
          <w:bCs w:val="false"/>
          <w:sz w:val="18"/>
          <w:szCs w:val="18"/>
          <w:u w:val="none"/>
          <w:lang w:val="en-US" w:eastAsia="zh-CN"/>
        </w:rPr>
        <w:t>一</w:t>
      </w:r>
      <w:r>
        <w:rPr>
          <w:rFonts w:ascii="Times New Roman Regular" w:cs="Times New Roman Regular" w:hAnsi="Times New Roman Regular" w:hint="default"/>
          <w:b w:val="false"/>
          <w:bCs w:val="false"/>
          <w:sz w:val="18"/>
          <w:szCs w:val="18"/>
          <w:u w:val="none"/>
          <w:lang w:val="en-US" w:eastAsia="zh-CN"/>
        </w:rPr>
        <w:t>、证券公司的业务</w:t>
      </w:r>
    </w:p>
    <w:p w14:paraId="63F6C09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1．证券公司除依照规定为其客户提供融资融券外，不得为其股东或者股东的关联人提供融资或者担保</w:t>
      </w:r>
    </w:p>
    <w:p w14:paraId="17DE4906">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2．证券公司不得将其自营账户借给他人使用</w:t>
      </w:r>
    </w:p>
    <w:p w14:paraId="2239BAE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3．禁止任何单位或者个人以任何形式挪用客户的交易结算资金和证券</w:t>
      </w:r>
    </w:p>
    <w:p w14:paraId="5CDF83E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4．证券公司办理经纪业务，不得接受客户的全权委托而决定证券买卖、选择证券种类、决定买卖数量或者买卖价格。证券公司不得允许他人以证券公司的名义直接参与证券的集中交易</w:t>
      </w:r>
    </w:p>
    <w:p w14:paraId="53FC827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5．证券公司不得对客户证券买卖的收益或者赔偿证券买卖的损失作出承诺</w:t>
      </w:r>
    </w:p>
    <w:p w14:paraId="0AF1016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6．证券公司的从业人员不得私下接受客户委托买卖证券</w:t>
      </w:r>
    </w:p>
    <w:p w14:paraId="0EB64AC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二、证券</w:t>
      </w:r>
      <w:r>
        <w:rPr>
          <w:rFonts w:ascii="Times New Roman Regular" w:cs="Times New Roman Regular" w:hAnsi="Times New Roman Regular" w:hint="eastAsia"/>
          <w:b w:val="false"/>
          <w:bCs w:val="false"/>
          <w:sz w:val="18"/>
          <w:szCs w:val="18"/>
          <w:u w:val="none"/>
          <w:lang w:val="en-US" w:eastAsia="zh-CN"/>
        </w:rPr>
        <w:t>发行</w:t>
      </w:r>
    </w:p>
    <w:p w14:paraId="4D370E6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（一）发行方式</w:t>
      </w:r>
    </w:p>
    <w:p w14:paraId="2735103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1．公开发行证券，必须符合法律、行政法规规定的条件，并依法报经国务院证券监督管理机构或者国务院授权的部门注册。未经依法注册，任何单位和个人不得公开发行证券</w:t>
      </w:r>
    </w:p>
    <w:p w14:paraId="69F37F9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2．有下列情形之一的，为公开发行：</w:t>
      </w:r>
    </w:p>
    <w:p w14:paraId="32268EE2">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（1）向不特定对象发行证券；</w:t>
      </w:r>
    </w:p>
    <w:p w14:paraId="078FB01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（2）向特定对象发行证券累计超过二百人，但依法实施员工持股计划的员工人数不计算在内；</w:t>
      </w:r>
    </w:p>
    <w:p w14:paraId="0E70101D">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（3）法律、行政法规规定的其他发行行为</w:t>
      </w:r>
    </w:p>
    <w:p w14:paraId="5F805EA4">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（二）发行条件与规则</w:t>
      </w:r>
    </w:p>
    <w:p w14:paraId="7E57749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1．公司对公开发行股票所募集资金，必须按照招股说明书或者其他公开发行的募集文件所列资金用途使用；改变资金用途，必须经股东大会作出决议。</w:t>
      </w:r>
    </w:p>
    <w:p w14:paraId="50AF7CC5">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擅自改变用途，未作纠正的，或者未经股东会认可的，不得公开发行新股</w:t>
      </w:r>
    </w:p>
    <w:p w14:paraId="71E721F0">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2．国务院证券监督管理机构或者国务院授权的部门依照法定条件负责证券发行申请的注册。</w:t>
      </w:r>
    </w:p>
    <w:p w14:paraId="1F2B8857">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按照国务院的规定，证券交易所等可以审核公开发行证券申请，判断发行人是否符合发行条件、信息披露要求，督促发行人完善信息披露内容。</w:t>
      </w:r>
    </w:p>
    <w:p w14:paraId="5D31F04E">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依照前两款规定参与证券发行申请注册的人员，不得与发行申请人有利害关系，不得直接或者间接接受发行申请人的馈赠，不得持有所注册的发行申请的证券，不得私下与发行申请人进行接触</w:t>
      </w:r>
    </w:p>
    <w:p w14:paraId="2E307B5F">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3．股票依法发行后，发行人经营与收益的变化，由发行人自行负责；由此变化引致的投资风险，由投资者自行负责</w:t>
      </w:r>
    </w:p>
    <w:p w14:paraId="55E22043">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（三）承销</w:t>
      </w:r>
    </w:p>
    <w:p w14:paraId="6017ADEA">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1.发行人向不特定对象发行的证券，法律、行政法规规定应当由证券公司承销的，发行人应当同证券公司签订承销协议。证券承销业务采取代销或者包销方式</w:t>
      </w:r>
    </w:p>
    <w:p w14:paraId="19A1B131">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r>
        <w:rPr>
          <w:rFonts w:ascii="Times New Roman Regular" w:cs="Times New Roman Regular" w:hAnsi="Times New Roman Regular" w:hint="default"/>
          <w:b w:val="false"/>
          <w:bCs w:val="false"/>
          <w:sz w:val="18"/>
          <w:szCs w:val="18"/>
          <w:u w:val="none"/>
          <w:lang w:val="en-US" w:eastAsia="zh-CN"/>
        </w:rPr>
        <w:t>2.证券的代销、包销期限最长不得超过九十日。</w:t>
      </w:r>
    </w:p>
    <w:p w14:paraId="790822FB">
      <w:pPr>
        <w:pStyle w:val="style0"/>
        <w:keepNext w:val="false"/>
        <w:keepLines w:val="false"/>
        <w:pageBreakBefore w:val="false"/>
        <w:widowControl w:val="false"/>
        <w:kinsoku/>
        <w:wordWrap/>
        <w:overflowPunct/>
        <w:topLinePunct w:val="false"/>
        <w:autoSpaceDE/>
        <w:autoSpaceDN/>
        <w:bidi w:val="false"/>
        <w:adjustRightInd/>
        <w:snapToGrid/>
        <w:spacing w:lineRule="auto" w:line="240"/>
        <w:ind w:firstLine="420" w:firstLineChars="0"/>
        <w:textAlignment w:val="auto"/>
        <w:rPr>
          <w:rFonts w:ascii="Times New Roman Regular" w:cs="Times New Roman Regular" w:hAnsi="Times New Roman Regular" w:hint="default"/>
          <w:b w:val="false"/>
          <w:bCs w:val="false"/>
          <w:sz w:val="18"/>
          <w:szCs w:val="18"/>
          <w:u w:val="none"/>
          <w:lang w:val="en-US" w:eastAsia="zh-CN"/>
        </w:rPr>
      </w:pPr>
    </w:p>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90204"/>
    <w:charset w:val="01"/>
    <w:family w:val="swiss"/>
    <w:pitch w:val="default"/>
    <w:sig w:usb0="E0000AFF" w:usb1="00007843" w:usb2="00000001" w:usb3="00000000" w:csb0="400001BF" w:csb1="DFF70000"/>
  </w:font>
  <w:font w:name="黑体">
    <w:altName w:val="汉仪中黑KW"/>
    <w:panose1 w:val="02010609060000010101"/>
    <w:charset w:val="86"/>
    <w:family w:val="auto"/>
    <w:pitch w:val="default"/>
    <w:sig w:usb0="800002BF" w:usb1="38CF7CFA" w:usb2="00000016" w:usb3="00000000" w:csb0="00040001" w:csb1="00000000"/>
  </w:font>
  <w:font w:name="Courier New">
    <w:altName w:val="Courier New"/>
    <w:panose1 w:val="02070409020000090404"/>
    <w:charset w:val="01"/>
    <w:family w:val="modern"/>
    <w:pitch w:val="default"/>
    <w:sig w:usb0="E0000AFF" w:usb1="40007843" w:usb2="00000001" w:usb3="00000000" w:csb0="400001BF" w:csb1="DFF70000"/>
  </w:font>
  <w:font w:name="Symbol">
    <w:altName w:val="Kingsoft Sign"/>
    <w:panose1 w:val="05050102010000020507"/>
    <w:charset w:val="02"/>
    <w:family w:val="roman"/>
    <w:pitch w:val="default"/>
    <w:sig w:usb0="00000000" w:usb1="00000000" w:usb2="00000000" w:usb3="00000000" w:csb0="80000000" w:csb1="00000000"/>
  </w:font>
  <w:font w:name="Calibri">
    <w:altName w:val="Helvetica Neue"/>
    <w:panose1 w:val="020f0502020000030204"/>
    <w:charset w:val="00"/>
    <w:family w:val="swiss"/>
    <w:pitch w:val="default"/>
    <w:sig w:usb0="00000000" w:usb1="00000000" w:usb2="00000001" w:usb3="00000000" w:csb0="0000019F" w:csb1="00000000"/>
  </w:font>
  <w:font w:name="Helvetica Neue">
    <w:altName w:val="Helvetica Neue"/>
    <w:panose1 w:val="02000503000000020004"/>
    <w:charset w:val="00"/>
    <w:family w:val="auto"/>
    <w:pitch w:val="default"/>
    <w:sig w:usb0="E50002FF" w:usb1="500079DB" w:usb2="00000010" w:usb3="00000000" w:csb0="00000000" w:csb1="00000000"/>
  </w:font>
  <w:font w:name="汉仪书宋二KW">
    <w:altName w:val="汉仪书宋二KW"/>
    <w:panose1 w:val="00020600040000010101"/>
    <w:charset w:val="86"/>
    <w:family w:val="auto"/>
    <w:pitch w:val="default"/>
    <w:sig w:usb0="A00002BF" w:usb1="18EF7CFA" w:usb2="00000016" w:usb3="00000000" w:csb0="00040000" w:csb1="00000000"/>
  </w:font>
  <w:font w:name="汉仪书宋二简">
    <w:altName w:val="华文宋体"/>
    <w:panose1 w:val="02010600000000010101"/>
    <w:charset w:val="86"/>
    <w:family w:val="modern"/>
    <w:pitch w:val="default"/>
    <w:sig w:usb0="00000000" w:usb1="00000000" w:usb2="00000002" w:usb3="00000000" w:csb0="00040000" w:csb1="00000000"/>
  </w:font>
  <w:font w:name="华文宋体">
    <w:altName w:val="华文宋体"/>
    <w:panose1 w:val="02010600040000010101"/>
    <w:charset w:val="86"/>
    <w:family w:val="auto"/>
    <w:pitch w:val="default"/>
    <w:sig w:usb0="80000287" w:usb1="280F3C52" w:usb2="00000016" w:usb3="00000000" w:csb0="0004001F" w:csb1="00000000"/>
  </w:font>
  <w:font w:name="Times New Roman Regular">
    <w:altName w:val="Times New Roman Regular"/>
    <w:panose1 w:val="02020503050000090304"/>
    <w:charset w:val="00"/>
    <w:family w:val="auto"/>
    <w:pitch w:val="default"/>
    <w:sig w:usb0="E0000AFF" w:usb1="00007843" w:usb2="00000001" w:usb3="00000000" w:csb0="400001BF" w:csb1="DFF70000"/>
  </w:font>
  <w:font w:name="宋体-简">
    <w:altName w:val="宋体-简"/>
    <w:panose1 w:val="02010800040000010101"/>
    <w:charset w:val="86"/>
    <w:family w:val="auto"/>
    <w:pitch w:val="default"/>
    <w:sig w:usb0="00000001" w:usb1="080F0000" w:usb2="00000000" w:usb3="00000000" w:csb0="00040000" w:csb1="00000000"/>
  </w:font>
  <w:font w:name="汉仪中黑KW">
    <w:altName w:val="汉仪中黑KW"/>
    <w:panose1 w:val="00020600040000010101"/>
    <w:charset w:val="86"/>
    <w:family w:val="auto"/>
    <w:pitch w:val="default"/>
    <w:sig w:usb0="A00002BF" w:usb1="18EF7CFA" w:usb2="00000016" w:usb3="00000000" w:csb0="00040000" w:csb1="00000000"/>
  </w:font>
  <w:font w:name="Kingsoft Sign">
    <w:altName w:val="Kingsoft Sign"/>
    <w:panose1 w:val="05050102010000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59"/>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paragraph" w:styleId="style94">
    <w:name w:val="Normal (Web)"/>
    <w:next w:val="style94"/>
    <w:qFormat/>
    <w:uiPriority w:val="99"/>
    <w:pPr>
      <w:widowControl/>
      <w:spacing w:before="100" w:beforeAutospacing="true" w:after="100" w:afterAutospacing="true" w:lineRule="exact" w:line="384"/>
      <w:ind w:firstLine="721" w:firstLineChars="200"/>
      <w:jc w:val="left"/>
    </w:pPr>
    <w:rPr>
      <w:rFonts w:ascii="宋体" w:cs="宋体" w:eastAsia="汉仪书宋二简" w:hAnsi="宋体"/>
      <w:color w:val="auto"/>
      <w:kern w:val="0"/>
      <w:sz w:val="24"/>
      <w:szCs w:val="24"/>
      <w:lang w:val="en-US" w:bidi="ar-SA" w:eastAsia="zh-CN"/>
    </w:rPr>
  </w:style>
  <w:style w:type="table" w:styleId="style154">
    <w:name w:val="Table Grid"/>
    <w:next w:val="style154"/>
    <w:qFormat/>
    <w:uiPriority w:val="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8253</Words>
  <Pages>11</Pages>
  <Characters>8312</Characters>
  <Application>WPS Office</Application>
  <DocSecurity>0</DocSecurity>
  <Paragraphs>242</Paragraphs>
  <ScaleCrop>false</ScaleCrop>
  <LinksUpToDate>false</LinksUpToDate>
  <CharactersWithSpaces>8312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2026-02-11T00:22:00Z</dcterms:created>
  <dc:creator>Arthur (Xiao) Dong</dc:creator>
  <lastModifiedBy>SM-S9110</lastModifiedBy>
  <dcterms:modified xsi:type="dcterms:W3CDTF">2026-07-06T14:53:52Z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808ed062f2cd4805aea6bc22454ab00a_23</vt:lpwstr>
  </property>
</Properties>
</file>