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C7D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sz w:val="28"/>
          <w:szCs w:val="28"/>
          <w:lang w:val="en-US" w:eastAsia="zh-CN"/>
        </w:rPr>
      </w:pPr>
      <w:r>
        <w:rPr>
          <w:rFonts w:hint="eastAsia"/>
          <w:b/>
          <w:bCs/>
          <w:sz w:val="28"/>
          <w:szCs w:val="28"/>
          <w:lang w:val="en-US" w:eastAsia="zh-CN"/>
        </w:rPr>
        <w:t>商法客观精华突破第一讲课堂笔记（考点1-7）</w:t>
      </w:r>
    </w:p>
    <w:p w14:paraId="4904F42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bCs/>
          <w:sz w:val="18"/>
          <w:szCs w:val="18"/>
          <w:lang w:val="en-US" w:eastAsia="zh-CN"/>
        </w:rPr>
      </w:pPr>
      <w:r>
        <w:rPr>
          <w:rFonts w:hint="eastAsia" w:ascii="Times New Roman Regular" w:hAnsi="Times New Roman Regular" w:cs="Times New Roman Regular"/>
          <w:b/>
          <w:bCs/>
          <w:sz w:val="18"/>
          <w:szCs w:val="18"/>
          <w:lang w:val="en-US" w:eastAsia="zh-CN"/>
        </w:rPr>
        <w:t>【考点1:公司法人人格否认制度】</w:t>
      </w:r>
    </w:p>
    <w:p w14:paraId="42972A6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一、法律规定</w:t>
      </w:r>
    </w:p>
    <w:p w14:paraId="4955C5C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公司法人人格否认制度，是指在特定的法律关系中，如果公司股东滥用公司法人独立地位和股东有限责任，逃避债务，严重损害公司债权人利益的，应当对公司债务承担连带责任（纵向否认）</w:t>
      </w:r>
    </w:p>
    <w:p w14:paraId="39143AC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股东利用其控制的两个以上公司实施前款规定行为的，各公司应当对任一公司的债务承担连带责任（横向否认）</w:t>
      </w:r>
    </w:p>
    <w:p w14:paraId="51EE2D5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只有一个股东的公司，股东不能证明公司财产独立于股东自己的财产的，应当对公司债务承担连带责任</w:t>
      </w:r>
    </w:p>
    <w:p w14:paraId="242BC48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二、</w:t>
      </w:r>
      <w:r>
        <w:rPr>
          <w:rFonts w:hint="default" w:ascii="Times New Roman Regular" w:hAnsi="Times New Roman Regular" w:cs="Times New Roman Regular"/>
          <w:b w:val="0"/>
          <w:bCs w:val="0"/>
          <w:sz w:val="18"/>
          <w:szCs w:val="18"/>
          <w:u w:val="none"/>
          <w:lang w:val="en-US" w:eastAsia="zh-CN"/>
        </w:rPr>
        <w:t>主要考查情形</w:t>
      </w:r>
    </w:p>
    <w:p w14:paraId="41984A4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1．抽逃出资</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2．股东未出资或者未足额出资</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3．母公司对子公司的无度操纵、干预</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4．股东对公司财产混同、业务混同造成的人格混同</w:t>
      </w:r>
    </w:p>
    <w:p w14:paraId="2744CB1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p>
    <w:p w14:paraId="1E6AF07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【考点2:发起人责任】</w:t>
      </w:r>
    </w:p>
    <w:p w14:paraId="3C4CF53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有限责任公司设立时的股东为设立公司从事的民事活动，其法律后果由公司承受。</w:t>
      </w:r>
    </w:p>
    <w:p w14:paraId="2491EE0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公司未成立的，其法律后果由公司设立时的股东承受；设立时的股东为二人以上的，享有连带债权，承担连带债务。</w:t>
      </w:r>
    </w:p>
    <w:p w14:paraId="27209AF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设立时的股东为设立公司以自己的名义从事民事活动产生的民事责任，第三人有权选择请求公司或者公司设立时的股东承担。（此处指的是公司成立后）</w:t>
      </w:r>
    </w:p>
    <w:p w14:paraId="5C609C1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设立时的股东因履行公司设立职责造成他人损害的，公司或者无过错的股东承担赔偿责任后，可以向有过错的股东追偿。</w:t>
      </w:r>
    </w:p>
    <w:p w14:paraId="32B84F2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p>
    <w:p w14:paraId="4F19636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【考点3:公司资本原则】</w:t>
      </w:r>
    </w:p>
    <w:p w14:paraId="6ABAE99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一、</w:t>
      </w:r>
      <w:r>
        <w:rPr>
          <w:rFonts w:hint="default" w:ascii="Times New Roman Regular" w:hAnsi="Times New Roman Regular" w:cs="Times New Roman Regular"/>
          <w:b w:val="0"/>
          <w:bCs w:val="0"/>
          <w:sz w:val="18"/>
          <w:szCs w:val="18"/>
          <w:u w:val="none"/>
          <w:lang w:val="en-US" w:eastAsia="zh-CN"/>
        </w:rPr>
        <w:t>资本确定原则</w:t>
      </w:r>
    </w:p>
    <w:p w14:paraId="78B30CA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是指公司设立时应在章程中载明公司资本总额，并由发起人认足或缴足，否则公司不能成立</w:t>
      </w:r>
    </w:p>
    <w:p w14:paraId="72D662B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二、</w:t>
      </w:r>
      <w:r>
        <w:rPr>
          <w:rFonts w:hint="default" w:ascii="Times New Roman Regular" w:hAnsi="Times New Roman Regular" w:cs="Times New Roman Regular"/>
          <w:b w:val="0"/>
          <w:bCs w:val="0"/>
          <w:sz w:val="18"/>
          <w:szCs w:val="18"/>
          <w:u w:val="none"/>
          <w:lang w:val="en-US" w:eastAsia="zh-CN"/>
        </w:rPr>
        <w:t>资本维持原则</w:t>
      </w:r>
    </w:p>
    <w:p w14:paraId="69558B1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是指公司在其存续过程中，应当经常保持与其资本额相当的财产</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该原则具体体现在下列制度上：</w:t>
      </w:r>
    </w:p>
    <w:p w14:paraId="666F84E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（一）</w:t>
      </w:r>
      <w:r>
        <w:rPr>
          <w:rFonts w:hint="default" w:ascii="Times New Roman Regular" w:hAnsi="Times New Roman Regular" w:cs="Times New Roman Regular"/>
          <w:b w:val="0"/>
          <w:bCs w:val="0"/>
          <w:sz w:val="18"/>
          <w:szCs w:val="18"/>
          <w:u w:val="none"/>
          <w:lang w:val="en-US" w:eastAsia="zh-CN"/>
        </w:rPr>
        <w:t>股东在公司登记成立后不得抽逃出资；</w:t>
      </w:r>
    </w:p>
    <w:p w14:paraId="1822EAD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1.</w:t>
      </w:r>
      <w:r>
        <w:rPr>
          <w:rFonts w:hint="default" w:ascii="Times New Roman Regular" w:hAnsi="Times New Roman Regular" w:cs="Times New Roman Regular"/>
          <w:b w:val="0"/>
          <w:bCs w:val="0"/>
          <w:sz w:val="18"/>
          <w:szCs w:val="18"/>
          <w:u w:val="none"/>
          <w:lang w:val="en-US" w:eastAsia="zh-CN"/>
        </w:rPr>
        <w:t>表现形式：</w:t>
      </w:r>
    </w:p>
    <w:p w14:paraId="1A1B860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（1）制作虚假财务会计报表虚增利润进行分配（做假账）</w:t>
      </w:r>
    </w:p>
    <w:p w14:paraId="484FA56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（2）通过虚构债权债务关系将出资转出（做假合同）</w:t>
      </w:r>
    </w:p>
    <w:p w14:paraId="4BD917E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（3）利用关联交易将出资转出</w:t>
      </w:r>
    </w:p>
    <w:p w14:paraId="4FF5FCC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（4）其他未经法定程序将出资抽回的行为。</w:t>
      </w:r>
    </w:p>
    <w:p w14:paraId="1C33B48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违反前款规定的，股东应当返还抽逃的出资；给公司造成损失的，负有责任的董事、监事、高级管理人员应当与该股东承担连带赔偿责任。</w:t>
      </w:r>
    </w:p>
    <w:p w14:paraId="365AD61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2.</w:t>
      </w:r>
      <w:r>
        <w:rPr>
          <w:rFonts w:hint="default" w:ascii="Times New Roman Regular" w:hAnsi="Times New Roman Regular" w:cs="Times New Roman Regular"/>
          <w:b w:val="0"/>
          <w:bCs w:val="0"/>
          <w:sz w:val="18"/>
          <w:szCs w:val="18"/>
          <w:u w:val="none"/>
          <w:lang w:val="en-US" w:eastAsia="zh-CN"/>
        </w:rPr>
        <w:t>法律责任：</w:t>
      </w:r>
    </w:p>
    <w:p w14:paraId="4D5243C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（1）股东抽逃出资，公司或者其他股东请求其向公司返还出资本息、协助抽逃出资的其他股东、董事、高级管理人员或者实际控制人对此承担连带责任的，人民法院应予支持</w:t>
      </w:r>
    </w:p>
    <w:p w14:paraId="7A1D202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公司债权人请求抽逃出资的股东在抽逃出资本息范围内对公司债务不能清偿的部分承担补充赔偿责任、协助抽逃出资的其他股东、董事、高级管理人员或者实际控制人对此承担连带责任的，人民法院应予支持</w:t>
      </w:r>
    </w:p>
    <w:p w14:paraId="0BEFFB0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（二）限制回购股份</w:t>
      </w:r>
    </w:p>
    <w:p w14:paraId="289BE9B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股份公司不得收购本公司的股份，但是，有下列情形之一的除外：</w:t>
      </w:r>
    </w:p>
    <w:p w14:paraId="6BEEFDF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（1）</w:t>
      </w:r>
      <w:r>
        <w:rPr>
          <w:rFonts w:hint="default" w:ascii="Times New Roman Regular" w:hAnsi="Times New Roman Regular" w:cs="Times New Roman Regular"/>
          <w:b w:val="0"/>
          <w:bCs w:val="0"/>
          <w:sz w:val="18"/>
          <w:szCs w:val="18"/>
          <w:u w:val="none"/>
          <w:lang w:val="en-US" w:eastAsia="zh-CN"/>
        </w:rPr>
        <w:t>减少公司注册资本</w:t>
      </w:r>
    </w:p>
    <w:p w14:paraId="521B758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（2）</w:t>
      </w:r>
      <w:r>
        <w:rPr>
          <w:rFonts w:hint="default" w:ascii="Times New Roman Regular" w:hAnsi="Times New Roman Regular" w:cs="Times New Roman Regular"/>
          <w:b w:val="0"/>
          <w:bCs w:val="0"/>
          <w:sz w:val="18"/>
          <w:szCs w:val="18"/>
          <w:u w:val="none"/>
          <w:lang w:val="en-US" w:eastAsia="zh-CN"/>
        </w:rPr>
        <w:t>与持有本公司股份的其他公司合并</w:t>
      </w:r>
    </w:p>
    <w:p w14:paraId="1D26471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（3）</w:t>
      </w:r>
      <w:r>
        <w:rPr>
          <w:rFonts w:hint="default" w:ascii="Times New Roman Regular" w:hAnsi="Times New Roman Regular" w:cs="Times New Roman Regular"/>
          <w:b w:val="0"/>
          <w:bCs w:val="0"/>
          <w:sz w:val="18"/>
          <w:szCs w:val="18"/>
          <w:u w:val="none"/>
          <w:lang w:val="en-US" w:eastAsia="zh-CN"/>
        </w:rPr>
        <w:t>将股份用于员工持股计划或者股权激励</w:t>
      </w:r>
    </w:p>
    <w:p w14:paraId="157BFDD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（4）</w:t>
      </w:r>
      <w:r>
        <w:rPr>
          <w:rFonts w:hint="default" w:ascii="Times New Roman Regular" w:hAnsi="Times New Roman Regular" w:cs="Times New Roman Regular"/>
          <w:b w:val="0"/>
          <w:bCs w:val="0"/>
          <w:sz w:val="18"/>
          <w:szCs w:val="18"/>
          <w:u w:val="none"/>
          <w:lang w:val="en-US" w:eastAsia="zh-CN"/>
        </w:rPr>
        <w:t>股东因对股东</w:t>
      </w:r>
      <w:r>
        <w:rPr>
          <w:rFonts w:hint="eastAsia" w:ascii="Times New Roman Regular" w:hAnsi="Times New Roman Regular" w:cs="Times New Roman Regular"/>
          <w:b w:val="0"/>
          <w:bCs w:val="0"/>
          <w:sz w:val="18"/>
          <w:szCs w:val="18"/>
          <w:u w:val="none"/>
          <w:lang w:val="en-US" w:eastAsia="zh-CN"/>
        </w:rPr>
        <w:t>会</w:t>
      </w:r>
      <w:r>
        <w:rPr>
          <w:rFonts w:hint="default" w:ascii="Times New Roman Regular" w:hAnsi="Times New Roman Regular" w:cs="Times New Roman Regular"/>
          <w:b w:val="0"/>
          <w:bCs w:val="0"/>
          <w:sz w:val="18"/>
          <w:szCs w:val="18"/>
          <w:u w:val="none"/>
          <w:lang w:val="en-US" w:eastAsia="zh-CN"/>
        </w:rPr>
        <w:t>作出的公司合并、分立决议持异议，要求公司收购其股份</w:t>
      </w:r>
    </w:p>
    <w:p w14:paraId="03D0668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（5）</w:t>
      </w:r>
      <w:r>
        <w:rPr>
          <w:rFonts w:hint="default" w:ascii="Times New Roman Regular" w:hAnsi="Times New Roman Regular" w:cs="Times New Roman Regular"/>
          <w:b w:val="0"/>
          <w:bCs w:val="0"/>
          <w:sz w:val="18"/>
          <w:szCs w:val="18"/>
          <w:u w:val="none"/>
          <w:lang w:val="en-US" w:eastAsia="zh-CN"/>
        </w:rPr>
        <w:t>将股份用于转换上市公司发行的可转换为股票的公司债券</w:t>
      </w:r>
    </w:p>
    <w:p w14:paraId="172F2A0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（6）</w:t>
      </w:r>
      <w:r>
        <w:rPr>
          <w:rFonts w:hint="default" w:ascii="Times New Roman Regular" w:hAnsi="Times New Roman Regular" w:cs="Times New Roman Regular"/>
          <w:b w:val="0"/>
          <w:bCs w:val="0"/>
          <w:sz w:val="18"/>
          <w:szCs w:val="18"/>
          <w:u w:val="none"/>
          <w:lang w:val="en-US" w:eastAsia="zh-CN"/>
        </w:rPr>
        <w:t>上市公司为维护公司价值及股东权益所必需。</w:t>
      </w:r>
    </w:p>
    <w:p w14:paraId="7C05E44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公司因前款第（1）项、第（2）项规定的情形收购本公司股份的，应当经股东会决议；公司因前款第（3）项、第（5）项、第（6）项规定的情形收购本公司股份的，可以依照公司章程或者股东会的授权，经三分之二以上董事出席的董事会会议决议。</w:t>
      </w:r>
    </w:p>
    <w:p w14:paraId="1F912DB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注意：（4）需由股东会决议，（3）、（5）、（6）在没有章程和股东会的授权的情况下，仍然是由股东会决议。</w:t>
      </w:r>
    </w:p>
    <w:p w14:paraId="6324225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公司依照本条第一款规定收购本公司股份后，属于第（1）项情形的，应当自收购之日起十日内注销；属于第（2）项、第（4）项情形的，应当在六个月内转让或者注销；属于第（3）项、第（5）项、第（6）项情形的，公司合计持有的本公司股份数不得超过本公司已发行股份总额的百分之十，并应当在三年内转让或者注销。</w:t>
      </w:r>
    </w:p>
    <w:p w14:paraId="495F2C5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上市公司收购本公司股份的，应当通过公开的集中交易方式进行</w:t>
      </w:r>
    </w:p>
    <w:p w14:paraId="45EE2F1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三、</w:t>
      </w:r>
      <w:r>
        <w:rPr>
          <w:rFonts w:hint="default" w:ascii="Times New Roman Regular" w:hAnsi="Times New Roman Regular" w:cs="Times New Roman Regular"/>
          <w:b w:val="0"/>
          <w:bCs w:val="0"/>
          <w:sz w:val="18"/>
          <w:szCs w:val="18"/>
          <w:u w:val="none"/>
          <w:lang w:val="en-US" w:eastAsia="zh-CN"/>
        </w:rPr>
        <w:t>资本不变原则</w:t>
      </w:r>
    </w:p>
    <w:p w14:paraId="41624C5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是指公司资本总额一旦确定，非经法定程序，不得任意变动。公司增加注册资本实行股东自治，公司减少注册资本实行严格的限制</w:t>
      </w:r>
    </w:p>
    <w:p w14:paraId="7C2B81B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p>
    <w:p w14:paraId="2339E46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【考点4:公司财务制度】</w:t>
      </w:r>
    </w:p>
    <w:p w14:paraId="06B922A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一、</w:t>
      </w:r>
      <w:r>
        <w:rPr>
          <w:rFonts w:hint="default" w:ascii="Times New Roman Regular" w:hAnsi="Times New Roman Regular" w:cs="Times New Roman Regular"/>
          <w:b w:val="0"/>
          <w:bCs w:val="0"/>
          <w:sz w:val="18"/>
          <w:szCs w:val="18"/>
          <w:u w:val="none"/>
          <w:lang w:val="en-US" w:eastAsia="zh-CN"/>
        </w:rPr>
        <w:t>公积金</w:t>
      </w:r>
    </w:p>
    <w:p w14:paraId="010EC6B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（一）提取</w:t>
      </w:r>
    </w:p>
    <w:p w14:paraId="3E74E82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1．公司分配当年税后利润时，应当提取利润的10%列入公司法定公积金</w:t>
      </w:r>
    </w:p>
    <w:p w14:paraId="55D73AB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2．公司法定公积金累计额为公司注册资本的50%以上的，可以不再提取</w:t>
      </w:r>
    </w:p>
    <w:p w14:paraId="094B1B2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3．法定公积金转为注册资本时，所留存的该项公积金不得少于转增前公司注册资本的25%</w:t>
      </w:r>
    </w:p>
    <w:p w14:paraId="125F7D4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（二）</w:t>
      </w:r>
      <w:r>
        <w:rPr>
          <w:rFonts w:hint="default" w:ascii="Times New Roman Regular" w:hAnsi="Times New Roman Regular" w:cs="Times New Roman Regular"/>
          <w:b w:val="0"/>
          <w:bCs w:val="0"/>
          <w:sz w:val="18"/>
          <w:szCs w:val="18"/>
          <w:u w:val="none"/>
          <w:lang w:val="en-US" w:eastAsia="zh-CN"/>
        </w:rPr>
        <w:t>使用</w:t>
      </w:r>
    </w:p>
    <w:p w14:paraId="4DBF041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1.</w:t>
      </w:r>
      <w:r>
        <w:rPr>
          <w:rFonts w:hint="default" w:ascii="Times New Roman Regular" w:hAnsi="Times New Roman Regular" w:cs="Times New Roman Regular"/>
          <w:b w:val="0"/>
          <w:bCs w:val="0"/>
          <w:sz w:val="18"/>
          <w:szCs w:val="18"/>
          <w:u w:val="none"/>
          <w:lang w:val="en-US" w:eastAsia="zh-CN"/>
        </w:rPr>
        <w:t>公积金用于弥补公司的亏损、扩大公司生产经营或者转为增加公司资本。</w:t>
      </w:r>
    </w:p>
    <w:p w14:paraId="67841C35">
      <w:pPr>
        <w:keepNext w:val="0"/>
        <w:keepLines w:val="0"/>
        <w:pageBreakBefore w:val="0"/>
        <w:widowControl w:val="0"/>
        <w:tabs>
          <w:tab w:val="left" w:pos="329"/>
        </w:tabs>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2.</w:t>
      </w:r>
      <w:r>
        <w:rPr>
          <w:rFonts w:hint="default" w:ascii="Times New Roman Regular" w:hAnsi="Times New Roman Regular" w:cs="Times New Roman Regular"/>
          <w:b w:val="0"/>
          <w:bCs w:val="0"/>
          <w:sz w:val="18"/>
          <w:szCs w:val="18"/>
          <w:u w:val="none"/>
          <w:lang w:val="en-US" w:eastAsia="zh-CN"/>
        </w:rPr>
        <w:t>公积金弥补公司亏损，应当先使用任意公积金和法定公积金；仍不能弥补的，可以按照规定使用资本公积金</w:t>
      </w:r>
    </w:p>
    <w:p w14:paraId="3FBE756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二、</w:t>
      </w:r>
      <w:r>
        <w:rPr>
          <w:rFonts w:hint="default" w:ascii="Times New Roman Regular" w:hAnsi="Times New Roman Regular" w:cs="Times New Roman Regular"/>
          <w:b w:val="0"/>
          <w:bCs w:val="0"/>
          <w:sz w:val="18"/>
          <w:szCs w:val="18"/>
          <w:u w:val="none"/>
          <w:lang w:val="en-US" w:eastAsia="zh-CN"/>
        </w:rPr>
        <w:t>公司收益分配顺序</w:t>
      </w:r>
    </w:p>
    <w:p w14:paraId="63DBAEB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弥补亏损→提取法定公积金→提取任意公积金→向股东支付股利</w:t>
      </w:r>
    </w:p>
    <w:p w14:paraId="1875976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1．公司的法定公积金不足以弥补以前年度亏损的，在依照上述规定提取法定公积金之前，应当先用当年利润弥补亏损</w:t>
      </w:r>
    </w:p>
    <w:p w14:paraId="217BF65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2．公司从税后利润中提取法定公积金后，经股东会决议，还可以从税后利润中提取任意公积金</w:t>
      </w:r>
    </w:p>
    <w:p w14:paraId="0131A03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3．公司弥补亏损和提取公积金后所余税后利润，有限责任公司按照股东实缴的出资比例分配利润，全体股东约定不按照出资比例分配利润的除外</w:t>
      </w:r>
    </w:p>
    <w:p w14:paraId="118CCBD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4．公司违反本法规定向股东分配利润的，股东应当将违反规定分配的利润退还公司；给公司造成损失的，股东及负有责任的董事、监事、高级管理人员应当承担赔偿责任</w:t>
      </w:r>
    </w:p>
    <w:p w14:paraId="4720B81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5．股东会作出分配利润的决议的，董事会应当在股东会决议作出之日起六个月内进行分配</w:t>
      </w:r>
    </w:p>
    <w:p w14:paraId="6CBB559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p>
    <w:p w14:paraId="3DC54BB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【考点5:公司的高层人员】</w:t>
      </w:r>
    </w:p>
    <w:p w14:paraId="1D10F4F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一、高层人员的（消极）任职资格条件</w:t>
      </w:r>
    </w:p>
    <w:p w14:paraId="2BC6CDC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（一）</w:t>
      </w:r>
      <w:r>
        <w:rPr>
          <w:rFonts w:hint="default" w:ascii="Times New Roman Regular" w:hAnsi="Times New Roman Regular" w:cs="Times New Roman Regular"/>
          <w:b w:val="0"/>
          <w:bCs w:val="0"/>
          <w:sz w:val="18"/>
          <w:szCs w:val="18"/>
          <w:u w:val="none"/>
          <w:lang w:val="en-US" w:eastAsia="zh-CN"/>
        </w:rPr>
        <w:t>任职资格禁止性规定</w:t>
      </w:r>
    </w:p>
    <w:p w14:paraId="502EE9B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1．无民事行为能力或者限制民事行为能力</w:t>
      </w:r>
    </w:p>
    <w:p w14:paraId="4495249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2．因贪污、贿赂、侵占财产、挪用财产或者破坏社会主义市场经济秩序，被判处刑罚，执行期满未逾五年，或者因犯罪被剥夺政治权利，执行期满未逾五年，被宣告缓刑的，自缓刑考验期满之日起未逾二年</w:t>
      </w:r>
    </w:p>
    <w:p w14:paraId="65DEB50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3．担任破产清算的公司、企业的董事或者厂长、经理，对该公司、企业的破产负有个人责任的，自该公司、企业破产清算完结之日起未逾三年</w:t>
      </w:r>
    </w:p>
    <w:p w14:paraId="0B9FB8E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4．担任因违法被吊销营业执照、责令关闭的公司、企业的法定代表人，并负有个人责任的，自该公司、企业被吊销营业执照之日起未逾三年</w:t>
      </w:r>
    </w:p>
    <w:p w14:paraId="76CCA33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5．个人因所负数额较大债务到期未清偿被人民法院列为失信被执行人</w:t>
      </w:r>
    </w:p>
    <w:p w14:paraId="4B04C6F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（二）</w:t>
      </w:r>
      <w:r>
        <w:rPr>
          <w:rFonts w:hint="default" w:ascii="Times New Roman Regular" w:hAnsi="Times New Roman Regular" w:cs="Times New Roman Regular"/>
          <w:b w:val="0"/>
          <w:bCs w:val="0"/>
          <w:sz w:val="18"/>
          <w:szCs w:val="18"/>
          <w:u w:val="none"/>
          <w:lang w:val="en-US" w:eastAsia="zh-CN"/>
        </w:rPr>
        <w:t>后果</w:t>
      </w:r>
    </w:p>
    <w:p w14:paraId="796714C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1．公司违反前款规定选举、委派董事、监事或者聘任高级管理人员的，该选举、委派或者聘任无效（担任之前）</w:t>
      </w:r>
    </w:p>
    <w:p w14:paraId="00FD410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2．委任之后上述人员在任职期间出现上述情形的，公司应当解除其职务</w:t>
      </w:r>
    </w:p>
    <w:p w14:paraId="6300DBD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二、公司董事、监事、高级管理人员的忠实义务和勤勉义务</w:t>
      </w:r>
    </w:p>
    <w:p w14:paraId="09D8F63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1</w:t>
      </w:r>
      <w:r>
        <w:rPr>
          <w:rFonts w:hint="default" w:ascii="Times New Roman Regular" w:hAnsi="Times New Roman Regular" w:cs="Times New Roman Regular"/>
          <w:b w:val="0"/>
          <w:bCs w:val="0"/>
          <w:sz w:val="18"/>
          <w:szCs w:val="18"/>
          <w:u w:val="none"/>
          <w:lang w:val="en-US" w:eastAsia="zh-CN"/>
        </w:rPr>
        <w:t>.自我交易和关联交易：</w:t>
      </w:r>
    </w:p>
    <w:p w14:paraId="1E9DE77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第一百八十二条  董事、监事、高级管理人员，直接或者间接与本公司订立合同或者进行交易，应当就与订立合同或者进行交易有关的事项向董事会或者股东会报告，并按照公司章程的规定经董事会或者股东会决议通过。（自我交易）</w:t>
      </w:r>
    </w:p>
    <w:p w14:paraId="4F5F819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董事、监事、高级管理人员的近亲属，董事、监事、高级管理人员或者其近亲属直接或者间接控制的企业，以及与董事、监事、高级管理人员有其他关联关系的关联人，与公司订立合同或者进行交易，适用前款规定。（关联交易）</w:t>
      </w:r>
    </w:p>
    <w:p w14:paraId="140AFA4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2.</w:t>
      </w:r>
      <w:r>
        <w:rPr>
          <w:rFonts w:hint="default" w:ascii="Times New Roman Regular" w:hAnsi="Times New Roman Regular" w:cs="Times New Roman Regular"/>
          <w:b w:val="0"/>
          <w:bCs w:val="0"/>
          <w:sz w:val="18"/>
          <w:szCs w:val="18"/>
          <w:u w:val="none"/>
          <w:lang w:val="en-US" w:eastAsia="zh-CN"/>
        </w:rPr>
        <w:t>同业竞争：</w:t>
      </w:r>
    </w:p>
    <w:p w14:paraId="742019A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第一百八十四条  董事、监事、高级管理人员未向董事会或者股东会报告，并按照公司章程的规定经董事会或者股东会决议通过，不得自营或者为他人经营与其任职公司同类的业务。</w:t>
      </w:r>
    </w:p>
    <w:p w14:paraId="7B43B39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【提示】关联交易和同业竞争都是相对禁止。</w:t>
      </w:r>
    </w:p>
    <w:p w14:paraId="56811E1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3</w:t>
      </w:r>
      <w:r>
        <w:rPr>
          <w:rFonts w:hint="default" w:ascii="Times New Roman Regular" w:hAnsi="Times New Roman Regular" w:cs="Times New Roman Regular"/>
          <w:b w:val="0"/>
          <w:bCs w:val="0"/>
          <w:sz w:val="18"/>
          <w:szCs w:val="18"/>
          <w:u w:val="none"/>
          <w:lang w:val="en-US" w:eastAsia="zh-CN"/>
        </w:rPr>
        <w:t>.关联事项表决：</w:t>
      </w:r>
    </w:p>
    <w:p w14:paraId="49C6052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第一百八十五条  董事会对本法第一百八十二条至第一百八十四条规定的事项决议时，关联董事不得参与表决，其表决权不计入表决权总数。出席董事会会议的无关联关系董事人数不足三人的，应当将该事项提交股东会审议。</w:t>
      </w:r>
    </w:p>
    <w:p w14:paraId="596AB91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4.</w:t>
      </w:r>
      <w:r>
        <w:rPr>
          <w:rFonts w:hint="default" w:ascii="Times New Roman Regular" w:hAnsi="Times New Roman Regular" w:cs="Times New Roman Regular"/>
          <w:b w:val="0"/>
          <w:bCs w:val="0"/>
          <w:sz w:val="18"/>
          <w:szCs w:val="18"/>
          <w:u w:val="none"/>
          <w:lang w:val="en-US" w:eastAsia="zh-CN"/>
        </w:rPr>
        <w:t>交易后果：</w:t>
      </w:r>
    </w:p>
    <w:p w14:paraId="477F70F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董事、监事、高级管理人员违反本法第一百八十一条至第一百八十四条规定所得的收入应当归公司所有</w:t>
      </w:r>
      <w:r>
        <w:rPr>
          <w:rFonts w:hint="eastAsia" w:ascii="Times New Roman Regular" w:hAnsi="Times New Roman Regular" w:cs="Times New Roman Regular"/>
          <w:b w:val="0"/>
          <w:bCs w:val="0"/>
          <w:sz w:val="18"/>
          <w:szCs w:val="18"/>
          <w:u w:val="none"/>
          <w:lang w:val="en-US" w:eastAsia="zh-CN"/>
        </w:rPr>
        <w:t>，但</w:t>
      </w:r>
      <w:r>
        <w:rPr>
          <w:rFonts w:hint="default" w:ascii="Times New Roman Regular" w:hAnsi="Times New Roman Regular" w:cs="Times New Roman Regular"/>
          <w:b w:val="0"/>
          <w:bCs w:val="0"/>
          <w:sz w:val="18"/>
          <w:szCs w:val="18"/>
          <w:u w:val="none"/>
          <w:lang w:val="en-US" w:eastAsia="zh-CN"/>
        </w:rPr>
        <w:t>交易有效</w:t>
      </w:r>
      <w:r>
        <w:rPr>
          <w:rFonts w:hint="eastAsia" w:ascii="Times New Roman Regular" w:hAnsi="Times New Roman Regular" w:cs="Times New Roman Regular"/>
          <w:b w:val="0"/>
          <w:bCs w:val="0"/>
          <w:sz w:val="18"/>
          <w:szCs w:val="18"/>
          <w:u w:val="none"/>
          <w:lang w:val="en-US" w:eastAsia="zh-CN"/>
        </w:rPr>
        <w:t>。</w:t>
      </w:r>
    </w:p>
    <w:p w14:paraId="50CB133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5</w:t>
      </w:r>
      <w:r>
        <w:rPr>
          <w:rFonts w:hint="default" w:ascii="Times New Roman Regular" w:hAnsi="Times New Roman Regular" w:cs="Times New Roman Regular"/>
          <w:b w:val="0"/>
          <w:bCs w:val="0"/>
          <w:sz w:val="18"/>
          <w:szCs w:val="18"/>
          <w:u w:val="none"/>
          <w:lang w:val="en-US" w:eastAsia="zh-CN"/>
        </w:rPr>
        <w:t>.</w:t>
      </w:r>
      <w:bookmarkStart w:id="0" w:name="_GoBack"/>
      <w:bookmarkEnd w:id="0"/>
      <w:r>
        <w:rPr>
          <w:rFonts w:hint="default" w:ascii="Times New Roman Regular" w:hAnsi="Times New Roman Regular" w:cs="Times New Roman Regular"/>
          <w:b w:val="0"/>
          <w:bCs w:val="0"/>
          <w:sz w:val="18"/>
          <w:szCs w:val="18"/>
          <w:u w:val="none"/>
          <w:lang w:val="en-US" w:eastAsia="zh-CN"/>
        </w:rPr>
        <w:t>法律责任：</w:t>
      </w:r>
    </w:p>
    <w:p w14:paraId="284AAED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第一百八十八条  董事、监事、高级管理人员执行职务违反法律、行政法规或者公司章程的规定，给公司造成损失的，应当承担赔偿责任</w:t>
      </w:r>
    </w:p>
    <w:p w14:paraId="265938E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p>
    <w:p w14:paraId="5E8F212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【考点6:公司变更】</w:t>
      </w:r>
    </w:p>
    <w:p w14:paraId="1EF7660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一、公司的合并与分立</w:t>
      </w:r>
    </w:p>
    <w:p w14:paraId="4B2E070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（一）</w:t>
      </w:r>
      <w:r>
        <w:rPr>
          <w:rFonts w:hint="default" w:ascii="Times New Roman Regular" w:hAnsi="Times New Roman Regular" w:cs="Times New Roman Regular"/>
          <w:b w:val="0"/>
          <w:bCs w:val="0"/>
          <w:sz w:val="18"/>
          <w:szCs w:val="18"/>
          <w:u w:val="none"/>
          <w:lang w:val="en-US" w:eastAsia="zh-CN"/>
        </w:rPr>
        <w:t>合并</w:t>
      </w:r>
    </w:p>
    <w:p w14:paraId="073DF68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公司合并，应当由合并各方签订合并协议，并编制资产负债表及财产清单。公司应当自作出合并决议之日起10日内通知债权人，并于30日内在报纸上或者国家企业信用信息公示系统公告。债权人自接到通知书之日起30日内，未接到通知书的自公告之日起45日内，可以要求公司清偿债务或者提供相应的担保</w:t>
      </w:r>
    </w:p>
    <w:p w14:paraId="731404A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（二）</w:t>
      </w:r>
      <w:r>
        <w:rPr>
          <w:rFonts w:hint="default" w:ascii="Times New Roman Regular" w:hAnsi="Times New Roman Regular" w:cs="Times New Roman Regular"/>
          <w:b w:val="0"/>
          <w:bCs w:val="0"/>
          <w:sz w:val="18"/>
          <w:szCs w:val="18"/>
          <w:u w:val="none"/>
          <w:lang w:val="en-US" w:eastAsia="zh-CN"/>
        </w:rPr>
        <w:t>分立</w:t>
      </w:r>
    </w:p>
    <w:p w14:paraId="07B97DB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公司分立，应当编制资产负债表及财产清单。公司应当自作出分立决议之日起10日内通知债权人，并于30日内在报纸上或者国家企业信用信息公示系统公告。公司分立前的债务由分立后的公司承担连带责任；但是，公司在分立前与债权人就债务清偿达成的书面协议另有约定的除外</w:t>
      </w:r>
    </w:p>
    <w:p w14:paraId="6F83E39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二、公司的增资、减资</w:t>
      </w:r>
    </w:p>
    <w:p w14:paraId="5C7E75E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（一）</w:t>
      </w:r>
      <w:r>
        <w:rPr>
          <w:rFonts w:hint="default" w:ascii="Times New Roman Regular" w:hAnsi="Times New Roman Regular" w:cs="Times New Roman Regular"/>
          <w:b w:val="0"/>
          <w:bCs w:val="0"/>
          <w:sz w:val="18"/>
          <w:szCs w:val="18"/>
          <w:u w:val="none"/>
          <w:lang w:val="en-US" w:eastAsia="zh-CN"/>
        </w:rPr>
        <w:t>增资</w:t>
      </w:r>
    </w:p>
    <w:p w14:paraId="4968D88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公司增资时，应当做到三点：</w:t>
      </w:r>
    </w:p>
    <w:p w14:paraId="462AAEF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1．由董事会制定方案，提交股东会决议</w:t>
      </w:r>
    </w:p>
    <w:p w14:paraId="1DBA87D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2．修改公司章程</w:t>
      </w:r>
    </w:p>
    <w:p w14:paraId="0C0A795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3．向公司登记机关办理注册资本的变更登记</w:t>
      </w:r>
    </w:p>
    <w:p w14:paraId="301B876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有限责任公司增加注册资本时，股东在同等条件下有权优先按照实缴的出资比例认缴出资。但是，全体股东约定不按照出资比例优先认缴出资的除外</w:t>
      </w:r>
    </w:p>
    <w:p w14:paraId="4DCFD38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（二）</w:t>
      </w:r>
      <w:r>
        <w:rPr>
          <w:rFonts w:hint="default" w:ascii="Times New Roman Regular" w:hAnsi="Times New Roman Regular" w:cs="Times New Roman Regular"/>
          <w:b w:val="0"/>
          <w:bCs w:val="0"/>
          <w:sz w:val="18"/>
          <w:szCs w:val="18"/>
          <w:u w:val="none"/>
          <w:lang w:val="en-US" w:eastAsia="zh-CN"/>
        </w:rPr>
        <w:t>减资</w:t>
      </w:r>
    </w:p>
    <w:p w14:paraId="5B73728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1</w:t>
      </w:r>
      <w:r>
        <w:rPr>
          <w:rFonts w:hint="default" w:ascii="Times New Roman Regular" w:hAnsi="Times New Roman Regular" w:cs="Times New Roman Regular"/>
          <w:b w:val="0"/>
          <w:bCs w:val="0"/>
          <w:sz w:val="18"/>
          <w:szCs w:val="18"/>
          <w:u w:val="none"/>
          <w:lang w:val="en-US" w:eastAsia="zh-CN"/>
        </w:rPr>
        <w:t>．准备：公司减少注册资本，应当编制资产负债表及财产清单</w:t>
      </w:r>
    </w:p>
    <w:p w14:paraId="27D630B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流程：公司应当自股东会作出减少注册资本决议之日起10日内通知债权人，并于30内在报纸上或者国家企业信用信息公示系统公告。债权人自接到通知之日起30日内，未接到通知的自公告之日起45日内，有权要求公司清偿债务或者提供相应的担保</w:t>
      </w:r>
      <w:r>
        <w:rPr>
          <w:rFonts w:hint="eastAsia" w:ascii="Times New Roman Regular" w:hAnsi="Times New Roman Regular" w:cs="Times New Roman Regular"/>
          <w:b w:val="0"/>
          <w:bCs w:val="0"/>
          <w:sz w:val="18"/>
          <w:szCs w:val="18"/>
          <w:u w:val="none"/>
          <w:lang w:val="en-US" w:eastAsia="zh-CN"/>
        </w:rPr>
        <w:t>（形式减资除外）</w:t>
      </w:r>
    </w:p>
    <w:p w14:paraId="05458AF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3．限制：公司依照</w:t>
      </w:r>
      <w:r>
        <w:rPr>
          <w:rFonts w:hint="eastAsia" w:ascii="Times New Roman Regular" w:hAnsi="Times New Roman Regular" w:cs="Times New Roman Regular"/>
          <w:b w:val="0"/>
          <w:bCs w:val="0"/>
          <w:sz w:val="18"/>
          <w:szCs w:val="18"/>
          <w:u w:val="none"/>
          <w:lang w:val="en-US" w:eastAsia="zh-CN"/>
        </w:rPr>
        <w:t>形式减资的</w:t>
      </w:r>
      <w:r>
        <w:rPr>
          <w:rFonts w:hint="default" w:ascii="Times New Roman Regular" w:hAnsi="Times New Roman Regular" w:cs="Times New Roman Regular"/>
          <w:b w:val="0"/>
          <w:bCs w:val="0"/>
          <w:sz w:val="18"/>
          <w:szCs w:val="18"/>
          <w:u w:val="none"/>
          <w:lang w:val="en-US" w:eastAsia="zh-CN"/>
        </w:rPr>
        <w:t>规定减少注册资本后，在法定公积金和任意公积金累计额达到公司注册资本百分之五十前，不得分配利润</w:t>
      </w:r>
    </w:p>
    <w:p w14:paraId="56F1A99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4．法律责任：违反公司法规定减少注册资本的，股东应当退还其收到的资金，减免股东出资的应当恢复原状；给公司造成损失的，股东及负有责任的董事、监事、高级管理人员应当承担赔偿责任</w:t>
      </w:r>
    </w:p>
    <w:p w14:paraId="52E8FFA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p>
    <w:p w14:paraId="0C425F2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【考点7:公司的解散与清算】</w:t>
      </w:r>
    </w:p>
    <w:p w14:paraId="434C500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一、公司的解散</w:t>
      </w:r>
    </w:p>
    <w:p w14:paraId="311D9F2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（一）</w:t>
      </w:r>
      <w:r>
        <w:rPr>
          <w:rFonts w:hint="default" w:ascii="Times New Roman Regular" w:hAnsi="Times New Roman Regular" w:cs="Times New Roman Regular"/>
          <w:b w:val="0"/>
          <w:bCs w:val="0"/>
          <w:sz w:val="18"/>
          <w:szCs w:val="18"/>
          <w:u w:val="none"/>
          <w:lang w:val="en-US" w:eastAsia="zh-CN"/>
        </w:rPr>
        <w:t>自愿解散</w:t>
      </w:r>
    </w:p>
    <w:p w14:paraId="339AEA9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1．公司章程规定的营业期限届满或者公司章程规定的其他解散事由出现</w:t>
      </w:r>
    </w:p>
    <w:p w14:paraId="1FD239A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2．股东会决议解散（提前解散）</w:t>
      </w:r>
    </w:p>
    <w:p w14:paraId="0F25DF9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3．因公司合并或者分立需要解散（法定解散）</w:t>
      </w:r>
    </w:p>
    <w:p w14:paraId="2C2855B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（二）</w:t>
      </w:r>
      <w:r>
        <w:rPr>
          <w:rFonts w:hint="default" w:ascii="Times New Roman Regular" w:hAnsi="Times New Roman Regular" w:cs="Times New Roman Regular"/>
          <w:b w:val="0"/>
          <w:bCs w:val="0"/>
          <w:sz w:val="18"/>
          <w:szCs w:val="18"/>
          <w:u w:val="none"/>
          <w:lang w:val="en-US" w:eastAsia="zh-CN"/>
        </w:rPr>
        <w:t>强制解散</w:t>
      </w:r>
    </w:p>
    <w:p w14:paraId="514465D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依法被主管机关或人民法院吊销营业执照、责令关闭或者撤销（违法解散）</w:t>
      </w:r>
    </w:p>
    <w:p w14:paraId="5973536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（三）</w:t>
      </w:r>
      <w:r>
        <w:rPr>
          <w:rFonts w:hint="default" w:ascii="Times New Roman Regular" w:hAnsi="Times New Roman Regular" w:cs="Times New Roman Regular"/>
          <w:b w:val="0"/>
          <w:bCs w:val="0"/>
          <w:sz w:val="18"/>
          <w:szCs w:val="18"/>
          <w:u w:val="none"/>
          <w:lang w:val="en-US" w:eastAsia="zh-CN"/>
        </w:rPr>
        <w:t>司法解散</w:t>
      </w:r>
    </w:p>
    <w:p w14:paraId="671435A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1.</w:t>
      </w:r>
      <w:r>
        <w:rPr>
          <w:rFonts w:hint="default" w:ascii="Times New Roman Regular" w:hAnsi="Times New Roman Regular" w:cs="Times New Roman Regular"/>
          <w:b w:val="0"/>
          <w:bCs w:val="0"/>
          <w:sz w:val="18"/>
          <w:szCs w:val="18"/>
          <w:u w:val="none"/>
          <w:lang w:val="en-US" w:eastAsia="zh-CN"/>
        </w:rPr>
        <w:t>条件</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公司经营管理发生严重困难，继续存续会使股东利益受到重大损失，通过其他途径不能解决的（即用尽内部救济），持有公司百分之十以上表决权的股东，可以请求人民法院解散公司</w:t>
      </w:r>
    </w:p>
    <w:p w14:paraId="63FD183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2.</w:t>
      </w:r>
      <w:r>
        <w:rPr>
          <w:rFonts w:hint="default" w:ascii="Times New Roman Regular" w:hAnsi="Times New Roman Regular" w:cs="Times New Roman Regular"/>
          <w:b w:val="0"/>
          <w:bCs w:val="0"/>
          <w:sz w:val="18"/>
          <w:szCs w:val="18"/>
          <w:u w:val="none"/>
          <w:lang w:val="en-US" w:eastAsia="zh-CN"/>
        </w:rPr>
        <w:t>限制：股东以知情权、利润分配请求权等权益受到损害，或者公司亏损、财产不足以偿还全部债务，以及公司被吊销企业法人营业执照未进行清算等为由，提起解散公司诉讼的，人民法院不予受理</w:t>
      </w:r>
    </w:p>
    <w:p w14:paraId="14BFC4A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3.</w:t>
      </w:r>
      <w:r>
        <w:rPr>
          <w:rFonts w:hint="default" w:ascii="Times New Roman Regular" w:hAnsi="Times New Roman Regular" w:cs="Times New Roman Regular"/>
          <w:b w:val="0"/>
          <w:bCs w:val="0"/>
          <w:sz w:val="18"/>
          <w:szCs w:val="18"/>
          <w:u w:val="none"/>
          <w:lang w:val="en-US" w:eastAsia="zh-CN"/>
        </w:rPr>
        <w:t>顺序：股东提起解散公司诉讼，同时又申请人民法院对公司进行清算的，人民法院对其提出的清算申请不予受理。人民法院可以告知原告，在人民法院判决解散公司后，自行组织清算或者另行申请人民法院对公司进行清算</w:t>
      </w:r>
    </w:p>
    <w:p w14:paraId="30262D1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4.</w:t>
      </w:r>
      <w:r>
        <w:rPr>
          <w:rFonts w:hint="default" w:ascii="Times New Roman Regular" w:hAnsi="Times New Roman Regular" w:cs="Times New Roman Regular"/>
          <w:b w:val="0"/>
          <w:bCs w:val="0"/>
          <w:sz w:val="18"/>
          <w:szCs w:val="18"/>
          <w:u w:val="none"/>
          <w:lang w:val="en-US" w:eastAsia="zh-CN"/>
        </w:rPr>
        <w:t>效力：根据《公司法解释（二）》第6条规定，人民法院关于解散公司诉讼作出的判决，对公司全体股东具有法律</w:t>
      </w:r>
      <w:r>
        <w:rPr>
          <w:rFonts w:hint="eastAsia" w:ascii="Times New Roman Regular" w:hAnsi="Times New Roman Regular" w:cs="Times New Roman Regular"/>
          <w:b w:val="0"/>
          <w:bCs w:val="0"/>
          <w:sz w:val="18"/>
          <w:szCs w:val="18"/>
          <w:u w:val="none"/>
          <w:lang w:val="en-US" w:eastAsia="zh-CN"/>
        </w:rPr>
        <w:t>约束力</w:t>
      </w:r>
    </w:p>
    <w:p w14:paraId="3799C02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二、公司的清算</w:t>
      </w:r>
    </w:p>
    <w:p w14:paraId="336767F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（一）</w:t>
      </w:r>
      <w:r>
        <w:rPr>
          <w:rFonts w:hint="default" w:ascii="Times New Roman Regular" w:hAnsi="Times New Roman Regular" w:cs="Times New Roman Regular"/>
          <w:b w:val="0"/>
          <w:bCs w:val="0"/>
          <w:sz w:val="18"/>
          <w:szCs w:val="18"/>
          <w:u w:val="none"/>
          <w:lang w:val="en-US" w:eastAsia="zh-CN"/>
        </w:rPr>
        <w:t>自行清算</w:t>
      </w:r>
    </w:p>
    <w:p w14:paraId="210A95F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董事为公司清算义务人，应当在解散事由出现之日起十五日内组成清算组进行清算。</w:t>
      </w:r>
    </w:p>
    <w:p w14:paraId="7512DC1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清算组由董事组成，但是公司章程另有规定或者股东会决议另选他人的除外。</w:t>
      </w:r>
    </w:p>
    <w:p w14:paraId="219F761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清算义务人未及时履行清算义务，给公司或者债权人造成损失的，应当承担赔偿责任</w:t>
      </w:r>
    </w:p>
    <w:p w14:paraId="563227D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（二）</w:t>
      </w:r>
      <w:r>
        <w:rPr>
          <w:rFonts w:hint="default" w:ascii="Times New Roman Regular" w:hAnsi="Times New Roman Regular" w:cs="Times New Roman Regular"/>
          <w:b w:val="0"/>
          <w:bCs w:val="0"/>
          <w:sz w:val="18"/>
          <w:szCs w:val="18"/>
          <w:u w:val="none"/>
          <w:lang w:val="en-US" w:eastAsia="zh-CN"/>
        </w:rPr>
        <w:t>指定清算</w:t>
      </w:r>
    </w:p>
    <w:p w14:paraId="274D650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1．怠于清算：公司应当清算，逾期不成立清算组进行清算或者成立清算组后不清算的，利害关系人可以申请人民法院指定有关人员组成清算组进行清算。人民法院应当受理该申请，并及时组织清算组进行清算</w:t>
      </w:r>
    </w:p>
    <w:p w14:paraId="031C30A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2．指定清算组：公司因公司法第二百二十九条第一款第四项的规定而解散的，作出吊销营业执照、责令关闭或者撤销决定的部门或者公司登记机关，可以申请人民法院指定有关人员组成清算组进行清算。</w:t>
      </w:r>
    </w:p>
    <w:p w14:paraId="5511709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清算组成员可以从下列人员或者机构中产生：</w:t>
      </w:r>
    </w:p>
    <w:p w14:paraId="6B396FD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（1）公司股东、董事、监事、高级管理人员</w:t>
      </w:r>
    </w:p>
    <w:p w14:paraId="3C3730E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（2）依法设立的律师事务所、会计师事务所、破产清算事务所等社会中介机构</w:t>
      </w:r>
    </w:p>
    <w:p w14:paraId="537F5A1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（3）依法设立的律师事务所、会计师事务所、破产清算事务所等社会中介机构中具备相关专业知识并取得执业资格的人员</w:t>
      </w:r>
    </w:p>
    <w:p w14:paraId="080230E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（三）</w:t>
      </w:r>
      <w:r>
        <w:rPr>
          <w:rFonts w:hint="default" w:ascii="Times New Roman Regular" w:hAnsi="Times New Roman Regular" w:cs="Times New Roman Regular"/>
          <w:b w:val="0"/>
          <w:bCs w:val="0"/>
          <w:sz w:val="18"/>
          <w:szCs w:val="18"/>
          <w:u w:val="none"/>
          <w:lang w:val="en-US" w:eastAsia="zh-CN"/>
        </w:rPr>
        <w:t>清算组的职权</w:t>
      </w:r>
    </w:p>
    <w:p w14:paraId="5A26D1F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1．清理公司财产，分别编制资产负债表和财产清单</w:t>
      </w:r>
    </w:p>
    <w:p w14:paraId="04799B5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2．通知、公告债权人</w:t>
      </w:r>
    </w:p>
    <w:p w14:paraId="6511415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3．处理与清算有关的公司未了结的业务</w:t>
      </w:r>
    </w:p>
    <w:p w14:paraId="6B0EB6D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4．清缴所欠税款以及清算过程中产生的税款</w:t>
      </w:r>
    </w:p>
    <w:p w14:paraId="653F171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5．清理债权、债务</w:t>
      </w:r>
    </w:p>
    <w:p w14:paraId="567FBB8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6．分配公司清偿债务后的剩余财产</w:t>
      </w:r>
    </w:p>
    <w:p w14:paraId="0A3F48B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7．代表公司参与民事诉讼活动。</w:t>
      </w:r>
    </w:p>
    <w:p w14:paraId="6EF42EA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清算组应当自成立之日起十日内通知债权人，并于六十日内在报纸上或者国家企业信用信息公示系统公告。债权人应当自接到通知之日起三十日内，未接到通知的自公告之日起四十五日内，向清算组申报其债权</w:t>
      </w:r>
    </w:p>
    <w:p w14:paraId="2F686CF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（四）</w:t>
      </w:r>
      <w:r>
        <w:rPr>
          <w:rFonts w:hint="default" w:ascii="Times New Roman Regular" w:hAnsi="Times New Roman Regular" w:cs="Times New Roman Regular"/>
          <w:b w:val="0"/>
          <w:bCs w:val="0"/>
          <w:sz w:val="18"/>
          <w:szCs w:val="18"/>
          <w:u w:val="none"/>
          <w:lang w:val="en-US" w:eastAsia="zh-CN"/>
        </w:rPr>
        <w:t>限制</w:t>
      </w:r>
    </w:p>
    <w:p w14:paraId="5F6C8C2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1．清算期间，公司存续，但不得开展与清算无关的经营活动</w:t>
      </w:r>
    </w:p>
    <w:p w14:paraId="0057568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2．在申报债权期间，清算组不得对债权人进行个别清偿</w:t>
      </w:r>
    </w:p>
    <w:p w14:paraId="1909B8C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3．公司财产分别支付清算费用、职工的工资、社会保险费用和法定补偿金，缴纳所欠税款，清偿公司债务后的剩余财产，有限责任公司按照股东的出资比例分配，股份有限公司按照股东持有的股份比例分配</w:t>
      </w:r>
    </w:p>
    <w:p w14:paraId="2FCA544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（五）其他规定</w:t>
      </w:r>
    </w:p>
    <w:p w14:paraId="2E7B782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1．清算组成员履行清算职责，负有忠实义务和勤勉义务。</w:t>
      </w:r>
    </w:p>
    <w:p w14:paraId="1AC25DE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清算组成员怠于履行清算职责，给公司造成损失的，应当承担赔偿责任；因故意或者重大过失给债权人造成损失的，应当承担赔偿责任</w:t>
      </w:r>
    </w:p>
    <w:p w14:paraId="0C85833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2．公司清算结束后，清算组应当制作清算报告，报股东会或者法院确认，并报送公司登记机关，申请注销公司登记</w:t>
      </w:r>
    </w:p>
    <w:p w14:paraId="2393256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3．公司在存续期间未产生债务，或者已清偿全部债务的，经全体股东承诺，可以按照规定通过简易程序注销公司登记。</w:t>
      </w:r>
    </w:p>
    <w:p w14:paraId="6AD8BC3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通过简易程序注销公司登记，应当通过国家企业信用信息公示系统予以公告，公告期限不少于二十日。公告期限届满后，未有异议的，公司可以在二十日内向公司登记机关申请注销公司登记。</w:t>
      </w:r>
    </w:p>
    <w:p w14:paraId="093C25D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公司通过简易程序注销公司登记，股东承诺不实的，应当对注销登记前的债务承担连带责任</w:t>
      </w:r>
    </w:p>
    <w:p w14:paraId="2E7DB82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4．公司被吊销营业执照、责令关闭或者被撤销，满三年未向公司登记机关申请注销公司登记的，公司登记机关可以通过国家企业信用信息公示系统予以公告，公告期限不少于六十日。公告期限届满后，未有异议的，公司登记机关可以注销公司登记。</w:t>
      </w:r>
    </w:p>
    <w:p w14:paraId="11C14F5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依照前款规定注销公司登记的，原公司股东、清算义务人的责任不受影响</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书宋二简">
    <w:altName w:val="华文宋体"/>
    <w:panose1 w:val="02010600000101010101"/>
    <w:charset w:val="86"/>
    <w:family w:val="modern"/>
    <w:pitch w:val="default"/>
    <w:sig w:usb0="00000000" w:usb1="00000000" w:usb2="00000002" w:usb3="00000000" w:csb0="00040000" w:csb1="00000000"/>
  </w:font>
  <w:font w:name="华文宋体">
    <w:panose1 w:val="02010600040101010101"/>
    <w:charset w:val="86"/>
    <w:family w:val="auto"/>
    <w:pitch w:val="default"/>
    <w:sig w:usb0="80000287" w:usb1="280F3C52" w:usb2="00000016" w:usb3="00000000" w:csb0="0004001F" w:csb1="00000000"/>
  </w:font>
  <w:font w:name="Times New Roman Regular">
    <w:panose1 w:val="02020503050405090304"/>
    <w:charset w:val="00"/>
    <w:family w:val="auto"/>
    <w:pitch w:val="default"/>
    <w:sig w:usb0="E0000AFF" w:usb1="00007843" w:usb2="00000001" w:usb3="00000000" w:csb0="400001BF" w:csb1="DFF7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BDAEF9"/>
    <w:rsid w:val="03A6220B"/>
    <w:rsid w:val="09FF37FE"/>
    <w:rsid w:val="0D9A55A2"/>
    <w:rsid w:val="13EF1752"/>
    <w:rsid w:val="16EFD392"/>
    <w:rsid w:val="177DA370"/>
    <w:rsid w:val="17DFFA75"/>
    <w:rsid w:val="18BFC09B"/>
    <w:rsid w:val="1BC8E4F3"/>
    <w:rsid w:val="1BEF9C01"/>
    <w:rsid w:val="1BFB8A79"/>
    <w:rsid w:val="1DA7D367"/>
    <w:rsid w:val="1FFDE82A"/>
    <w:rsid w:val="1FFE3DC8"/>
    <w:rsid w:val="25E4E361"/>
    <w:rsid w:val="2FF57ABD"/>
    <w:rsid w:val="31FF97B2"/>
    <w:rsid w:val="37F9300F"/>
    <w:rsid w:val="39CD9E08"/>
    <w:rsid w:val="3AA211B0"/>
    <w:rsid w:val="3BBF220F"/>
    <w:rsid w:val="3D680BC6"/>
    <w:rsid w:val="3DDD8785"/>
    <w:rsid w:val="3E54ECC4"/>
    <w:rsid w:val="3EFF2196"/>
    <w:rsid w:val="3EFFCDE3"/>
    <w:rsid w:val="3F7D6D90"/>
    <w:rsid w:val="3FDF38B5"/>
    <w:rsid w:val="3FE9BB3B"/>
    <w:rsid w:val="3FF373A0"/>
    <w:rsid w:val="4D7AF3B1"/>
    <w:rsid w:val="4DFB2749"/>
    <w:rsid w:val="4EFF6AA8"/>
    <w:rsid w:val="4F7E5D39"/>
    <w:rsid w:val="4FAD7741"/>
    <w:rsid w:val="4FEF7A7F"/>
    <w:rsid w:val="4FF62111"/>
    <w:rsid w:val="55B6EECE"/>
    <w:rsid w:val="577DF98B"/>
    <w:rsid w:val="57FDC1B1"/>
    <w:rsid w:val="5BB7B3D0"/>
    <w:rsid w:val="5BF630B3"/>
    <w:rsid w:val="5D1E5E35"/>
    <w:rsid w:val="5D2F548A"/>
    <w:rsid w:val="5D9CC53C"/>
    <w:rsid w:val="5DBFD756"/>
    <w:rsid w:val="5DDF2929"/>
    <w:rsid w:val="5EF589B3"/>
    <w:rsid w:val="5F2FB4C6"/>
    <w:rsid w:val="5F67BE34"/>
    <w:rsid w:val="5F9DEE1A"/>
    <w:rsid w:val="5F9FED60"/>
    <w:rsid w:val="5FDFC522"/>
    <w:rsid w:val="63F79634"/>
    <w:rsid w:val="676B1FCF"/>
    <w:rsid w:val="67F71FFA"/>
    <w:rsid w:val="6B5CEE04"/>
    <w:rsid w:val="6BBF548D"/>
    <w:rsid w:val="6BEE3C17"/>
    <w:rsid w:val="6BF3D517"/>
    <w:rsid w:val="6CFC5835"/>
    <w:rsid w:val="6DD90F6A"/>
    <w:rsid w:val="6EBFFE06"/>
    <w:rsid w:val="6EDC6954"/>
    <w:rsid w:val="6F7FD66B"/>
    <w:rsid w:val="6FBF1E8B"/>
    <w:rsid w:val="6FC75035"/>
    <w:rsid w:val="6FE9DFA5"/>
    <w:rsid w:val="6FEDC998"/>
    <w:rsid w:val="6FF6B73E"/>
    <w:rsid w:val="6FF7B5C8"/>
    <w:rsid w:val="6FF7C38D"/>
    <w:rsid w:val="72B16660"/>
    <w:rsid w:val="72FEDFAF"/>
    <w:rsid w:val="74EF0DAF"/>
    <w:rsid w:val="75F7A58B"/>
    <w:rsid w:val="75FFDC8C"/>
    <w:rsid w:val="76576194"/>
    <w:rsid w:val="77F5922B"/>
    <w:rsid w:val="78BF0347"/>
    <w:rsid w:val="78FF9F1C"/>
    <w:rsid w:val="795BB6EC"/>
    <w:rsid w:val="79B72732"/>
    <w:rsid w:val="7A8FECFA"/>
    <w:rsid w:val="7B6D3C00"/>
    <w:rsid w:val="7B77E946"/>
    <w:rsid w:val="7BAF28C8"/>
    <w:rsid w:val="7BFFD2F7"/>
    <w:rsid w:val="7C7DDD51"/>
    <w:rsid w:val="7C9D61C3"/>
    <w:rsid w:val="7D473A11"/>
    <w:rsid w:val="7D7FD33D"/>
    <w:rsid w:val="7DBDD90E"/>
    <w:rsid w:val="7DBFEFAD"/>
    <w:rsid w:val="7DCB30B3"/>
    <w:rsid w:val="7DDA1C98"/>
    <w:rsid w:val="7DE7821D"/>
    <w:rsid w:val="7DF72ECF"/>
    <w:rsid w:val="7DF9200D"/>
    <w:rsid w:val="7E3F6002"/>
    <w:rsid w:val="7EED7FF8"/>
    <w:rsid w:val="7EFDBC11"/>
    <w:rsid w:val="7EFFC158"/>
    <w:rsid w:val="7F3B9F4C"/>
    <w:rsid w:val="7F3C3286"/>
    <w:rsid w:val="7F695405"/>
    <w:rsid w:val="7F6B748A"/>
    <w:rsid w:val="7FA50BA8"/>
    <w:rsid w:val="7FA60D06"/>
    <w:rsid w:val="7FB49696"/>
    <w:rsid w:val="7FB797CE"/>
    <w:rsid w:val="7FBF0F91"/>
    <w:rsid w:val="7FE6F2CC"/>
    <w:rsid w:val="7FE7235C"/>
    <w:rsid w:val="7FEB7F9E"/>
    <w:rsid w:val="7FFCE884"/>
    <w:rsid w:val="8ABEE47C"/>
    <w:rsid w:val="92DE60AB"/>
    <w:rsid w:val="A3C7B59A"/>
    <w:rsid w:val="AEAF67DC"/>
    <w:rsid w:val="AECFAD74"/>
    <w:rsid w:val="AED07A5A"/>
    <w:rsid w:val="AEFFF231"/>
    <w:rsid w:val="AF7349BF"/>
    <w:rsid w:val="AFFF1BA4"/>
    <w:rsid w:val="B1FDE468"/>
    <w:rsid w:val="B3FEA9EF"/>
    <w:rsid w:val="B7FEF551"/>
    <w:rsid w:val="B9FFBA7D"/>
    <w:rsid w:val="BBBF8B80"/>
    <w:rsid w:val="BBD68691"/>
    <w:rsid w:val="BDDFCC9E"/>
    <w:rsid w:val="BEFD20AA"/>
    <w:rsid w:val="BFD7C2A8"/>
    <w:rsid w:val="BFDF45C5"/>
    <w:rsid w:val="BFDF5E9D"/>
    <w:rsid w:val="BFFFBF04"/>
    <w:rsid w:val="BFFFC478"/>
    <w:rsid w:val="C2FF7057"/>
    <w:rsid w:val="CBDA46FA"/>
    <w:rsid w:val="CDF9AD73"/>
    <w:rsid w:val="CEAF22DB"/>
    <w:rsid w:val="CFABA3EB"/>
    <w:rsid w:val="CFBDAEF9"/>
    <w:rsid w:val="CFFF1593"/>
    <w:rsid w:val="D7F8DDAE"/>
    <w:rsid w:val="D99D7B6E"/>
    <w:rsid w:val="DBF64670"/>
    <w:rsid w:val="DDF9F698"/>
    <w:rsid w:val="DE5EFF5E"/>
    <w:rsid w:val="DFAB7455"/>
    <w:rsid w:val="DFBFE4DE"/>
    <w:rsid w:val="DFCCB69C"/>
    <w:rsid w:val="DFDD6831"/>
    <w:rsid w:val="E5718167"/>
    <w:rsid w:val="E59B90E9"/>
    <w:rsid w:val="E5AB3AAB"/>
    <w:rsid w:val="E5DD9418"/>
    <w:rsid w:val="E787CCF8"/>
    <w:rsid w:val="E7BFCB01"/>
    <w:rsid w:val="EA3CD53D"/>
    <w:rsid w:val="EB6E8309"/>
    <w:rsid w:val="EBD730EB"/>
    <w:rsid w:val="EC2D9E1A"/>
    <w:rsid w:val="EECA7655"/>
    <w:rsid w:val="EF06E542"/>
    <w:rsid w:val="EF3B5A75"/>
    <w:rsid w:val="EF6BACFF"/>
    <w:rsid w:val="EF73E6F1"/>
    <w:rsid w:val="EF77566E"/>
    <w:rsid w:val="EF7FB042"/>
    <w:rsid w:val="EF85FF76"/>
    <w:rsid w:val="EF99980E"/>
    <w:rsid w:val="EFB7ADF2"/>
    <w:rsid w:val="EFB90BB4"/>
    <w:rsid w:val="EFCFFD3A"/>
    <w:rsid w:val="EFDF470A"/>
    <w:rsid w:val="EFDFF3E6"/>
    <w:rsid w:val="EFE712E6"/>
    <w:rsid w:val="EFF7C6A6"/>
    <w:rsid w:val="EFF7EEAE"/>
    <w:rsid w:val="F0D7EC59"/>
    <w:rsid w:val="F0DE3C2E"/>
    <w:rsid w:val="F1AF4511"/>
    <w:rsid w:val="F1B927A4"/>
    <w:rsid w:val="F3FBF516"/>
    <w:rsid w:val="F3FF92B4"/>
    <w:rsid w:val="F54E1163"/>
    <w:rsid w:val="F56E2A6E"/>
    <w:rsid w:val="F5EEDA60"/>
    <w:rsid w:val="F5EFB180"/>
    <w:rsid w:val="F5F7E282"/>
    <w:rsid w:val="F6CFF3E3"/>
    <w:rsid w:val="F6DFFC0C"/>
    <w:rsid w:val="F735CF42"/>
    <w:rsid w:val="F73F225B"/>
    <w:rsid w:val="F7C5801C"/>
    <w:rsid w:val="FABE4737"/>
    <w:rsid w:val="FB3760F9"/>
    <w:rsid w:val="FB7E7244"/>
    <w:rsid w:val="FBDF91EB"/>
    <w:rsid w:val="FBFF7EF4"/>
    <w:rsid w:val="FCEF4E65"/>
    <w:rsid w:val="FD375179"/>
    <w:rsid w:val="FD6C9E97"/>
    <w:rsid w:val="FD6EB3EE"/>
    <w:rsid w:val="FDBDD900"/>
    <w:rsid w:val="FDDAE026"/>
    <w:rsid w:val="FDF59568"/>
    <w:rsid w:val="FE090E58"/>
    <w:rsid w:val="FE7F0F70"/>
    <w:rsid w:val="FEA64923"/>
    <w:rsid w:val="FEAF2B22"/>
    <w:rsid w:val="FED769C8"/>
    <w:rsid w:val="FEEF9E93"/>
    <w:rsid w:val="FF3362C6"/>
    <w:rsid w:val="FF6F6FFE"/>
    <w:rsid w:val="FF7BF13D"/>
    <w:rsid w:val="FF7ED20B"/>
    <w:rsid w:val="FF943FE1"/>
    <w:rsid w:val="FF9F8E8F"/>
    <w:rsid w:val="FFBD6458"/>
    <w:rsid w:val="FFBEC6FF"/>
    <w:rsid w:val="FFCD9264"/>
    <w:rsid w:val="FFEB886A"/>
    <w:rsid w:val="FFEFF665"/>
    <w:rsid w:val="FFF72BE1"/>
    <w:rsid w:val="FFF75DF6"/>
    <w:rsid w:val="FFFBE5A1"/>
    <w:rsid w:val="FFFF283E"/>
    <w:rsid w:val="FFFF3C31"/>
    <w:rsid w:val="FFFF8129"/>
    <w:rsid w:val="FFFF9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unhideWhenUsed/>
    <w:qFormat/>
    <w:uiPriority w:val="99"/>
    <w:pPr>
      <w:widowControl/>
      <w:spacing w:before="100" w:beforeAutospacing="1" w:after="100" w:afterAutospacing="1" w:line="384" w:lineRule="exact"/>
      <w:ind w:firstLine="721" w:firstLineChars="200"/>
      <w:jc w:val="left"/>
    </w:pPr>
    <w:rPr>
      <w:rFonts w:ascii="宋体" w:hAnsi="宋体" w:eastAsia="汉仪书宋二简" w:cs="宋体"/>
      <w:color w:val="auto"/>
      <w:kern w:val="0"/>
      <w:sz w:val="24"/>
      <w:szCs w:val="24"/>
      <w:lang w:val="en-US" w:eastAsia="zh-CN" w:bidi="ar-SA"/>
    </w:rPr>
  </w:style>
  <w:style w:type="table" w:styleId="4">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28</TotalTime>
  <ScaleCrop>false</ScaleCrop>
  <LinksUpToDate>false</LinksUpToDate>
  <CharactersWithSpaces>0</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2026-02-11T00:22:00Z</dcterms:created>
  <dc:creator>Arthur (Xiao) Dong</dc:creator>
  <cp:lastModifiedBy>Arthur (Xiao) Dong</cp:lastModifiedBy>
  <dcterms:modified xsi:type="dcterms:W3CDTF">2026-07-04T21:23:45Z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3A31E5C62E8666FD53247769E1688135_41</vt:lpwstr>
  </property>
</Properties>
</file>