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民诉主观专题突破第三讲课堂笔记（专题3-4）</w:t>
      </w:r>
    </w:p>
    <w:p w14:paraId="21CD4E7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Regular" w:hAnsi="Times New Roman Regular" w:cs="Times New Roman Regular"/>
          <w:sz w:val="21"/>
          <w:szCs w:val="21"/>
          <w:u w:val="none"/>
          <w:lang w:val="en-US" w:eastAsia="zh-CN"/>
        </w:rPr>
      </w:pPr>
    </w:p>
    <w:p w14:paraId="5B4D34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【专题3:必要共同诉讼】</w:t>
      </w:r>
    </w:p>
    <w:p w14:paraId="3590F6B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（接续上次课内容）</w:t>
      </w:r>
      <w:bookmarkStart w:id="0" w:name="_GoBack"/>
      <w:bookmarkEnd w:id="0"/>
    </w:p>
    <w:p w14:paraId="4CE2C1D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二、必要共同诉讼人的追加</w:t>
      </w:r>
    </w:p>
    <w:p w14:paraId="4345316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1．可由当事人申请，也可由法院依职权通知追加；</w:t>
      </w:r>
    </w:p>
    <w:p w14:paraId="1E4F3C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2．应当追加的原告，已明确表示放弃实体权利，可不予追加；既不愿意参加诉讼，又不放弃实体权利，仍应追加为共同原告。</w:t>
      </w:r>
    </w:p>
    <w:p w14:paraId="0170BD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三、必要共同诉讼人的内部关系</w:t>
      </w:r>
    </w:p>
    <w:p w14:paraId="564EE2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必要共同诉讼中一人的诉讼行为经其他共同诉讼人承认，对其他共同诉讼人发生效力。</w:t>
      </w:r>
    </w:p>
    <w:p w14:paraId="42CBDC2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证据规定</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第</w:t>
      </w:r>
      <w:r>
        <w:rPr>
          <w:rFonts w:hint="eastAsia" w:ascii="Times New Roman Regular" w:hAnsi="Times New Roman Regular" w:cs="Times New Roman Regular"/>
          <w:sz w:val="24"/>
          <w:szCs w:val="24"/>
          <w:u w:val="none"/>
          <w:lang w:val="en-US" w:eastAsia="zh-CN"/>
        </w:rPr>
        <w:t>6</w:t>
      </w:r>
      <w:r>
        <w:rPr>
          <w:rFonts w:hint="default" w:ascii="Times New Roman Regular" w:hAnsi="Times New Roman Regular" w:cs="Times New Roman Regular"/>
          <w:sz w:val="24"/>
          <w:szCs w:val="24"/>
          <w:u w:val="none"/>
          <w:lang w:val="en-US" w:eastAsia="zh-CN"/>
        </w:rPr>
        <w:t>条</w:t>
      </w:r>
      <w:r>
        <w:rPr>
          <w:rFonts w:hint="eastAsia" w:ascii="Times New Roman Regular" w:hAnsi="Times New Roman Regular" w:cs="Times New Roman Regular"/>
          <w:sz w:val="24"/>
          <w:szCs w:val="24"/>
          <w:u w:val="none"/>
          <w:lang w:val="en-US" w:eastAsia="zh-CN"/>
        </w:rPr>
        <w:t>：“</w:t>
      </w:r>
      <w:r>
        <w:rPr>
          <w:rFonts w:hint="eastAsia" w:ascii="Kaiti SC" w:hAnsi="Kaiti SC" w:eastAsia="Kaiti SC" w:cs="Kaiti SC"/>
          <w:sz w:val="24"/>
          <w:szCs w:val="24"/>
          <w:u w:val="none"/>
          <w:lang w:val="en-US" w:eastAsia="zh-CN"/>
        </w:rPr>
        <w:t>普通共同诉讼中，共同诉讼人中一人或者数人作出的自认，对作出自认的当事人发生效力。必要共同诉讼中，共同诉讼人中一人或者数人作出自认而其他共同诉讼人予以否认的，不发生自认的效力。其他共同诉讼人既不承认也不否认，经审判人员说明并询问后仍然不明确表示意见的，视为全体共同诉讼人的自认。</w:t>
      </w:r>
      <w:r>
        <w:rPr>
          <w:rFonts w:hint="eastAsia" w:ascii="Times New Roman Regular" w:hAnsi="Times New Roman Regular" w:cs="Times New Roman Regular"/>
          <w:sz w:val="24"/>
          <w:szCs w:val="24"/>
          <w:u w:val="none"/>
          <w:lang w:val="en-US" w:eastAsia="zh-CN"/>
        </w:rPr>
        <w:t>”</w:t>
      </w:r>
    </w:p>
    <w:p w14:paraId="71E38FF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例外：共同诉讼人中一人对判决不服提起上诉的，如果上诉后为不可分之诉，不管其他共同诉讼人是否承认该上诉行为，上诉的效力都及于共同诉讼人全体。</w:t>
      </w:r>
    </w:p>
    <w:p w14:paraId="05B5E1B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highlight w:val="none"/>
          <w:u w:val="none"/>
          <w:lang w:val="en-US" w:eastAsia="zh-CN"/>
        </w:rPr>
      </w:pPr>
      <w:r>
        <w:rPr>
          <w:rFonts w:hint="eastAsia" w:ascii="Times New Roman Regular" w:hAnsi="Times New Roman Regular" w:cs="Times New Roman Regular"/>
          <w:sz w:val="24"/>
          <w:szCs w:val="24"/>
          <w:highlight w:val="none"/>
          <w:u w:val="none"/>
          <w:lang w:val="en-US" w:eastAsia="zh-CN"/>
        </w:rPr>
        <w:t>四、适用情形</w:t>
      </w:r>
    </w:p>
    <w:p w14:paraId="523CBE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1．挂靠行为</w:t>
      </w:r>
      <w:r>
        <w:rPr>
          <w:rFonts w:hint="eastAsia" w:ascii="Times New Roman Regular" w:hAnsi="Times New Roman Regular" w:cs="Times New Roman Regular"/>
          <w:sz w:val="24"/>
          <w:szCs w:val="24"/>
          <w:u w:val="none"/>
          <w:lang w:val="en-US" w:eastAsia="zh-CN"/>
        </w:rPr>
        <w:t>（类似必要共同诉讼/普通共同诉讼）</w:t>
      </w:r>
    </w:p>
    <w:p w14:paraId="7B865E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2．企业法人分立，分立前的民事活动发生纠纷，分立后的企业法人为共同诉讼人。（</w:t>
      </w:r>
      <w:r>
        <w:rPr>
          <w:rFonts w:hint="eastAsia" w:ascii="Times New Roman Regular" w:hAnsi="Times New Roman Regular" w:cs="Times New Roman Regular"/>
          <w:sz w:val="24"/>
          <w:szCs w:val="24"/>
          <w:u w:val="none"/>
          <w:lang w:val="en-US" w:eastAsia="zh-CN"/>
        </w:rPr>
        <w:t>类似必要共同诉讼/</w:t>
      </w:r>
      <w:r>
        <w:rPr>
          <w:rFonts w:hint="default" w:ascii="Times New Roman Regular" w:hAnsi="Times New Roman Regular" w:cs="Times New Roman Regular"/>
          <w:sz w:val="24"/>
          <w:szCs w:val="24"/>
          <w:u w:val="none"/>
          <w:lang w:val="en-US" w:eastAsia="zh-CN"/>
        </w:rPr>
        <w:t>普通共同诉讼）</w:t>
      </w:r>
    </w:p>
    <w:p w14:paraId="3DC090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3．借用业务介绍信、合同专用章、盖章的空白合同或银行账户，出借单位和借用人为共同诉讼人。（</w:t>
      </w:r>
      <w:r>
        <w:rPr>
          <w:rFonts w:hint="eastAsia" w:ascii="Times New Roman Regular" w:hAnsi="Times New Roman Regular" w:cs="Times New Roman Regular"/>
          <w:sz w:val="24"/>
          <w:szCs w:val="24"/>
          <w:u w:val="none"/>
          <w:lang w:val="en-US" w:eastAsia="zh-CN"/>
        </w:rPr>
        <w:t>类似</w:t>
      </w:r>
      <w:r>
        <w:rPr>
          <w:rFonts w:hint="default" w:ascii="Times New Roman Regular" w:hAnsi="Times New Roman Regular" w:cs="Times New Roman Regular"/>
          <w:sz w:val="24"/>
          <w:szCs w:val="24"/>
          <w:u w:val="none"/>
          <w:lang w:val="en-US" w:eastAsia="zh-CN"/>
        </w:rPr>
        <w:t>必要共同诉讼</w:t>
      </w:r>
      <w:r>
        <w:rPr>
          <w:rFonts w:hint="eastAsia" w:ascii="Times New Roman Regular" w:hAnsi="Times New Roman Regular" w:cs="Times New Roman Regular"/>
          <w:sz w:val="24"/>
          <w:szCs w:val="24"/>
          <w:u w:val="none"/>
          <w:lang w:val="en-US" w:eastAsia="zh-CN"/>
        </w:rPr>
        <w:t>/普通共同诉讼</w:t>
      </w:r>
      <w:r>
        <w:rPr>
          <w:rFonts w:hint="default" w:ascii="Times New Roman Regular" w:hAnsi="Times New Roman Regular" w:cs="Times New Roman Regular"/>
          <w:sz w:val="24"/>
          <w:szCs w:val="24"/>
          <w:u w:val="none"/>
          <w:lang w:val="en-US" w:eastAsia="zh-CN"/>
        </w:rPr>
        <w:t>）</w:t>
      </w:r>
    </w:p>
    <w:p w14:paraId="4C54D6E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4．原告起诉被代理人和代理人，要求承担连带责任的，被代理人和代理人为共同被告。原告起诉代理人和相对人，要求承担连带责任的，代理人和相对人为共同被告。（</w:t>
      </w:r>
      <w:r>
        <w:rPr>
          <w:rFonts w:hint="eastAsia" w:ascii="Times New Roman Regular" w:hAnsi="Times New Roman Regular" w:cs="Times New Roman Regular"/>
          <w:sz w:val="24"/>
          <w:szCs w:val="24"/>
          <w:u w:val="none"/>
          <w:lang w:val="en-US" w:eastAsia="zh-CN"/>
        </w:rPr>
        <w:t>类似必要共同诉讼/</w:t>
      </w:r>
      <w:r>
        <w:rPr>
          <w:rFonts w:hint="default" w:ascii="Times New Roman Regular" w:hAnsi="Times New Roman Regular" w:cs="Times New Roman Regular"/>
          <w:sz w:val="24"/>
          <w:szCs w:val="24"/>
          <w:u w:val="none"/>
          <w:lang w:val="en-US" w:eastAsia="zh-CN"/>
        </w:rPr>
        <w:t>普通共同诉讼）</w:t>
      </w:r>
    </w:p>
    <w:p w14:paraId="41E023C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5．共有财产权受到他人侵害，部分共有权人起诉的，其他共有权人为共同诉讼人。（必要共同诉讼）</w:t>
      </w:r>
    </w:p>
    <w:p w14:paraId="1950B36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6．保证合同纠纷</w:t>
      </w:r>
    </w:p>
    <w:p w14:paraId="37364A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一般保证合同</w:t>
      </w:r>
    </w:p>
    <w:p w14:paraId="1F6113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直接起诉保证人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债务人+保证人/驳回起诉</w:t>
      </w:r>
    </w:p>
    <w:p w14:paraId="79DBB4A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提示：此处《民法典担保制度解释》和《民事诉讼法解释》的规定不一致，可以作如下理解：如果债权人只起诉保证人，鉴于保证人有先诉抗辩权，法院应当向债权人释明，应当起诉债务人，如果债权人将债务人列为共同被告，则可以受理，而如果释明后，债权人仍然不将债务人列为共同被告的，则驳回起诉。</w:t>
      </w:r>
    </w:p>
    <w:p w14:paraId="22150A7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仅起诉债务人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债务人</w:t>
      </w:r>
    </w:p>
    <w:p w14:paraId="51A916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起诉债务人和保证人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债务人+保证人（</w:t>
      </w:r>
      <w:r>
        <w:rPr>
          <w:rFonts w:hint="eastAsia" w:ascii="Times New Roman Regular" w:hAnsi="Times New Roman Regular" w:cs="Times New Roman Regular"/>
          <w:sz w:val="24"/>
          <w:szCs w:val="24"/>
          <w:u w:val="none"/>
          <w:lang w:val="en-US" w:eastAsia="zh-CN"/>
        </w:rPr>
        <w:t>类似必要共同诉讼/</w:t>
      </w:r>
      <w:r>
        <w:rPr>
          <w:rFonts w:hint="default" w:ascii="Times New Roman Regular" w:hAnsi="Times New Roman Regular" w:cs="Times New Roman Regular"/>
          <w:sz w:val="24"/>
          <w:szCs w:val="24"/>
          <w:u w:val="none"/>
          <w:lang w:val="en-US" w:eastAsia="zh-CN"/>
        </w:rPr>
        <w:t>普通共同诉讼）</w:t>
      </w:r>
    </w:p>
    <w:p w14:paraId="19C6B4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连带保证合同</w:t>
      </w:r>
    </w:p>
    <w:p w14:paraId="275B98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仅起诉保证人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保证人</w:t>
      </w:r>
    </w:p>
    <w:p w14:paraId="69DC066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仅起诉债务人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债务人</w:t>
      </w:r>
    </w:p>
    <w:p w14:paraId="43A2A2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起诉债务人和保证人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债务人+保证人（</w:t>
      </w:r>
      <w:r>
        <w:rPr>
          <w:rFonts w:hint="eastAsia" w:ascii="Times New Roman Regular" w:hAnsi="Times New Roman Regular" w:cs="Times New Roman Regular"/>
          <w:sz w:val="24"/>
          <w:szCs w:val="24"/>
          <w:u w:val="none"/>
          <w:lang w:val="en-US" w:eastAsia="zh-CN"/>
        </w:rPr>
        <w:t>类似必要共同诉讼/</w:t>
      </w:r>
      <w:r>
        <w:rPr>
          <w:rFonts w:hint="default" w:ascii="Times New Roman Regular" w:hAnsi="Times New Roman Regular" w:cs="Times New Roman Regular"/>
          <w:sz w:val="24"/>
          <w:szCs w:val="24"/>
          <w:u w:val="none"/>
          <w:lang w:val="en-US" w:eastAsia="zh-CN"/>
        </w:rPr>
        <w:t>普通共同诉讼）</w:t>
      </w:r>
    </w:p>
    <w:p w14:paraId="20D565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7．无民事行为能力人、限制民事行为能力人造成他人损害的，无民事行为能力人、限制民事行为能力人和其监护人为共同被告。（必要共同诉讼）</w:t>
      </w:r>
    </w:p>
    <w:p w14:paraId="30E367A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8．债权人以诉讼方式行使担保物权的，应当以债务人和担保人作为共同被告。（必要共同诉讼）</w:t>
      </w:r>
    </w:p>
    <w:p w14:paraId="4C9DE89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【提示】担保分为人保和物保，对于人保，按照前述的保证合同纠纷处理；对于物保，即抵押权、质权和留置权，则应当以债务人和担保人作为共同被告。</w:t>
      </w:r>
    </w:p>
    <w:p w14:paraId="6F92A6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9．因建设工程质量发生争议的，发包人可以以总承包人、分包人和实际施工人为共同被告提起诉讼。（</w:t>
      </w:r>
      <w:r>
        <w:rPr>
          <w:rFonts w:hint="eastAsia" w:ascii="Times New Roman Regular" w:hAnsi="Times New Roman Regular" w:cs="Times New Roman Regular"/>
          <w:sz w:val="24"/>
          <w:szCs w:val="24"/>
          <w:u w:val="none"/>
          <w:lang w:val="en-US" w:eastAsia="zh-CN"/>
        </w:rPr>
        <w:t>类似必要共同诉讼/</w:t>
      </w:r>
      <w:r>
        <w:rPr>
          <w:rFonts w:hint="default" w:ascii="Times New Roman Regular" w:hAnsi="Times New Roman Regular" w:cs="Times New Roman Regular"/>
          <w:sz w:val="24"/>
          <w:szCs w:val="24"/>
          <w:u w:val="none"/>
          <w:lang w:val="en-US" w:eastAsia="zh-CN"/>
        </w:rPr>
        <w:t>普通共同诉讼）</w:t>
      </w:r>
    </w:p>
    <w:p w14:paraId="5AE5F34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10．法院审理道路交通事故损害赔偿案件，应当将承保交强险的保险公司列为共同被告。但该保险公司已经在交强险责任限额范围内予以赔偿且当事人无异议的除外。法院审理道路交通事故损害赔偿案件，当事人请求将承保商业三者险的保险公司列为共同被告的，法院应予准许。（必要共同诉讼）</w:t>
      </w:r>
    </w:p>
    <w:p w14:paraId="16A6B11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11．法院在审理公司人格否认纠纷案件时，应当根据不同情形确定当事人的诉讼地位：（1）债权人对债务人公司享有的债权已经由生效裁判确认，其另行提起公司人格否认诉讼，请求股东对公司债务承担连带责任的，列股东为被告，公司为第三人；（2）债权人对债务人公司享有的债权提起诉讼的同时，一并提起公司人格否认诉讼，请求股东对公司债务承担连带责任的，列公司和股东为共同被告；（3）债权人对债务人公司享有的债权尚未经生效裁判确认，直接提起公司人格否认诉讼，请求公司股东对公司债务承担连带责任的，人民法院应当向债权人释明，告知其追加公司为共同被告。债权人拒绝追加的，人民法院应当裁定驳回起诉。（</w:t>
      </w:r>
      <w:r>
        <w:rPr>
          <w:rFonts w:hint="eastAsia" w:ascii="Times New Roman Regular" w:hAnsi="Times New Roman Regular" w:cs="Times New Roman Regular"/>
          <w:sz w:val="24"/>
          <w:szCs w:val="24"/>
          <w:u w:val="none"/>
          <w:lang w:val="en-US" w:eastAsia="zh-CN"/>
        </w:rPr>
        <w:t>类似必要共同诉讼/</w:t>
      </w:r>
      <w:r>
        <w:rPr>
          <w:rFonts w:hint="default" w:ascii="Times New Roman Regular" w:hAnsi="Times New Roman Regular" w:cs="Times New Roman Regular"/>
          <w:sz w:val="24"/>
          <w:szCs w:val="24"/>
          <w:u w:val="none"/>
          <w:lang w:val="en-US" w:eastAsia="zh-CN"/>
        </w:rPr>
        <w:t>普通共同诉讼）</w:t>
      </w:r>
    </w:p>
    <w:p w14:paraId="297B669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12．债权人提起撤销权诉讼，应当以债务人和债务人的相对人为共同被告。（必要共同诉讼）</w:t>
      </w:r>
    </w:p>
    <w:p w14:paraId="1CA529B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66B379D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【专题4:证明责任及其分配】</w:t>
      </w:r>
    </w:p>
    <w:p w14:paraId="07F7B91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一、证明责任基本原理</w:t>
      </w:r>
    </w:p>
    <w:p w14:paraId="6A39A5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1．要件事实真伪不明是适用证明责任的前提；</w:t>
      </w:r>
    </w:p>
    <w:p w14:paraId="45E0C9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2．证明责任是一种拟制或假定；</w:t>
      </w:r>
    </w:p>
    <w:p w14:paraId="69BF5D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3．证明责任的承担主体是一方当事人；</w:t>
      </w:r>
    </w:p>
    <w:p w14:paraId="7AA6CBB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4．证明责任由法律、司法解释等预先确定；</w:t>
      </w:r>
    </w:p>
    <w:p w14:paraId="603AB2F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5．证明责任分配不会在诉讼过程中移转。</w:t>
      </w:r>
    </w:p>
    <w:p w14:paraId="72B60B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二、证明责任分配的一般规则</w:t>
      </w:r>
    </w:p>
    <w:p w14:paraId="25B6D3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（一）证明责任分配一般原理</w:t>
      </w:r>
    </w:p>
    <w:p w14:paraId="7BD570A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1．主张法律关系存在的当事人，应对产生该法律关系的基本事实承担举证证明责任；</w:t>
      </w:r>
    </w:p>
    <w:p w14:paraId="3852DEA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2．主张法律关系变更、消灭或者权利受到妨害的当事人，应当对该法律关系变更、消灭或者权利受到妨害的基本事实承担举证证明责任。</w:t>
      </w:r>
    </w:p>
    <w:p w14:paraId="748BEB9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（二）侵权纠纷案件证明责任分配</w:t>
      </w:r>
    </w:p>
    <w:p w14:paraId="6C8007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根据证明责任分配的一般原理，主张侵权行为成立和存在免责事由均属于积极事实，相关主张者应承担证明责任。具体而言，受害方应当就存在侵权行为、侵权造成的损害后果、行为和结果之间存在因果关系以及加害方有过错（无过错原则除外）等要件事实承担证明责任；而加害方则应当就存在免责事由承担证明责任。</w:t>
      </w:r>
    </w:p>
    <w:p w14:paraId="7261E69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（三）与《民法典合同编通则解释》有关的证明责任分配</w:t>
      </w:r>
    </w:p>
    <w:p w14:paraId="3B25836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1．对于交易习惯，由提出主张的当事人一方承担举证责任。</w:t>
      </w:r>
    </w:p>
    <w:p w14:paraId="5C07720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2．提供格式条款的一方对其已经尽到提示义务或者说明义务承担举证责任。</w:t>
      </w:r>
    </w:p>
    <w:p w14:paraId="078B1CE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3．违约方主张约定的违约金过分高于违约造成的损失，请求予以适当减少，应当承担举证责任。</w:t>
      </w:r>
    </w:p>
    <w:p w14:paraId="692057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三、证明责任的特殊分配规则</w:t>
      </w:r>
    </w:p>
    <w:p w14:paraId="78AEC6C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因环境污染引起的损害赔偿诉讼，由加害人就法律规定的免责事由及其行为与损害结果之间不存在因果关系承担举证责任</w:t>
      </w:r>
    </w:p>
    <w:p w14:paraId="60CE7F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环境污染引起的民事责任一般属于无过错责任，因而被告是否有故意和过失不再是诉讼中证明的对象。按照证明责任分配的原则，原告应对损害事实的存在、被告有污染行为、损害与污染之间存在因果关系这三项产生损害赔偿请求权的事实负证明责任，被告则应对他主张的免责事由（污染是由第三者故意或过失引起的，是由受害者自身的责任引起的，或由不可抗拒的自然灾害引起的）负证明责任。但考虑到原告一般难以证明损害与污染之间存在因果关系，故为了提高原告求偿的成功率，《民法典》第1230条采取了证明责任倒置的办法，由被告对不存在因果关系负证明责任。</w:t>
      </w:r>
    </w:p>
    <w:p w14:paraId="1BA4EC3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建筑物或者其他设施以及建筑物上的搁置物、悬挂物发生倒塌、脱落、坠落致人损害的侵权诉讼，由所有人或者管理人对其无过错承担举证责任</w:t>
      </w:r>
    </w:p>
    <w:p w14:paraId="182D27D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我国民法理论把上述物品引起的侵权责任归入特殊的侵权责任。但这类侵权与其他特殊侵权责任不同，仍然是过错责任。其适用的是过错推定，产生了将过错的举证责任倒置给所有人、管理人或者使用人的效果。</w:t>
      </w:r>
    </w:p>
    <w:p w14:paraId="3D2BFAD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【提示】过错推定也是过错责任，只是证明责任倒置给被告。</w:t>
      </w:r>
    </w:p>
    <w:p w14:paraId="0AE22F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（三）一人公司</w:t>
      </w:r>
    </w:p>
    <w:p w14:paraId="29C2A0C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4"/>
          <w:szCs w:val="24"/>
          <w:u w:val="none"/>
          <w:lang w:val="en-US" w:eastAsia="zh-CN"/>
        </w:rPr>
        <w:t>一人公司的股东不能证明公司财产独立于股东自己的财产的，应当对公司债务承担连带责任。据此，原告起诉主张公司股东承担连带责任，此时公司财产独立于股东自己的财产的证明责任倒置给被告承担。</w:t>
      </w:r>
    </w:p>
    <w:p w14:paraId="7B2C5D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DD431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Kaiti SC">
    <w:panose1 w:val="02010600040101010101"/>
    <w:charset w:val="86"/>
    <w:family w:val="auto"/>
    <w:pitch w:val="default"/>
    <w:sig w:usb0="80000287" w:usb1="280F3C52" w:usb2="00000016" w:usb3="00000000" w:csb0="0004001F"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25E4E361"/>
    <w:rsid w:val="2FF57ABD"/>
    <w:rsid w:val="33FD09F3"/>
    <w:rsid w:val="37F9300F"/>
    <w:rsid w:val="396C1DDF"/>
    <w:rsid w:val="39BBEE6C"/>
    <w:rsid w:val="39CD9E08"/>
    <w:rsid w:val="3AA211B0"/>
    <w:rsid w:val="3DDD8785"/>
    <w:rsid w:val="3EFF2196"/>
    <w:rsid w:val="3EFFCDE3"/>
    <w:rsid w:val="3F7D6D90"/>
    <w:rsid w:val="3FDF38B5"/>
    <w:rsid w:val="3FFAC0E5"/>
    <w:rsid w:val="4D7AF3B1"/>
    <w:rsid w:val="4F7E5D39"/>
    <w:rsid w:val="4FEF7A7F"/>
    <w:rsid w:val="5BF630B3"/>
    <w:rsid w:val="5C9F7CE0"/>
    <w:rsid w:val="5D1E5E35"/>
    <w:rsid w:val="5D2F548A"/>
    <w:rsid w:val="5D9CC53C"/>
    <w:rsid w:val="5DBFD756"/>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DE7BCA"/>
    <w:rsid w:val="6FE9DFA5"/>
    <w:rsid w:val="6FF6B73E"/>
    <w:rsid w:val="6FF7B5C8"/>
    <w:rsid w:val="72B16660"/>
    <w:rsid w:val="72FEDFAF"/>
    <w:rsid w:val="74EF0DAF"/>
    <w:rsid w:val="75FFDC8C"/>
    <w:rsid w:val="76576194"/>
    <w:rsid w:val="777E0985"/>
    <w:rsid w:val="778F96FB"/>
    <w:rsid w:val="77BFCCB0"/>
    <w:rsid w:val="77FF4D7D"/>
    <w:rsid w:val="78FF9F1C"/>
    <w:rsid w:val="79B72732"/>
    <w:rsid w:val="7A8FECFA"/>
    <w:rsid w:val="7AFE81D2"/>
    <w:rsid w:val="7B6D3C00"/>
    <w:rsid w:val="7B77E946"/>
    <w:rsid w:val="7BAF28C8"/>
    <w:rsid w:val="7BFFD2F7"/>
    <w:rsid w:val="7C7DDD51"/>
    <w:rsid w:val="7C9D61C3"/>
    <w:rsid w:val="7D473A11"/>
    <w:rsid w:val="7D7FD33D"/>
    <w:rsid w:val="7DBDD90E"/>
    <w:rsid w:val="7DBFEFAD"/>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AEAF67DC"/>
    <w:rsid w:val="AECFAD74"/>
    <w:rsid w:val="AED07A5A"/>
    <w:rsid w:val="AEFFF231"/>
    <w:rsid w:val="AF7349BF"/>
    <w:rsid w:val="B1FDE468"/>
    <w:rsid w:val="B3FEA9EF"/>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5EFF5E"/>
    <w:rsid w:val="DFDD6831"/>
    <w:rsid w:val="DFFE5CB5"/>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F0D7EC59"/>
    <w:rsid w:val="F0DE3C2E"/>
    <w:rsid w:val="F1B927A4"/>
    <w:rsid w:val="F3FF92B4"/>
    <w:rsid w:val="F54E1163"/>
    <w:rsid w:val="F56E2A6E"/>
    <w:rsid w:val="F5EEDA60"/>
    <w:rsid w:val="F5EFB180"/>
    <w:rsid w:val="F6DFFC0C"/>
    <w:rsid w:val="F73F225B"/>
    <w:rsid w:val="FAAFCA32"/>
    <w:rsid w:val="FABE4737"/>
    <w:rsid w:val="FB3760F9"/>
    <w:rsid w:val="FBDF91EB"/>
    <w:rsid w:val="FBFB9313"/>
    <w:rsid w:val="FBFF7EF4"/>
    <w:rsid w:val="FCEF4E65"/>
    <w:rsid w:val="FD375179"/>
    <w:rsid w:val="FD6C9E97"/>
    <w:rsid w:val="FD6EB3EE"/>
    <w:rsid w:val="FDBDD900"/>
    <w:rsid w:val="FDF59568"/>
    <w:rsid w:val="FEA64923"/>
    <w:rsid w:val="FED769C8"/>
    <w:rsid w:val="FEFE8315"/>
    <w:rsid w:val="FF3362C6"/>
    <w:rsid w:val="FF6F6FFE"/>
    <w:rsid w:val="FF7BF13D"/>
    <w:rsid w:val="FF943FE1"/>
    <w:rsid w:val="FF9F8E8F"/>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125</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2026-02-08T00:22:00Z</dcterms:created>
  <dc:creator>Arthur (Xiao) Dong</dc:creator>
  <cp:lastModifiedBy>Arthur (Xiao) Dong</cp:lastModifiedBy>
  <dcterms:modified xsi:type="dcterms:W3CDTF">2026-06-28T11:40:30Z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