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民诉主观专题突破第二讲课堂笔记（专题2-3）</w:t>
      </w:r>
    </w:p>
    <w:p w14:paraId="70C4B0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【专题2:地域管辖制度】</w:t>
      </w:r>
    </w:p>
    <w:p w14:paraId="1C03868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一、特殊地域管辖</w:t>
      </w:r>
    </w:p>
    <w:p w14:paraId="1B94173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（一）合同类纠纷的管辖</w:t>
      </w:r>
    </w:p>
    <w:p w14:paraId="4BFF1A7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1．合同纠纷管辖</w:t>
      </w:r>
    </w:p>
    <w:p w14:paraId="3034CAE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因合同纠纷提起的诉讼，由被告住所地或者合同履行地法院管辖。</w:t>
      </w:r>
    </w:p>
    <w:p w14:paraId="406571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第一步，看有没有专属管辖；第二步，看有没有协议管辖；第三步，有没有约定合同履行地；第四步，如果没有约定合同履行地，那就是按照法律规定，争议标的为给付货币的，接受货币一方所在地为合同履行地；交付不动产的，不动产所在地为合同履行地；其他标的，履行义务一方所在地为合同履行地。即时结清的合同，交易行为地为合同履行地。</w:t>
      </w:r>
    </w:p>
    <w:p w14:paraId="6C35D81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2．担保合同纠纷的主管与管辖</w:t>
      </w:r>
    </w:p>
    <w:p w14:paraId="3D3308C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主合同或者担保合同约定仲裁条款：有效仲裁排斥诉讼。</w:t>
      </w:r>
    </w:p>
    <w:p w14:paraId="3339D7F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债权人起诉债务人和担保人：根据主合同确定管辖法院。（主合同的被告住所地、担保合同的被告住所地、主合同的合同履行地）</w:t>
      </w:r>
    </w:p>
    <w:p w14:paraId="2C09734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债权人仅起诉担保人：根据担保合同确定管辖法院。</w:t>
      </w:r>
    </w:p>
    <w:p w14:paraId="62FD736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（二）侵权类纠纷的管辖</w:t>
      </w:r>
    </w:p>
    <w:p w14:paraId="6F64F96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1．侵权纠纷管辖</w:t>
      </w:r>
    </w:p>
    <w:p w14:paraId="5CEC8ED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因侵权纠纷提起的诉讼，由被告住所地或者侵权行为地法院管辖。侵权行为地包括侵权行为实施地和侵权结果发生地。</w:t>
      </w:r>
    </w:p>
    <w:p w14:paraId="12E3EC3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2．特殊侵权类纠纷管辖</w:t>
      </w:r>
    </w:p>
    <w:p w14:paraId="466E939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（1）信息网络侵权纠纷：侵权行为实施地包括实施被诉侵权行为的计算机等信息设备所在地，侵权结果发生地包括被侵权人住所地。</w:t>
      </w:r>
    </w:p>
    <w:p w14:paraId="4413EC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（2）产品、服务质量不合格损害赔偿纠纷：产品制造地、产品销售地、服务提供地、侵权行为地和被告住所地法院都有管辖权。</w:t>
      </w:r>
    </w:p>
    <w:p w14:paraId="47864A2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（三）公司诉讼的管辖</w:t>
      </w:r>
    </w:p>
    <w:p w14:paraId="3A6EC2A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公司诉讼由公司住所地法院管辖。</w:t>
      </w:r>
    </w:p>
    <w:p w14:paraId="4E8AF21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公司诉讼包括：因公司设立、确认股东资格、分配利润、公司解散、股东名册记载、请求变更公司登记、股东知情权、公司决议、公司合并、公司分立、公司减资、公司增资等纠纷提起的诉讼。</w:t>
      </w:r>
    </w:p>
    <w:p w14:paraId="5977070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二、专属管辖</w:t>
      </w:r>
    </w:p>
    <w:p w14:paraId="7CDAB8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1．不动产纠纷，由不动产所在地法院管辖</w:t>
      </w:r>
    </w:p>
    <w:p w14:paraId="692C86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农村土地承包经营合同纠纷、房屋租赁合同纠纷、建设工程施工合同纠纷、政策性房屋买卖合同纠纷，按照不动产纠纷确定管辖。（口诀：政建农房需要专）</w:t>
      </w:r>
    </w:p>
    <w:p w14:paraId="4248A4C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2．港口作业纠纷，由港口所在地法院管辖</w:t>
      </w:r>
    </w:p>
    <w:p w14:paraId="4700219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3．继承遗产纠纷，由被继承人死亡时住所地或者主要遗产所在地法院管辖</w:t>
      </w:r>
    </w:p>
    <w:p w14:paraId="4604F9F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三、协议管辖</w:t>
      </w:r>
    </w:p>
    <w:p w14:paraId="5545690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）协议管辖的适用条件</w:t>
      </w:r>
    </w:p>
    <w:p w14:paraId="0753FC6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1．案件类型：合同或者其他财产权益纠纷</w:t>
      </w:r>
    </w:p>
    <w:p w14:paraId="6D79E7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2．约定形式：书面形式</w:t>
      </w:r>
    </w:p>
    <w:p w14:paraId="0C6982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3．选择法院范围：被告住所地、合同履行地、合同签订地、原告住所地、标的物所在地等与争议有实际联系地点的法院</w:t>
      </w:r>
    </w:p>
    <w:p w14:paraId="4178974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4．适用程序：第一审案件（所有管辖制度均针对第一审法院）</w:t>
      </w:r>
    </w:p>
    <w:p w14:paraId="09BB1A3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5．禁止条件：不违反级别管辖和专属管辖的规定</w:t>
      </w:r>
    </w:p>
    <w:p w14:paraId="0DF8DE4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）《民诉法解释》对协议管辖的规定</w:t>
      </w:r>
    </w:p>
    <w:p w14:paraId="1FE275E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1．协议管辖无须作出单一选择</w:t>
      </w:r>
    </w:p>
    <w:p w14:paraId="204901A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管辖协议约定两个以上与争议有实际联系的地点的法院管辖，原告可以向其中一个法院起诉。</w:t>
      </w:r>
    </w:p>
    <w:p w14:paraId="7E768F0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双方当事人既约定仲裁，又约定管辖法院的，原则上仲裁协议无效，但管辖协议有效。</w:t>
      </w:r>
    </w:p>
    <w:p w14:paraId="5A40537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2．格式管辖协议效力</w:t>
      </w:r>
    </w:p>
    <w:p w14:paraId="0D105D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经营者使用格式条款与消费者订立管辖协议，未采取合理方式提请消费者注意，消费者主张管辖协议无效的，法院应予支持。</w:t>
      </w:r>
    </w:p>
    <w:p w14:paraId="5EEA03B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3．管辖协议签订后当事人住所地变更</w:t>
      </w:r>
    </w:p>
    <w:p w14:paraId="75BEDC2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管辖协议约定由一方当事人住所地法院管辖，协议签订后当事人住所地变更的，由签订管辖协议时的住所地法院管辖，但当事人另有约定的除外。</w:t>
      </w:r>
    </w:p>
    <w:p w14:paraId="1FE27CE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4．管辖协议对合同受让人原则上有效</w:t>
      </w:r>
    </w:p>
    <w:p w14:paraId="5B020C6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合同转让的，合同的管辖协议对合同受让人有效，但转让时受让人不知道有管辖协议，或者转让协议另有约定且原合同相对人同意的除外。</w:t>
      </w:r>
    </w:p>
    <w:p w14:paraId="68FAA82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5．身份关系解除后财产争议可协议管辖</w:t>
      </w:r>
    </w:p>
    <w:p w14:paraId="22CC81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当事人因同居或者在解除婚姻、收养关系后发生财产争议，约定管辖的，可以适用协议管辖规定确定管辖。</w:t>
      </w:r>
    </w:p>
    <w:p w14:paraId="4958A78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6．协议未明确约定具体管辖法院并非当然无效</w:t>
      </w:r>
    </w:p>
    <w:p w14:paraId="3BB3882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当事人之间的管辖协议未明确约定具体管辖法院，但根据当事人约定的地域，结合案件性质、标的额等能够依法确定管辖法院，一方当事人仅以未明确约定具体管辖法院为由主张管辖协议无效的，人民法院不予支持。</w:t>
      </w:r>
    </w:p>
    <w:p w14:paraId="7EB0B9C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四、应诉管辖</w:t>
      </w:r>
    </w:p>
    <w:p w14:paraId="703F13C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应诉管辖，是指原告起诉被法院受理后，被告未在答辩期内提出管辖权异议并作出应诉答辩或者提起反诉的，视为受诉法院对案件享有管辖权的一种制度。</w:t>
      </w:r>
    </w:p>
    <w:p w14:paraId="45F7AFD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应诉管辖又被称为“默示协议管辖”，其适用不可以违反级别管辖和专属管辖。应诉管辖效力优于协议管辖。被告没有就起诉进行答辩，法院在开庭前发现本院对案件没有管辖权的，应当裁定移送有管辖权的法院。被告既应诉答辩，又提出管辖异议的，不适用应诉管辖制度。</w:t>
      </w:r>
    </w:p>
    <w:p w14:paraId="21CD4E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p>
    <w:p w14:paraId="5B4D34B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【专题3:必要共同诉讼】</w:t>
      </w:r>
    </w:p>
    <w:p w14:paraId="7156472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w:t>
      </w:r>
      <w:r>
        <w:rPr>
          <w:rFonts w:hint="eastAsia" w:ascii="Times New Roman Regular" w:hAnsi="Times New Roman Regular" w:cs="Times New Roman Regular"/>
          <w:sz w:val="24"/>
          <w:szCs w:val="24"/>
          <w:u w:val="none"/>
          <w:lang w:val="en-US" w:eastAsia="zh-CN"/>
        </w:rPr>
        <w:t>必要共同诉讼的类型</w:t>
      </w:r>
    </w:p>
    <w:p w14:paraId="1A25305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（一）固有的必要共同诉讼</w:t>
      </w:r>
    </w:p>
    <w:p w14:paraId="3C3F30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固有必要共同诉讼，是指因诉讼标的须对全体共同诉讼人合一确定，全体共同诉讼人必须一同起诉或被诉，当事人才适格的诉讼。固有必要共同诉讼有三种类型：（1）实体法上的处分权或管理权须由全体权利人共同行使。当依据民事实体法的规定，对诉讼标的的处分权或管理权须由全体权利人共同行使方为合法时，在诉讼中，须由全体权利人为原告或被告。（2）实体法上的形成权须由全体权利人共同行使或对数人共同行使。如近亲属依据我国《民法典》第1051条请求法院宣告婚姻无效的，应以夫妻双方为共同被告，当事人才适格。养父母或成年养子女以诉讼方式解除收养关系时，养父母作为共同原告或共同被告，当事人才适格。（3）其他类型固有必要共同诉讼。如无民事行为能力人、限制民事行为能力人造成他人损害的，无民事行为能力人、限制行为能力人和监护人为共同被告等。</w:t>
      </w:r>
    </w:p>
    <w:p w14:paraId="1312A5F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（二）类似的必要共同诉讼</w:t>
      </w:r>
    </w:p>
    <w:p w14:paraId="08FCFC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类似必要共同诉讼，是指数人对诉讼标的既可以选择共同起诉，也可以选择单独起诉，如果选择共同起诉，法院对诉讼标的须合一确定，不允许对各共同诉讼人分别裁判。它与固有必要共同诉讼的区别在于即使数人选择分别起诉，也不发生当事人不适格的问题。在单独实施的诉讼中，法院所作出的确定判决对其他没有参与诉讼的利害关系人有拘束力，发生既判力扩张的情形。例如，一名或者部分股东提起确认股东大会决议无效、撤销股东大会决议的诉讼。</w:t>
      </w:r>
    </w:p>
    <w:p w14:paraId="0DD431F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highlight w:val="none"/>
          <w:u w:val="none"/>
          <w:lang w:val="en-US" w:eastAsia="zh-CN"/>
        </w:rPr>
      </w:pPr>
      <w:r>
        <w:rPr>
          <w:rFonts w:hint="default" w:ascii="Times New Roman Regular" w:hAnsi="Times New Roman Regular" w:cs="Times New Roman Regular"/>
          <w:sz w:val="24"/>
          <w:szCs w:val="24"/>
          <w:highlight w:val="none"/>
          <w:u w:val="none"/>
          <w:lang w:val="en-US" w:eastAsia="zh-CN"/>
        </w:rPr>
        <w:t>关于连带之债引起的诉讼属于何种共同诉讼类型存在争议，曾出现固有的必要共同诉讼、类似的必要共同诉讼和普通共同诉讼等多种观点，目前学界通说观点是普通共同诉讼</w:t>
      </w:r>
      <w:r>
        <w:rPr>
          <w:rFonts w:hint="eastAsia" w:ascii="Times New Roman Regular" w:hAnsi="Times New Roman Regular" w:cs="Times New Roman Regular"/>
          <w:sz w:val="24"/>
          <w:szCs w:val="24"/>
          <w:highlight w:val="none"/>
          <w:u w:val="none"/>
          <w:lang w:val="en-US" w:eastAsia="zh-CN"/>
        </w:rPr>
        <w:t>，</w:t>
      </w:r>
      <w:r>
        <w:rPr>
          <w:rFonts w:hint="default" w:ascii="Times New Roman Regular" w:hAnsi="Times New Roman Regular" w:cs="Times New Roman Regular"/>
          <w:sz w:val="24"/>
          <w:szCs w:val="24"/>
          <w:highlight w:val="none"/>
          <w:u w:val="none"/>
          <w:lang w:val="en-US" w:eastAsia="zh-CN"/>
        </w:rPr>
        <w:t>不真正连带责任和补充责任也被认为成立普通共同诉讼</w:t>
      </w:r>
      <w:r>
        <w:rPr>
          <w:rFonts w:hint="eastAsia" w:ascii="Times New Roman Regular" w:hAnsi="Times New Roman Regular" w:cs="Times New Roman Regular"/>
          <w:sz w:val="24"/>
          <w:szCs w:val="24"/>
          <w:highlight w:val="none"/>
          <w:u w:val="none"/>
          <w:lang w:val="en-US" w:eastAsia="zh-CN"/>
        </w:rPr>
        <w:t>，因为如果是普通共同诉讼，既判力就不会扩张，就不影响债权人起诉了部分债务人之后另行起诉</w:t>
      </w:r>
      <w:r>
        <w:rPr>
          <w:rFonts w:hint="default" w:ascii="Times New Roman Regular" w:hAnsi="Times New Roman Regular" w:cs="Times New Roman Regular"/>
          <w:sz w:val="24"/>
          <w:szCs w:val="24"/>
          <w:highlight w:val="none"/>
          <w:u w:val="none"/>
          <w:lang w:val="en-US" w:eastAsia="zh-CN"/>
        </w:rPr>
        <w:t>。马工程教材</w:t>
      </w:r>
      <w:r>
        <w:rPr>
          <w:rFonts w:hint="eastAsia" w:ascii="Times New Roman Regular" w:hAnsi="Times New Roman Regular" w:cs="Times New Roman Regular"/>
          <w:sz w:val="24"/>
          <w:szCs w:val="24"/>
          <w:highlight w:val="none"/>
          <w:u w:val="none"/>
          <w:lang w:val="en-US" w:eastAsia="zh-CN"/>
        </w:rPr>
        <w:t>则</w:t>
      </w:r>
      <w:r>
        <w:rPr>
          <w:rFonts w:hint="default" w:ascii="Times New Roman Regular" w:hAnsi="Times New Roman Regular" w:cs="Times New Roman Regular"/>
          <w:sz w:val="24"/>
          <w:szCs w:val="24"/>
          <w:highlight w:val="none"/>
          <w:u w:val="none"/>
          <w:lang w:val="en-US" w:eastAsia="zh-CN"/>
        </w:rPr>
        <w:t>认为，因连带之债提起的诉讼应属于类似必要共同诉讼</w:t>
      </w:r>
      <w:r>
        <w:rPr>
          <w:rFonts w:hint="eastAsia" w:ascii="Times New Roman Regular" w:hAnsi="Times New Roman Regular" w:cs="Times New Roman Regular"/>
          <w:sz w:val="24"/>
          <w:szCs w:val="24"/>
          <w:highlight w:val="none"/>
          <w:u w:val="none"/>
          <w:lang w:val="en-US" w:eastAsia="zh-CN"/>
        </w:rPr>
        <w:t>，目前也有部分命题人认为因连带之债提起的诉讼是类似必要共同诉讼。</w:t>
      </w:r>
      <w:r>
        <w:rPr>
          <w:rFonts w:hint="eastAsia" w:ascii="Times New Roman Regular" w:hAnsi="Times New Roman Regular" w:cs="Times New Roman Regular"/>
          <w:b/>
          <w:bCs/>
          <w:sz w:val="24"/>
          <w:szCs w:val="24"/>
          <w:highlight w:val="none"/>
          <w:u w:val="none"/>
          <w:lang w:val="en-US" w:eastAsia="zh-CN"/>
        </w:rPr>
        <w:t>就主观题而言，普通共同诉讼和类似必要共同诉讼两种观点都可以</w:t>
      </w:r>
      <w:r>
        <w:rPr>
          <w:rFonts w:hint="eastAsia" w:ascii="Times New Roman Regular" w:hAnsi="Times New Roman Regular" w:cs="Times New Roman Regular"/>
          <w:sz w:val="24"/>
          <w:szCs w:val="24"/>
          <w:highlight w:val="none"/>
          <w:u w:val="none"/>
          <w:lang w:val="en-US" w:eastAsia="zh-CN"/>
        </w:rPr>
        <w:t>。</w:t>
      </w:r>
    </w:p>
    <w:p w14:paraId="2C6471F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highlight w:val="none"/>
          <w:u w:val="none"/>
          <w:lang w:val="en-US" w:eastAsia="zh-CN"/>
        </w:rPr>
      </w:pPr>
      <w:r>
        <w:rPr>
          <w:rFonts w:hint="eastAsia" w:ascii="Times New Roman Regular" w:hAnsi="Times New Roman Regular" w:cs="Times New Roman Regular"/>
          <w:sz w:val="24"/>
          <w:szCs w:val="24"/>
          <w:highlight w:val="none"/>
          <w:u w:val="none"/>
          <w:lang w:val="en-US" w:eastAsia="zh-CN"/>
        </w:rPr>
        <w:t>（剩余内容下次课继续讲解）</w:t>
      </w:r>
      <w:bookmarkStart w:id="0" w:name="_GoBack"/>
      <w:bookmarkEnd w:id="0"/>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25E4E361"/>
    <w:rsid w:val="2FF57ABD"/>
    <w:rsid w:val="33FD09F3"/>
    <w:rsid w:val="37F9300F"/>
    <w:rsid w:val="396C1DDF"/>
    <w:rsid w:val="39BBEE6C"/>
    <w:rsid w:val="39CD9E08"/>
    <w:rsid w:val="3AA211B0"/>
    <w:rsid w:val="3DDD8785"/>
    <w:rsid w:val="3EFF2196"/>
    <w:rsid w:val="3EFFCDE3"/>
    <w:rsid w:val="3F6C29B5"/>
    <w:rsid w:val="3F7D6D90"/>
    <w:rsid w:val="3FDF38B5"/>
    <w:rsid w:val="4D7AF3B1"/>
    <w:rsid w:val="4F7E5D39"/>
    <w:rsid w:val="4FEF7A7F"/>
    <w:rsid w:val="5BF630B3"/>
    <w:rsid w:val="5D1E5E35"/>
    <w:rsid w:val="5D2F548A"/>
    <w:rsid w:val="5D9CC53C"/>
    <w:rsid w:val="5DBFD756"/>
    <w:rsid w:val="5EF589B3"/>
    <w:rsid w:val="5F2FB4C6"/>
    <w:rsid w:val="5F67BE34"/>
    <w:rsid w:val="5F9FED60"/>
    <w:rsid w:val="5FDFC522"/>
    <w:rsid w:val="5FF291E1"/>
    <w:rsid w:val="5FFFE20B"/>
    <w:rsid w:val="63F79634"/>
    <w:rsid w:val="674F871C"/>
    <w:rsid w:val="676B1FCF"/>
    <w:rsid w:val="6BBF548D"/>
    <w:rsid w:val="6BEE3C17"/>
    <w:rsid w:val="6CFC5835"/>
    <w:rsid w:val="6EBFFE06"/>
    <w:rsid w:val="6EDC6954"/>
    <w:rsid w:val="6F7FD66B"/>
    <w:rsid w:val="6FC75035"/>
    <w:rsid w:val="6FE9DFA5"/>
    <w:rsid w:val="6FF6B73E"/>
    <w:rsid w:val="6FF7B5C8"/>
    <w:rsid w:val="6FFB1346"/>
    <w:rsid w:val="72B16660"/>
    <w:rsid w:val="72FEDFAF"/>
    <w:rsid w:val="74EF0DAF"/>
    <w:rsid w:val="75FFDC8C"/>
    <w:rsid w:val="76576194"/>
    <w:rsid w:val="777E0985"/>
    <w:rsid w:val="77BFCCB0"/>
    <w:rsid w:val="78FF9F1C"/>
    <w:rsid w:val="79B72732"/>
    <w:rsid w:val="7A8FECFA"/>
    <w:rsid w:val="7B6D3C00"/>
    <w:rsid w:val="7B77E946"/>
    <w:rsid w:val="7BAF28C8"/>
    <w:rsid w:val="7BFFD2F7"/>
    <w:rsid w:val="7C7DDD51"/>
    <w:rsid w:val="7C9D61C3"/>
    <w:rsid w:val="7D473A11"/>
    <w:rsid w:val="7D7FD33D"/>
    <w:rsid w:val="7DBDD90E"/>
    <w:rsid w:val="7DBFEFAD"/>
    <w:rsid w:val="7DE7821D"/>
    <w:rsid w:val="7DF5B190"/>
    <w:rsid w:val="7DF9200D"/>
    <w:rsid w:val="7E3F6002"/>
    <w:rsid w:val="7EFF1AA0"/>
    <w:rsid w:val="7EFFC158"/>
    <w:rsid w:val="7F398CB3"/>
    <w:rsid w:val="7F3B9F4C"/>
    <w:rsid w:val="7F3C3286"/>
    <w:rsid w:val="7F695405"/>
    <w:rsid w:val="7F6B748A"/>
    <w:rsid w:val="7FAF2A68"/>
    <w:rsid w:val="7FB49696"/>
    <w:rsid w:val="7FB797CE"/>
    <w:rsid w:val="7FBF0F91"/>
    <w:rsid w:val="7FE7235C"/>
    <w:rsid w:val="7FFCE884"/>
    <w:rsid w:val="8ABEE47C"/>
    <w:rsid w:val="8BFB340A"/>
    <w:rsid w:val="957F8B5D"/>
    <w:rsid w:val="AEAF67DC"/>
    <w:rsid w:val="AECFAD74"/>
    <w:rsid w:val="AED07A5A"/>
    <w:rsid w:val="AEFFF231"/>
    <w:rsid w:val="AF7349BF"/>
    <w:rsid w:val="B1FDE468"/>
    <w:rsid w:val="B3FEA9EF"/>
    <w:rsid w:val="B7FEF551"/>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5EFF5E"/>
    <w:rsid w:val="DEFB646B"/>
    <w:rsid w:val="DFDD6831"/>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F0D7EC59"/>
    <w:rsid w:val="F0DE3C2E"/>
    <w:rsid w:val="F1B927A4"/>
    <w:rsid w:val="F3FF92B4"/>
    <w:rsid w:val="F54E1163"/>
    <w:rsid w:val="F56E2A6E"/>
    <w:rsid w:val="F5EEDA60"/>
    <w:rsid w:val="F5EFB180"/>
    <w:rsid w:val="F6DFFC0C"/>
    <w:rsid w:val="F73F225B"/>
    <w:rsid w:val="FABE4737"/>
    <w:rsid w:val="FB3760F9"/>
    <w:rsid w:val="FBDF91EB"/>
    <w:rsid w:val="FBFB9313"/>
    <w:rsid w:val="FBFF7EF4"/>
    <w:rsid w:val="FCEF4E65"/>
    <w:rsid w:val="FD375179"/>
    <w:rsid w:val="FD6C9E97"/>
    <w:rsid w:val="FD6EB3EE"/>
    <w:rsid w:val="FDBDD900"/>
    <w:rsid w:val="FDF59568"/>
    <w:rsid w:val="FEA64923"/>
    <w:rsid w:val="FED769C8"/>
    <w:rsid w:val="FEFE8315"/>
    <w:rsid w:val="FF3362C6"/>
    <w:rsid w:val="FF6F6FFE"/>
    <w:rsid w:val="FF7BF13D"/>
    <w:rsid w:val="FF943FE1"/>
    <w:rsid w:val="FF9F8E8F"/>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51</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2026-02-08T00:22:00Z</dcterms:created>
  <dc:creator>Arthur (Xiao) Dong</dc:creator>
  <cp:lastModifiedBy>Arthur (Xiao) Dong</cp:lastModifiedBy>
  <dcterms:modified xsi:type="dcterms:W3CDTF">2026-06-27T17:35:59Z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CEC60ED417AC172768993F6A7FE4D6D9_43</vt:lpwstr>
  </property>
</Properties>
</file>