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519C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b/>
          <w:bCs/>
          <w:sz w:val="24"/>
          <w:szCs w:val="24"/>
          <w:lang w:val="en-US" w:eastAsia="zh-CN"/>
        </w:rPr>
        <w:t>民诉主观专题突破第一讲课堂笔记（专题1-2）</w:t>
      </w:r>
    </w:p>
    <w:p w14:paraId="70C3690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b/>
          <w:bCs/>
          <w:sz w:val="24"/>
          <w:szCs w:val="24"/>
          <w:u w:val="none"/>
          <w:lang w:val="en-US" w:eastAsia="zh-CN"/>
        </w:rPr>
      </w:pPr>
      <w:r>
        <w:rPr>
          <w:rFonts w:hint="eastAsia" w:ascii="Songti SC Regular" w:hAnsi="Songti SC Regular" w:eastAsia="Songti SC Regular" w:cs="Songti SC Regular"/>
          <w:b/>
          <w:bCs/>
          <w:sz w:val="24"/>
          <w:szCs w:val="24"/>
          <w:u w:val="none"/>
          <w:lang w:val="en-US" w:eastAsia="zh-CN"/>
        </w:rPr>
        <w:t>【专题1:诉】</w:t>
      </w:r>
    </w:p>
    <w:p w14:paraId="16DC11E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一、诉讼标的</w:t>
      </w:r>
    </w:p>
    <w:p w14:paraId="56304C8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1．诉讼标的是民事法律关系或者实体请求权</w:t>
      </w:r>
      <w:r>
        <w:rPr>
          <w:rFonts w:hint="eastAsia" w:ascii="Songti SC Regular" w:hAnsi="Songti SC Regular" w:eastAsia="Songti SC Regular" w:cs="Songti SC Regular"/>
          <w:sz w:val="24"/>
          <w:szCs w:val="24"/>
          <w:u w:val="none"/>
          <w:lang w:val="en-US" w:eastAsia="zh-CN"/>
        </w:rPr>
        <w:t>（有几个请求权/诉讼请求，就有几个诉讼标的）</w:t>
      </w:r>
      <w:r>
        <w:rPr>
          <w:rFonts w:hint="eastAsia" w:ascii="Songti SC Regular" w:hAnsi="Songti SC Regular" w:eastAsia="Songti SC Regular" w:cs="Songti SC Regular"/>
          <w:sz w:val="24"/>
          <w:szCs w:val="24"/>
          <w:u w:val="none"/>
          <w:lang w:val="en-US" w:eastAsia="zh-CN"/>
        </w:rPr>
        <w:t>；</w:t>
      </w:r>
    </w:p>
    <w:p w14:paraId="2CCF717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2．诉讼过程中不允许变更诉讼标的，但可以变更诉讼请求；</w:t>
      </w:r>
    </w:p>
    <w:p w14:paraId="3061908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3．诉的类型不同，诉讼标的不同。</w:t>
      </w:r>
    </w:p>
    <w:p w14:paraId="16C7AE4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二、诉的分类</w:t>
      </w:r>
    </w:p>
    <w:p w14:paraId="557F242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（一）确认之诉</w:t>
      </w:r>
    </w:p>
    <w:p w14:paraId="2B5CA0C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确认之诉，是指原告请求法院确认与被告之间是否存在某种民事法律关系的诉。</w:t>
      </w:r>
    </w:p>
    <w:p w14:paraId="1F6C266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确认之诉可分为积极确认之诉和消极确认之诉。积极的确认之诉，是指原告起诉要求法院确认其主张的民事法律关系存在的诉讼。例如，请求确认原告与被告之间存在婚姻关系；消极确认之诉，是指原告起诉要求法院确认其主张的民事法律关系不存在的诉讼。例如，请求确认原告与被告之间不存在合同关系。</w:t>
      </w:r>
    </w:p>
    <w:p w14:paraId="078A4DF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确认之诉的特点是，原告只是要求法院审判确认其与被告之间是否存在特定的民事法律关系，并无其他诉讼目的。</w:t>
      </w:r>
    </w:p>
    <w:p w14:paraId="55BE6A2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（二）给付之诉</w:t>
      </w:r>
    </w:p>
    <w:p w14:paraId="1852229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给付之诉，是指原告请求法院判令被告向其履行特定给付义务的诉。</w:t>
      </w:r>
    </w:p>
    <w:p w14:paraId="6354F4F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原告享有给付请求权是给付之诉成立的前提，原告的给付请求权的产生是因为在原告与被告之间一定的民事法律关系。在这一民事法律关系中，被告具有给付义务。当被告没有履行义务时，原告就可以依据实体法上的给付请求权提起给付之诉。法院在审理给付之诉时，首先要确认原告和被告之间是否存在给付权利义务，如果确实存在，法院应在判决中判令被告履行义务。</w:t>
      </w:r>
    </w:p>
    <w:p w14:paraId="22CF691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根据给付内容的不同，给付之诉分为财产给付之诉和行为给付之诉。</w:t>
      </w:r>
    </w:p>
    <w:p w14:paraId="7C68E2B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根据给付时间的不同，给付之诉分为现在给付之诉和将来给付之诉。现在给付之诉，是指判决生效后，被告即应向原告履行给付义务。将来给付之诉，是指判决生效后，被告无须立即给付，而等到履行期届满时才履行给付义务。</w:t>
      </w:r>
    </w:p>
    <w:p w14:paraId="0D1504D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给付之诉的特点是，法院给付判决具有执行效力，被告不履行给付义务，原告可以申请法院强制执行。</w:t>
      </w:r>
    </w:p>
    <w:p w14:paraId="3F1DF21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（三）变更之诉（形成之诉）</w:t>
      </w:r>
    </w:p>
    <w:p w14:paraId="24546C6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变更之诉，是指原告请求法院以判决改变或消灭既存的某种民事法律关系的诉。变更之诉的特点是，原告借助法院的判决改变原被告之间既存的民事法律关系。形成之诉必须是原告基于形成诉权（如撤销权）提起的诉讼，而一般普通形成权（如解除权）并不需要通过诉讼方式行使，只要单方意思表示到达对方即可发生效力。注意因情势变更起诉解除合同，属于形成之诉。</w:t>
      </w:r>
    </w:p>
    <w:p w14:paraId="103B0A9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根据大陆法系的经典理论，形成之诉包括两个类型：实体法上的形成之诉和诉讼法上的形成之诉。实体法上的形成之诉所产生的法律效果属于实体法上的内容。例如解除婚姻关系、撤销股东大会决议等。诉讼法上的形成之诉所产生的法律效果属于诉讼法上的内容。例如再审之诉、撤销仲裁裁决、案外人异议之诉、第三人撤销之诉等。</w:t>
      </w:r>
    </w:p>
    <w:p w14:paraId="60B3C3D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变更之诉是对民事法律关系的变更，而民事法律关系由主体、客体和内容三个要素构成，因此，原告起诉请求对任何一个要素的改变均构成变更之诉。</w:t>
      </w:r>
    </w:p>
    <w:p w14:paraId="349D99A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【注意】解除合同的诉讼是确认之诉。</w:t>
      </w:r>
    </w:p>
    <w:p w14:paraId="7971426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三、反诉</w:t>
      </w:r>
    </w:p>
    <w:p w14:paraId="37F0C37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（一）反诉和反驳的识别</w:t>
      </w:r>
    </w:p>
    <w:p w14:paraId="79D0A6C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1．反诉是一个独立的诉，换言之，没有本诉亦可独立提起；</w:t>
      </w:r>
    </w:p>
    <w:p w14:paraId="05E8957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2．否认和抗辩均属于反驳；</w:t>
      </w:r>
    </w:p>
    <w:p w14:paraId="28430C4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3．否认是不承认对方当事人主张的事实；抗辩是承认对方主张事实，但不承认其法律效果；</w:t>
      </w:r>
    </w:p>
    <w:p w14:paraId="7BA1C12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4．反诉具有同一性、独立性、牵连性和对抗性；</w:t>
      </w:r>
    </w:p>
    <w:p w14:paraId="3F988E4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5．当事人请求调整违约金，可以反诉或抗辩方式提出。</w:t>
      </w:r>
    </w:p>
    <w:p w14:paraId="3C3B8FF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（二）反诉的构成要件</w:t>
      </w:r>
    </w:p>
    <w:p w14:paraId="1D356EF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1．须由本诉的被告向本诉的原告提出</w:t>
      </w:r>
    </w:p>
    <w:p w14:paraId="1554C88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2．须在本诉进行中提出</w:t>
      </w:r>
    </w:p>
    <w:p w14:paraId="720D7C1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3．须向受理本诉的法院提出，且受诉法院对反诉有管辖权</w:t>
      </w:r>
    </w:p>
    <w:p w14:paraId="7816504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4．须与本诉适用同一诉讼程序</w:t>
      </w:r>
    </w:p>
    <w:p w14:paraId="7FAE092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5．须反诉与本诉之间存在牵连关系</w:t>
      </w:r>
    </w:p>
    <w:p w14:paraId="234E5D5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四、诉的合并</w:t>
      </w:r>
    </w:p>
    <w:p w14:paraId="7FB3E2F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（一）单纯合并</w:t>
      </w:r>
    </w:p>
    <w:p w14:paraId="57E91B7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不存在牵连关系的数个诉的合并，法院应在同一诉讼程序中分别审理并作出判决，例如甲起诉乙返还借款，又起诉要求乙支付房租</w:t>
      </w:r>
    </w:p>
    <w:p w14:paraId="3587C77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（二）预备合并</w:t>
      </w:r>
    </w:p>
    <w:p w14:paraId="53EC513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原告将主请求与预备请求以特定顺序一并提出，若主请求成立，法院就不必就预备请求作出判决，法院应先审理主请求，若不支持，再审理预备请求，例如甲向乙购买古画，甲诉请乙交付古画，若不支持，则要求乙返还已支付的购画款</w:t>
      </w:r>
    </w:p>
    <w:p w14:paraId="3CA1BE3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（三）选择合并</w:t>
      </w:r>
    </w:p>
    <w:p w14:paraId="250583E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原告基于两个以上的诉讼标的，提出单一的诉讼请求，请求法院择一作出支持性判决，法院应根据当事人的主张，对诉讼标的择一审理，例如甲向乙购买货物，并向乙出具本票。乙基于买卖关系或票据关系请求甲给付10万元</w:t>
      </w:r>
    </w:p>
    <w:p w14:paraId="708D9F2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（四）重叠合并（竞合合并）</w:t>
      </w:r>
    </w:p>
    <w:p w14:paraId="29DEC20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原告基于两个以上的诉讼标的，提出单一的诉讼请求，请求法院就各个诉讼标的作出判决，法院应根据当事人的主张，对诉讼标的全部审理，例如甲根据所有权返还请求权、不当得利返还请求权合并请求乙返还A汽车</w:t>
      </w:r>
    </w:p>
    <w:p w14:paraId="4217D7E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五、重复起诉</w:t>
      </w:r>
    </w:p>
    <w:p w14:paraId="2277905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（一）重复起诉的构成要件</w:t>
      </w:r>
    </w:p>
    <w:p w14:paraId="5F8485B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1．后诉与前诉的当事人相同</w:t>
      </w:r>
    </w:p>
    <w:p w14:paraId="5CFD257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2．后诉与前诉的诉讼标的相同</w:t>
      </w:r>
    </w:p>
    <w:p w14:paraId="4D50324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（1）传统的诉讼标的理论：每一个实体请求权构成一个诉讼标的，即使是同一案件事实，也可能根据实体法的不同规定构成若干实体请求权，也就形成了相应的若干诉讼标的。</w:t>
      </w:r>
    </w:p>
    <w:p w14:paraId="0E0509F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2）新诉讼标的理论：分为“二分肢说”和“一分肢说”两种学说。“二分肢说”认为诉讼标的由诉的声明（诉讼请求）以及陈述的事实关系所决定。基本判断方法是“一一得一，N一得N，一N得N”。“一分肢说”认为诉讼标的的识别单独依据诉的声明（诉讼请求）来判断。根据“一分肢说”的观点，我国《民诉法解释》第247条规定的“三同说”存在重复认定问题，这也是“二同说”的理论基础。</w:t>
      </w:r>
    </w:p>
    <w:p w14:paraId="4D9625C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3）我国司法实践中，适用案由制度确定案件类型，在某种程度上替代诉讼标的概念。案由是双方之间发生争议的民事法律关系，不区分诉的类型。例如，无论是起诉请求解除买卖合同，还是诉请交付买卖合同标的物，在案由选择时均为买卖合同纠纷。概言之，根据实践观点，不同类型的诉，因其案由相同，亦可认为诉讼标的相同。</w:t>
      </w:r>
    </w:p>
    <w:p w14:paraId="31B78D4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3．后诉与前诉的诉讼请求相同，或者后诉的诉讼请求实质上否定前诉裁判结果</w:t>
      </w:r>
    </w:p>
    <w:p w14:paraId="759B5F1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（二）重复起诉的处理</w:t>
      </w:r>
    </w:p>
    <w:p w14:paraId="63E62C8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当事人重复起诉的，裁定不予受理；已经受理的，裁定驳回起诉，但法律、司法解释另有规定的除外。</w:t>
      </w:r>
    </w:p>
    <w:p w14:paraId="59158DF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4"/>
          <w:szCs w:val="24"/>
          <w:u w:val="none"/>
          <w:lang w:val="en-US" w:eastAsia="zh-CN"/>
        </w:rPr>
      </w:pPr>
    </w:p>
    <w:p w14:paraId="70C4B08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【专题2:地域管辖制度】</w:t>
      </w:r>
    </w:p>
    <w:p w14:paraId="0DD431F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Songti SC Regular" w:hAnsi="Songti SC Regular" w:eastAsia="Songti SC Regular" w:cs="Songti SC Regular"/>
          <w:sz w:val="24"/>
          <w:szCs w:val="24"/>
          <w:u w:val="none"/>
          <w:lang w:val="en-US" w:eastAsia="zh-CN"/>
        </w:rPr>
      </w:pPr>
      <w:r>
        <w:rPr>
          <w:rFonts w:hint="eastAsia" w:ascii="Songti SC Regular" w:hAnsi="Songti SC Regular" w:eastAsia="Songti SC Regular" w:cs="Songti SC Regular"/>
          <w:sz w:val="24"/>
          <w:szCs w:val="24"/>
          <w:u w:val="none"/>
          <w:lang w:val="en-US" w:eastAsia="zh-CN"/>
        </w:rPr>
        <w:t>（尚未正式开始）</w:t>
      </w:r>
      <w:bookmarkStart w:id="0" w:name="_GoBack"/>
      <w:bookmarkEnd w:id="0"/>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 w:name="宋体-简">
    <w:panose1 w:val="02010800040101010101"/>
    <w:charset w:val="86"/>
    <w:family w:val="auto"/>
    <w:pitch w:val="default"/>
    <w:sig w:usb0="00000001" w:usb1="080F0000" w:usb2="00000000" w:usb3="00000000" w:csb0="00040000" w:csb1="00000000"/>
  </w:font>
  <w:font w:name="Songti SC Regular">
    <w:panose1 w:val="02010800040101010101"/>
    <w:charset w:val="86"/>
    <w:family w:val="auto"/>
    <w:pitch w:val="default"/>
    <w:sig w:usb0="00000001" w:usb1="080F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C8E4F3"/>
    <w:rsid w:val="1BEF9C01"/>
    <w:rsid w:val="1BFB8A79"/>
    <w:rsid w:val="1FFBBE3B"/>
    <w:rsid w:val="1FFDE82A"/>
    <w:rsid w:val="1FFE3DC8"/>
    <w:rsid w:val="25E4E361"/>
    <w:rsid w:val="2FF57ABD"/>
    <w:rsid w:val="33FD09F3"/>
    <w:rsid w:val="37F9300F"/>
    <w:rsid w:val="396C1DDF"/>
    <w:rsid w:val="39BBEE6C"/>
    <w:rsid w:val="39CD9E08"/>
    <w:rsid w:val="3AA211B0"/>
    <w:rsid w:val="3DDD8785"/>
    <w:rsid w:val="3EFF2196"/>
    <w:rsid w:val="3EFFCDE3"/>
    <w:rsid w:val="3F7D6D90"/>
    <w:rsid w:val="3FDF38B5"/>
    <w:rsid w:val="4D7AF3B1"/>
    <w:rsid w:val="4F7E5D39"/>
    <w:rsid w:val="4FEF7A7F"/>
    <w:rsid w:val="5BF630B3"/>
    <w:rsid w:val="5D1E5E35"/>
    <w:rsid w:val="5D2F548A"/>
    <w:rsid w:val="5D9CC53C"/>
    <w:rsid w:val="5DBFD756"/>
    <w:rsid w:val="5EF589B3"/>
    <w:rsid w:val="5F2FB4C6"/>
    <w:rsid w:val="5F67BE34"/>
    <w:rsid w:val="5F9FED60"/>
    <w:rsid w:val="5FDFC522"/>
    <w:rsid w:val="5FF291E1"/>
    <w:rsid w:val="63F79634"/>
    <w:rsid w:val="676B1FCF"/>
    <w:rsid w:val="6BBF548D"/>
    <w:rsid w:val="6BEE3C17"/>
    <w:rsid w:val="6CFC5835"/>
    <w:rsid w:val="6EBFFE06"/>
    <w:rsid w:val="6EDC6954"/>
    <w:rsid w:val="6F7FD66B"/>
    <w:rsid w:val="6FC75035"/>
    <w:rsid w:val="6FE9DFA5"/>
    <w:rsid w:val="6FF6B73E"/>
    <w:rsid w:val="6FF7B5C8"/>
    <w:rsid w:val="72B16660"/>
    <w:rsid w:val="72FEDFAF"/>
    <w:rsid w:val="74EF0DAF"/>
    <w:rsid w:val="75FFDC8C"/>
    <w:rsid w:val="76576194"/>
    <w:rsid w:val="777E0985"/>
    <w:rsid w:val="77BFCCB0"/>
    <w:rsid w:val="78FF9F1C"/>
    <w:rsid w:val="79B72732"/>
    <w:rsid w:val="7A8FECFA"/>
    <w:rsid w:val="7B6D3C00"/>
    <w:rsid w:val="7B77E946"/>
    <w:rsid w:val="7BAF28C8"/>
    <w:rsid w:val="7BFFD2F7"/>
    <w:rsid w:val="7C7DDD51"/>
    <w:rsid w:val="7C9D61C3"/>
    <w:rsid w:val="7D473A11"/>
    <w:rsid w:val="7D7FD33D"/>
    <w:rsid w:val="7DBDD90E"/>
    <w:rsid w:val="7DBFEFAD"/>
    <w:rsid w:val="7DE7821D"/>
    <w:rsid w:val="7DF9200D"/>
    <w:rsid w:val="7E3F6002"/>
    <w:rsid w:val="7EFF1AA0"/>
    <w:rsid w:val="7EFFC158"/>
    <w:rsid w:val="7F398CB3"/>
    <w:rsid w:val="7F3B9F4C"/>
    <w:rsid w:val="7F3C3286"/>
    <w:rsid w:val="7F695405"/>
    <w:rsid w:val="7F6B748A"/>
    <w:rsid w:val="7FB49696"/>
    <w:rsid w:val="7FB797CE"/>
    <w:rsid w:val="7FBF0F91"/>
    <w:rsid w:val="7FE7235C"/>
    <w:rsid w:val="7FFCE884"/>
    <w:rsid w:val="8ABEE47C"/>
    <w:rsid w:val="8BFB340A"/>
    <w:rsid w:val="957F8B5D"/>
    <w:rsid w:val="AEAF67DC"/>
    <w:rsid w:val="AECFAD74"/>
    <w:rsid w:val="AED07A5A"/>
    <w:rsid w:val="AEFFF231"/>
    <w:rsid w:val="AF7349BF"/>
    <w:rsid w:val="B1FDE468"/>
    <w:rsid w:val="B3FEA9EF"/>
    <w:rsid w:val="B7FEF551"/>
    <w:rsid w:val="BBD68691"/>
    <w:rsid w:val="BE470E73"/>
    <w:rsid w:val="BFD7C2A8"/>
    <w:rsid w:val="BFDF5E9D"/>
    <w:rsid w:val="BFFFC478"/>
    <w:rsid w:val="C2FF7057"/>
    <w:rsid w:val="CBDA46FA"/>
    <w:rsid w:val="CDF9AD73"/>
    <w:rsid w:val="CEAF22DB"/>
    <w:rsid w:val="CFABA3EB"/>
    <w:rsid w:val="CFBDAEF9"/>
    <w:rsid w:val="CFFF1593"/>
    <w:rsid w:val="D7F8DDAE"/>
    <w:rsid w:val="D99D7B6E"/>
    <w:rsid w:val="DBF64670"/>
    <w:rsid w:val="DE5EFF5E"/>
    <w:rsid w:val="DFDD6831"/>
    <w:rsid w:val="E5718167"/>
    <w:rsid w:val="E59B90E9"/>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E74EAF"/>
    <w:rsid w:val="EFF7C6A6"/>
    <w:rsid w:val="F0D7EC59"/>
    <w:rsid w:val="F0DE3C2E"/>
    <w:rsid w:val="F1B927A4"/>
    <w:rsid w:val="F3FF92B4"/>
    <w:rsid w:val="F54E1163"/>
    <w:rsid w:val="F56E2A6E"/>
    <w:rsid w:val="F5EEDA60"/>
    <w:rsid w:val="F5EFB180"/>
    <w:rsid w:val="F6DFFC0C"/>
    <w:rsid w:val="F73F225B"/>
    <w:rsid w:val="FABE4737"/>
    <w:rsid w:val="FB3760F9"/>
    <w:rsid w:val="FBDF91EB"/>
    <w:rsid w:val="FBFB9313"/>
    <w:rsid w:val="FBFF7EF4"/>
    <w:rsid w:val="FCEF4E65"/>
    <w:rsid w:val="FD375179"/>
    <w:rsid w:val="FD6C9E97"/>
    <w:rsid w:val="FD6EB3EE"/>
    <w:rsid w:val="FDBDD900"/>
    <w:rsid w:val="FDF59568"/>
    <w:rsid w:val="FEA64923"/>
    <w:rsid w:val="FED769C8"/>
    <w:rsid w:val="FEFE8315"/>
    <w:rsid w:val="FF3362C6"/>
    <w:rsid w:val="FF66B4CB"/>
    <w:rsid w:val="FF6F6FFE"/>
    <w:rsid w:val="FF7BF13D"/>
    <w:rsid w:val="FF943FE1"/>
    <w:rsid w:val="FF9F8E8F"/>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27</TotalTime>
  <ScaleCrop>false</ScaleCrop>
  <LinksUpToDate>false</LinksUpToDate>
  <CharactersWithSpaces>0</CharactersWithSpaces>
  <Application>WPS Office_12.1.25895.25895_F1E327BC-269C-435d-A152-05C5408002CA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2026-02-07T08:22:00Z</dcterms:created>
  <dc:creator>Arthur (Xiao) Dong</dc:creator>
  <cp:lastModifiedBy>Arthur (Xiao) Dong</cp:lastModifiedBy>
  <dcterms:modified xsi:type="dcterms:W3CDTF">2026-06-26T22:38:16Z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2052-12.1.25895.25895</vt:lpwstr>
  </property>
  <property fmtid="{D5CDD505-2E9C-101B-9397-08002B2CF9AE}" pid="3" name="ICV">
    <vt:lpwstr>3A31E5C62E8666FD53247769E1688135_41</vt:lpwstr>
  </property>
</Properties>
</file>