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E2485A2">
      <w:pPr>
        <w:pStyle w:val="2"/>
        <w:spacing w:before="0" w:line="560" w:lineRule="exact"/>
        <w:jc w:val="both"/>
        <w:rPr>
          <w:rFonts w:hint="default" w:asciiTheme="minorEastAsia" w:hAnsiTheme="minorEastAsia" w:eastAsiaTheme="minorEastAsia" w:cstheme="minorEastAsia"/>
          <w:color w:val="auto"/>
          <w:sz w:val="21"/>
          <w:szCs w:val="21"/>
          <w:lang w:val="en-US" w:eastAsia="zh-CN"/>
        </w:rPr>
      </w:pPr>
      <w:bookmarkStart w:id="0" w:name="_Toc105339618"/>
      <w:bookmarkStart w:id="1" w:name="_Toc230103147"/>
    </w:p>
    <w:p w14:paraId="17D7ABA5">
      <w:pPr>
        <w:ind w:left="0" w:leftChars="0" w:firstLine="0" w:firstLineChars="0"/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  <w:lang w:val="en-US" w:eastAsia="zh-CN"/>
        </w:rPr>
        <w:t>一定要记住的内容：</w:t>
      </w:r>
    </w:p>
    <w:p w14:paraId="60D3DCE8">
      <w:pPr>
        <w:numPr>
          <w:ilvl w:val="0"/>
          <w:numId w:val="1"/>
        </w:numPr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  <w:lang w:val="en-US" w:eastAsia="zh-CN"/>
        </w:rPr>
        <w:t>必考罪名的构成要件</w:t>
      </w:r>
    </w:p>
    <w:p w14:paraId="4829DC42">
      <w:pPr>
        <w:numPr>
          <w:ilvl w:val="0"/>
          <w:numId w:val="1"/>
        </w:numPr>
        <w:ind w:left="0" w:leftChars="0" w:firstLine="0" w:firstLineChars="0"/>
        <w:rPr>
          <w:rFonts w:hint="default" w:asciiTheme="minorEastAsia" w:hAnsiTheme="minorEastAsia" w:eastAsiaTheme="minorEastAsia" w:cstheme="minorEastAsia"/>
          <w:color w:val="auto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  <w:lang w:val="en-US" w:eastAsia="zh-CN"/>
        </w:rPr>
        <w:t>罪数规则</w:t>
      </w:r>
    </w:p>
    <w:p w14:paraId="150B2795">
      <w:pPr>
        <w:numPr>
          <w:numId w:val="0"/>
        </w:numPr>
        <w:ind w:leftChars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1"/>
          <w:szCs w:val="21"/>
          <w:lang w:val="en-US" w:eastAsia="zh-CN"/>
        </w:rPr>
        <w:t>认定犯罪两步走：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  <w:lang w:val="en-US" w:eastAsia="zh-CN"/>
        </w:rPr>
        <w:t>第一步，先看构成要件，列出触犯（“构成”）罪名。第二步，运用罪数规则（包括法条竞合），得出宣判（“认定为”、“论处”）罪名。</w:t>
      </w:r>
    </w:p>
    <w:p w14:paraId="005DE69E">
      <w:pPr>
        <w:numPr>
          <w:numId w:val="0"/>
        </w:numPr>
        <w:ind w:leftChars="0"/>
        <w:rPr>
          <w:rFonts w:hint="default" w:asciiTheme="minorEastAsia" w:hAnsiTheme="minorEastAsia" w:eastAsiaTheme="minorEastAsia" w:cstheme="minorEastAsia"/>
          <w:color w:val="auto"/>
          <w:sz w:val="21"/>
          <w:szCs w:val="21"/>
          <w:lang w:val="en-US" w:eastAsia="zh-CN"/>
        </w:rPr>
      </w:pPr>
    </w:p>
    <w:p w14:paraId="524609BD">
      <w:pPr>
        <w:pStyle w:val="2"/>
        <w:spacing w:before="0" w:line="560" w:lineRule="exact"/>
        <w:rPr>
          <w:rFonts w:hint="eastAsia" w:asciiTheme="minorEastAsia" w:hAnsiTheme="minorEastAsia" w:eastAsiaTheme="minorEastAsia" w:cstheme="minorEastAsia"/>
          <w:color w:val="auto"/>
          <w:sz w:val="21"/>
          <w:szCs w:val="21"/>
          <w:lang w:eastAsia="zh-CN"/>
        </w:rPr>
      </w:pP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>考点1  罪刑法定原则</w:t>
      </w:r>
      <w:bookmarkEnd w:id="0"/>
      <w:bookmarkEnd w:id="1"/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val="en-US" w:eastAsia="zh-CN"/>
        </w:rPr>
        <w:t>19:52—20:13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  <w:t>）</w:t>
      </w:r>
    </w:p>
    <w:p w14:paraId="15BE28A2">
      <w:pPr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tbl>
      <w:tblPr>
        <w:tblStyle w:val="8"/>
        <w:tblW w:w="8490" w:type="dxa"/>
        <w:jc w:val="center"/>
        <w:tblBorders>
          <w:top w:val="single" w:color="FF0000" w:sz="4" w:space="0"/>
          <w:left w:val="single" w:color="FF0000" w:sz="4" w:space="0"/>
          <w:bottom w:val="single" w:color="FF0000" w:sz="4" w:space="0"/>
          <w:right w:val="single" w:color="FF0000" w:sz="4" w:space="0"/>
          <w:insideH w:val="single" w:color="FF0000" w:sz="4" w:space="0"/>
          <w:insideV w:val="single" w:color="FF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90"/>
      </w:tblGrid>
      <w:tr w14:paraId="44C407CE">
        <w:trPr>
          <w:jc w:val="center"/>
        </w:trPr>
        <w:tc>
          <w:tcPr>
            <w:tcW w:w="8490" w:type="dxa"/>
            <w:vAlign w:val="center"/>
          </w:tcPr>
          <w:p w14:paraId="3B29919D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bookmarkStart w:id="2" w:name="_Hlk51716615"/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通常表述：“法无明文规定不为罪，法无明文规定不处罚”。这里的“法”指刑法</w:t>
            </w:r>
          </w:p>
        </w:tc>
      </w:tr>
      <w:tr w14:paraId="67DA509A">
        <w:trPr>
          <w:jc w:val="center"/>
        </w:trPr>
        <w:tc>
          <w:tcPr>
            <w:tcW w:w="8490" w:type="dxa"/>
            <w:vAlign w:val="center"/>
          </w:tcPr>
          <w:p w14:paraId="2F6C4686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思想基础：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民主主义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与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保障人权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（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民主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自由）。核心理念是保障人权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限制公权力</w:t>
            </w:r>
          </w:p>
        </w:tc>
      </w:tr>
      <w:tr w14:paraId="39149DAF">
        <w:trPr>
          <w:jc w:val="center"/>
        </w:trPr>
        <w:tc>
          <w:tcPr>
            <w:tcW w:w="8490" w:type="dxa"/>
            <w:vAlign w:val="center"/>
          </w:tcPr>
          <w:p w14:paraId="3D53208D">
            <w:pPr>
              <w:snapToGrid w:val="0"/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派生原则（具体内容）</w:t>
            </w:r>
          </w:p>
        </w:tc>
      </w:tr>
      <w:tr w14:paraId="720D969B">
        <w:trPr>
          <w:jc w:val="center"/>
        </w:trPr>
        <w:tc>
          <w:tcPr>
            <w:tcW w:w="8490" w:type="dxa"/>
            <w:vAlign w:val="center"/>
          </w:tcPr>
          <w:p w14:paraId="66F221F5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1．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禁止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（不利于被告人的）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溯及既往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[事前的罪刑法定]</w:t>
            </w:r>
          </w:p>
        </w:tc>
      </w:tr>
      <w:tr w14:paraId="5687C8C0">
        <w:trPr>
          <w:jc w:val="center"/>
        </w:trPr>
        <w:tc>
          <w:tcPr>
            <w:tcW w:w="8490" w:type="dxa"/>
            <w:vAlign w:val="center"/>
          </w:tcPr>
          <w:p w14:paraId="0E57BA03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2．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排斥习惯法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[成文的罪刑法定]</w:t>
            </w:r>
          </w:p>
        </w:tc>
      </w:tr>
      <w:tr w14:paraId="0E3FDC1C">
        <w:trPr>
          <w:jc w:val="center"/>
        </w:trPr>
        <w:tc>
          <w:tcPr>
            <w:tcW w:w="8490" w:type="dxa"/>
            <w:vAlign w:val="center"/>
          </w:tcPr>
          <w:p w14:paraId="322D486A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3．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禁止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（不利于被告人的）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类推解释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[严格的罪刑法定]</w:t>
            </w:r>
          </w:p>
        </w:tc>
      </w:tr>
      <w:tr w14:paraId="6ABA0BC7">
        <w:trPr>
          <w:jc w:val="center"/>
        </w:trPr>
        <w:tc>
          <w:tcPr>
            <w:tcW w:w="8490" w:type="dxa"/>
            <w:vAlign w:val="center"/>
          </w:tcPr>
          <w:p w14:paraId="42EBCA3B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4．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禁止不确定刑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[确定的罪刑法定]</w:t>
            </w:r>
          </w:p>
        </w:tc>
      </w:tr>
      <w:tr w14:paraId="2DE0FFC5">
        <w:trPr>
          <w:jc w:val="center"/>
        </w:trPr>
        <w:tc>
          <w:tcPr>
            <w:tcW w:w="8490" w:type="dxa"/>
            <w:vAlign w:val="center"/>
          </w:tcPr>
          <w:p w14:paraId="7E62C308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5．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刑法明确性原则</w:t>
            </w:r>
          </w:p>
        </w:tc>
      </w:tr>
      <w:tr w14:paraId="24EDF3D2">
        <w:trPr>
          <w:jc w:val="center"/>
        </w:trPr>
        <w:tc>
          <w:tcPr>
            <w:tcW w:w="8490" w:type="dxa"/>
            <w:vAlign w:val="center"/>
          </w:tcPr>
          <w:p w14:paraId="2BC0F7C4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6．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禁止处罚不当罚的行为；禁止不均衡的、残虐的刑罚</w:t>
            </w:r>
          </w:p>
        </w:tc>
      </w:tr>
      <w:tr w14:paraId="02370AD8">
        <w:trPr>
          <w:jc w:val="center"/>
        </w:trPr>
        <w:tc>
          <w:tcPr>
            <w:tcW w:w="8490" w:type="dxa"/>
            <w:vAlign w:val="center"/>
          </w:tcPr>
          <w:p w14:paraId="57AF7C0E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案例判决是否违反罪刑法定原则：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类推解释（入罪）违反罪刑法定原则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；其它解释（包括扩大解释、将“种”解释进“属”）不违反</w:t>
            </w:r>
          </w:p>
        </w:tc>
      </w:tr>
      <w:bookmarkEnd w:id="2"/>
    </w:tbl>
    <w:p w14:paraId="7FB3AB77">
      <w:pPr>
        <w:snapToGrid w:val="0"/>
        <w:ind w:firstLine="0" w:firstLineChars="0"/>
        <w:jc w:val="both"/>
        <w:rPr>
          <w:rFonts w:hint="default" w:asciiTheme="minorEastAsia" w:hAnsiTheme="minorEastAsia" w:eastAsiaTheme="minorEastAsia" w:cstheme="minorEastAsia"/>
          <w:color w:val="auto"/>
          <w:kern w:val="0"/>
          <w:sz w:val="21"/>
          <w:szCs w:val="21"/>
          <w:lang w:val="en-US" w:eastAsia="zh-CN"/>
        </w:rPr>
      </w:pPr>
      <w:bookmarkStart w:id="3" w:name="_Toc105339620"/>
      <w:bookmarkStart w:id="4" w:name="_Toc240707731"/>
      <w:bookmarkStart w:id="5" w:name="_Toc240707968"/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  <w:lang w:val="en-US" w:eastAsia="zh-CN"/>
        </w:rPr>
        <w:t>核心：明文规定</w:t>
      </w:r>
    </w:p>
    <w:p w14:paraId="5041DA32">
      <w:pPr>
        <w:snapToGrid w:val="0"/>
        <w:ind w:firstLine="0" w:firstLineChars="0"/>
        <w:jc w:val="both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区分扩大解释与类推解释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  <w:lang w:eastAsia="zh-CN"/>
        </w:rPr>
        <w:t>：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事实“靠不进”法条的，叫“类推解释”；事实可以勉强“靠进”法条的，叫“扩大解释”</w:t>
      </w:r>
    </w:p>
    <w:p w14:paraId="2D5B7FE7">
      <w:pPr>
        <w:snapToGrid w:val="0"/>
        <w:ind w:firstLine="0" w:firstLineChars="0"/>
        <w:jc w:val="both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  <w:lang w:val="en-US" w:eastAsia="zh-CN"/>
        </w:rPr>
        <w:t>靠不进，类推；勉强靠得近，扩大。</w:t>
      </w:r>
    </w:p>
    <w:p w14:paraId="3C3D1DB3">
      <w:pPr>
        <w:snapToGrid w:val="0"/>
        <w:ind w:firstLine="0" w:firstLineChars="0"/>
        <w:jc w:val="both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7898B334">
      <w:pPr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18BF6018">
      <w:pPr>
        <w:pStyle w:val="2"/>
        <w:spacing w:before="0" w:line="560" w:lineRule="exact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bookmarkStart w:id="6" w:name="_Toc230103148"/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>考点2  犯罪构成理论</w:t>
      </w:r>
      <w:bookmarkEnd w:id="3"/>
      <w:bookmarkEnd w:id="6"/>
      <w:bookmarkStart w:id="7" w:name="_Hlk51716774"/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val="en-US" w:eastAsia="zh-CN"/>
        </w:rPr>
        <w:t>20:13—20:35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  <w:t>）</w:t>
      </w:r>
    </w:p>
    <w:bookmarkEnd w:id="4"/>
    <w:bookmarkEnd w:id="5"/>
    <w:bookmarkEnd w:id="7"/>
    <w:p w14:paraId="52351ECD">
      <w:pPr>
        <w:ind w:left="0" w:leftChars="0" w:firstLine="0" w:firstLineChars="0"/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  <w:lang w:val="en-US" w:eastAsia="zh-CN"/>
        </w:rPr>
      </w:pPr>
    </w:p>
    <w:p w14:paraId="51F788F1">
      <w:pPr>
        <w:ind w:left="0" w:leftChars="0" w:firstLine="0" w:firstLineChars="0"/>
        <w:rPr>
          <w:rFonts w:hint="default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  <w:lang w:val="en-US" w:eastAsia="zh-CN"/>
        </w:rPr>
        <w:t>先客观，后主观，客观主观相统一</w:t>
      </w:r>
    </w:p>
    <w:p w14:paraId="7F882359">
      <w:pPr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  <w:lang w:val="en-US" w:eastAsia="zh-CN"/>
        </w:rPr>
        <w:t>方法：1.列法条；2.理清楚要件；3.左手边案情靠右手边构成要件。</w:t>
      </w:r>
    </w:p>
    <w:p w14:paraId="43E58A2E">
      <w:pPr>
        <w:snapToGrid w:val="0"/>
        <w:spacing w:before="31" w:beforeLines="10" w:after="62" w:afterLines="20" w:line="280" w:lineRule="exact"/>
        <w:ind w:left="0" w:leftChars="0" w:right="420" w:rightChars="200" w:firstLine="0" w:firstLineChars="0"/>
        <w:jc w:val="both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</w:p>
    <w:p w14:paraId="2A12A5C0">
      <w:pPr>
        <w:snapToGrid w:val="0"/>
        <w:spacing w:before="31" w:beforeLines="10" w:after="62" w:afterLines="20" w:line="280" w:lineRule="exact"/>
        <w:ind w:left="0" w:leftChars="0" w:right="420" w:rightChars="200" w:firstLine="0" w:firstLineChars="0"/>
        <w:jc w:val="both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val="en-US" w:eastAsia="zh-CN"/>
        </w:rPr>
        <w:t>总结：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>先客观，后主观，客观主观相统一</w:t>
      </w:r>
    </w:p>
    <w:p w14:paraId="00420208">
      <w:pPr>
        <w:snapToGrid w:val="0"/>
        <w:spacing w:before="31" w:beforeLines="10" w:after="62" w:afterLines="20" w:line="280" w:lineRule="exact"/>
        <w:ind w:left="0" w:leftChars="0" w:right="420" w:rightChars="200" w:firstLine="0" w:firstLineChars="0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1．“犯罪”一词具有多义性：（1）大部分指“犯罪行为”（客观不法）；（2）“构成”具体罪名，需客观不法+主观责任。</w:t>
      </w:r>
    </w:p>
    <w:p w14:paraId="7F549643">
      <w:pPr>
        <w:snapToGrid w:val="0"/>
        <w:spacing w:before="31" w:beforeLines="10" w:after="62" w:afterLines="20" w:line="280" w:lineRule="exact"/>
        <w:ind w:left="0" w:leftChars="0" w:right="420" w:rightChars="200" w:firstLine="0" w:firstLineChars="0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2．判断犯罪的顺序：先客观（不法），后主观（有责）。先判断行为客观上有无危害，再判断行为人主观上有无过错。不因行为人主观上有过错，就一律认为构成犯罪。</w:t>
      </w:r>
    </w:p>
    <w:p w14:paraId="2D50E939">
      <w:pPr>
        <w:snapToGrid w:val="0"/>
        <w:spacing w:before="31" w:beforeLines="10" w:after="62" w:afterLines="20" w:line="280" w:lineRule="exact"/>
        <w:ind w:left="0" w:leftChars="0" w:right="420" w:rightChars="200" w:firstLine="0" w:firstLineChars="0"/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3．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>客观（不法）、主观（责任）相统一，重合范围内认定罪名。</w:t>
      </w:r>
      <w:bookmarkStart w:id="8" w:name="_Toc105339621"/>
    </w:p>
    <w:p w14:paraId="66F5DA57">
      <w:pPr>
        <w:snapToGrid w:val="0"/>
        <w:spacing w:before="31" w:beforeLines="10" w:after="62" w:afterLines="20" w:line="280" w:lineRule="exact"/>
        <w:ind w:left="0" w:leftChars="0" w:right="420" w:rightChars="200" w:firstLine="0" w:firstLineChars="0"/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</w:pPr>
    </w:p>
    <w:p w14:paraId="13B3E1E4">
      <w:pPr>
        <w:pStyle w:val="2"/>
        <w:spacing w:before="0" w:line="560" w:lineRule="exact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bookmarkStart w:id="9" w:name="_Toc230103150"/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>考点3  不作为</w:t>
      </w:r>
      <w:bookmarkEnd w:id="8"/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>行为</w:t>
      </w:r>
      <w:bookmarkEnd w:id="9"/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val="en-US" w:eastAsia="zh-CN"/>
        </w:rPr>
        <w:t>20:35—21:24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  <w:t>）</w:t>
      </w:r>
    </w:p>
    <w:p w14:paraId="1865633B">
      <w:pPr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tbl>
      <w:tblPr>
        <w:tblStyle w:val="8"/>
        <w:tblW w:w="8522" w:type="dxa"/>
        <w:jc w:val="center"/>
        <w:tblBorders>
          <w:top w:val="single" w:color="FF0000" w:sz="4" w:space="0"/>
          <w:left w:val="single" w:color="FF0000" w:sz="4" w:space="0"/>
          <w:bottom w:val="single" w:color="FF0000" w:sz="4" w:space="0"/>
          <w:right w:val="single" w:color="FF0000" w:sz="4" w:space="0"/>
          <w:insideH w:val="single" w:color="FF0000" w:sz="4" w:space="0"/>
          <w:insideV w:val="single" w:color="FF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2"/>
        <w:gridCol w:w="506"/>
        <w:gridCol w:w="1134"/>
        <w:gridCol w:w="425"/>
        <w:gridCol w:w="2551"/>
        <w:gridCol w:w="426"/>
        <w:gridCol w:w="2551"/>
        <w:gridCol w:w="447"/>
      </w:tblGrid>
      <w:tr w14:paraId="66B11125">
        <w:trPr>
          <w:trHeight w:val="583" w:hRule="atLeast"/>
          <w:jc w:val="center"/>
        </w:trPr>
        <w:tc>
          <w:tcPr>
            <w:tcW w:w="482" w:type="dxa"/>
            <w:vMerge w:val="restart"/>
            <w:vAlign w:val="center"/>
          </w:tcPr>
          <w:p w14:paraId="049C806A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bookmarkStart w:id="10" w:name="_Hlk51717015"/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不作为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行为</w:t>
            </w:r>
          </w:p>
        </w:tc>
        <w:tc>
          <w:tcPr>
            <w:tcW w:w="506" w:type="dxa"/>
            <w:vMerge w:val="restart"/>
            <w:vAlign w:val="center"/>
          </w:tcPr>
          <w:p w14:paraId="02F71BE8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总论中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三个</w:t>
            </w:r>
          </w:p>
          <w:p w14:paraId="5CF64C00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客观条件</w:t>
            </w:r>
          </w:p>
        </w:tc>
        <w:tc>
          <w:tcPr>
            <w:tcW w:w="1134" w:type="dxa"/>
            <w:vMerge w:val="restart"/>
            <w:vAlign w:val="center"/>
          </w:tcPr>
          <w:p w14:paraId="6FCE8918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行为人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负有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特定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积极义务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（具有“保证人”的身份）</w:t>
            </w:r>
          </w:p>
        </w:tc>
        <w:tc>
          <w:tcPr>
            <w:tcW w:w="425" w:type="dxa"/>
            <w:vMerge w:val="restart"/>
            <w:vAlign w:val="center"/>
          </w:tcPr>
          <w:p w14:paraId="138DC117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四种形式根据</w:t>
            </w:r>
          </w:p>
        </w:tc>
        <w:tc>
          <w:tcPr>
            <w:tcW w:w="2551" w:type="dxa"/>
            <w:vAlign w:val="center"/>
          </w:tcPr>
          <w:p w14:paraId="40353C17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1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．法律、法规规定的义务</w:t>
            </w:r>
          </w:p>
        </w:tc>
        <w:tc>
          <w:tcPr>
            <w:tcW w:w="426" w:type="dxa"/>
            <w:vMerge w:val="restart"/>
            <w:vAlign w:val="center"/>
          </w:tcPr>
          <w:p w14:paraId="1C28BF84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三种实质根据</w:t>
            </w:r>
          </w:p>
        </w:tc>
        <w:tc>
          <w:tcPr>
            <w:tcW w:w="2551" w:type="dxa"/>
            <w:vAlign w:val="center"/>
          </w:tcPr>
          <w:p w14:paraId="6247DA62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基于对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危险源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支配产生的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监督义务</w:t>
            </w:r>
          </w:p>
        </w:tc>
        <w:tc>
          <w:tcPr>
            <w:tcW w:w="447" w:type="dxa"/>
            <w:vMerge w:val="restart"/>
            <w:vAlign w:val="center"/>
          </w:tcPr>
          <w:p w14:paraId="7991BA9D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符合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分则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具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体罪名构成要件</w:t>
            </w:r>
          </w:p>
        </w:tc>
      </w:tr>
      <w:tr w14:paraId="0CE1D21F">
        <w:trPr>
          <w:trHeight w:val="615" w:hRule="atLeast"/>
          <w:jc w:val="center"/>
        </w:trPr>
        <w:tc>
          <w:tcPr>
            <w:tcW w:w="482" w:type="dxa"/>
            <w:vMerge w:val="continue"/>
            <w:vAlign w:val="center"/>
          </w:tcPr>
          <w:p w14:paraId="31EB98E0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506" w:type="dxa"/>
            <w:vMerge w:val="continue"/>
            <w:vAlign w:val="center"/>
          </w:tcPr>
          <w:p w14:paraId="36549A73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1134" w:type="dxa"/>
            <w:vMerge w:val="continue"/>
            <w:vAlign w:val="center"/>
          </w:tcPr>
          <w:p w14:paraId="66B5F5C8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425" w:type="dxa"/>
            <w:vMerge w:val="continue"/>
            <w:vAlign w:val="center"/>
          </w:tcPr>
          <w:p w14:paraId="6DA2E8D9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2551" w:type="dxa"/>
            <w:vAlign w:val="center"/>
          </w:tcPr>
          <w:p w14:paraId="1DCBBBF4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2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．职务或者业务要求的义务</w:t>
            </w:r>
          </w:p>
        </w:tc>
        <w:tc>
          <w:tcPr>
            <w:tcW w:w="426" w:type="dxa"/>
            <w:vMerge w:val="continue"/>
            <w:vAlign w:val="center"/>
          </w:tcPr>
          <w:p w14:paraId="2BF64181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2551" w:type="dxa"/>
            <w:vAlign w:val="center"/>
          </w:tcPr>
          <w:p w14:paraId="213BBEBE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基于与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被保护人之间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特殊关系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产生的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保护义务</w:t>
            </w:r>
          </w:p>
        </w:tc>
        <w:tc>
          <w:tcPr>
            <w:tcW w:w="447" w:type="dxa"/>
            <w:vMerge w:val="continue"/>
            <w:vAlign w:val="center"/>
          </w:tcPr>
          <w:p w14:paraId="0C114070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</w:tr>
      <w:tr w14:paraId="767EE021">
        <w:trPr>
          <w:trHeight w:val="70" w:hRule="atLeast"/>
          <w:jc w:val="center"/>
        </w:trPr>
        <w:tc>
          <w:tcPr>
            <w:tcW w:w="482" w:type="dxa"/>
            <w:vMerge w:val="continue"/>
            <w:vAlign w:val="center"/>
          </w:tcPr>
          <w:p w14:paraId="4E46A309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506" w:type="dxa"/>
            <w:vMerge w:val="continue"/>
            <w:vAlign w:val="center"/>
          </w:tcPr>
          <w:p w14:paraId="06E97DD2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1134" w:type="dxa"/>
            <w:vMerge w:val="continue"/>
            <w:vAlign w:val="center"/>
          </w:tcPr>
          <w:p w14:paraId="468C83D5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425" w:type="dxa"/>
            <w:vMerge w:val="continue"/>
            <w:vAlign w:val="center"/>
          </w:tcPr>
          <w:p w14:paraId="17AA521B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2551" w:type="dxa"/>
            <w:vAlign w:val="center"/>
          </w:tcPr>
          <w:p w14:paraId="7C1C9379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3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．法律行为引起的义务</w:t>
            </w:r>
          </w:p>
        </w:tc>
        <w:tc>
          <w:tcPr>
            <w:tcW w:w="426" w:type="dxa"/>
            <w:vMerge w:val="continue"/>
            <w:vAlign w:val="center"/>
          </w:tcPr>
          <w:p w14:paraId="6F52759A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2551" w:type="dxa"/>
            <w:vMerge w:val="restart"/>
            <w:vAlign w:val="center"/>
          </w:tcPr>
          <w:p w14:paraId="49767D78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基于对法益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危险发生领域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的支配产生的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报告阻止义务</w:t>
            </w:r>
          </w:p>
        </w:tc>
        <w:tc>
          <w:tcPr>
            <w:tcW w:w="447" w:type="dxa"/>
            <w:vMerge w:val="continue"/>
            <w:vAlign w:val="center"/>
          </w:tcPr>
          <w:p w14:paraId="61B84D6B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</w:tr>
      <w:tr w14:paraId="6E087C93">
        <w:trPr>
          <w:trHeight w:val="216" w:hRule="atLeast"/>
          <w:jc w:val="center"/>
        </w:trPr>
        <w:tc>
          <w:tcPr>
            <w:tcW w:w="482" w:type="dxa"/>
            <w:vMerge w:val="continue"/>
            <w:vAlign w:val="center"/>
          </w:tcPr>
          <w:p w14:paraId="7C693F28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506" w:type="dxa"/>
            <w:vMerge w:val="continue"/>
            <w:vAlign w:val="center"/>
          </w:tcPr>
          <w:p w14:paraId="6CA8D465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1134" w:type="dxa"/>
            <w:vMerge w:val="continue"/>
            <w:vAlign w:val="center"/>
          </w:tcPr>
          <w:p w14:paraId="23E91211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425" w:type="dxa"/>
            <w:vMerge w:val="continue"/>
            <w:vAlign w:val="center"/>
          </w:tcPr>
          <w:p w14:paraId="3F66D4E4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2551" w:type="dxa"/>
            <w:vAlign w:val="center"/>
          </w:tcPr>
          <w:p w14:paraId="670209F0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4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．先前行为引起的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义务（要求先前行为与风险有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因果关系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[负主要责任的条件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]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）</w:t>
            </w:r>
          </w:p>
        </w:tc>
        <w:tc>
          <w:tcPr>
            <w:tcW w:w="426" w:type="dxa"/>
            <w:vMerge w:val="continue"/>
            <w:vAlign w:val="center"/>
          </w:tcPr>
          <w:p w14:paraId="54443798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2551" w:type="dxa"/>
            <w:vMerge w:val="continue"/>
            <w:vAlign w:val="center"/>
          </w:tcPr>
          <w:p w14:paraId="5815A247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447" w:type="dxa"/>
            <w:vMerge w:val="continue"/>
            <w:vAlign w:val="center"/>
          </w:tcPr>
          <w:p w14:paraId="50FF5263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</w:tr>
      <w:tr w14:paraId="06BFFC76">
        <w:trPr>
          <w:jc w:val="center"/>
        </w:trPr>
        <w:tc>
          <w:tcPr>
            <w:tcW w:w="482" w:type="dxa"/>
            <w:vMerge w:val="continue"/>
            <w:vAlign w:val="center"/>
          </w:tcPr>
          <w:p w14:paraId="56A000B9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506" w:type="dxa"/>
            <w:vMerge w:val="continue"/>
            <w:vAlign w:val="center"/>
          </w:tcPr>
          <w:p w14:paraId="534893A5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7087" w:type="dxa"/>
            <w:gridSpan w:val="5"/>
            <w:vAlign w:val="center"/>
          </w:tcPr>
          <w:p w14:paraId="22550400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行为人能够履行特定义务（具有履行义务的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能力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和条件、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作为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可能性）</w:t>
            </w:r>
          </w:p>
        </w:tc>
        <w:tc>
          <w:tcPr>
            <w:tcW w:w="447" w:type="dxa"/>
            <w:vMerge w:val="continue"/>
            <w:vAlign w:val="center"/>
          </w:tcPr>
          <w:p w14:paraId="32872C6C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</w:tr>
      <w:tr w14:paraId="60D48D5A">
        <w:trPr>
          <w:jc w:val="center"/>
        </w:trPr>
        <w:tc>
          <w:tcPr>
            <w:tcW w:w="482" w:type="dxa"/>
            <w:vMerge w:val="continue"/>
            <w:vAlign w:val="center"/>
          </w:tcPr>
          <w:p w14:paraId="0E44EA73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506" w:type="dxa"/>
            <w:vMerge w:val="continue"/>
            <w:vAlign w:val="center"/>
          </w:tcPr>
          <w:p w14:paraId="04E2FE5F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7087" w:type="dxa"/>
            <w:gridSpan w:val="5"/>
            <w:vAlign w:val="center"/>
          </w:tcPr>
          <w:p w14:paraId="134525A8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行为人不履行特定义务，造成或者可能造成危害结果（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因果关系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）</w:t>
            </w:r>
          </w:p>
        </w:tc>
        <w:tc>
          <w:tcPr>
            <w:tcW w:w="447" w:type="dxa"/>
            <w:vMerge w:val="continue"/>
            <w:vAlign w:val="center"/>
          </w:tcPr>
          <w:p w14:paraId="5EC258C6">
            <w:pPr>
              <w:snapToGrid w:val="0"/>
              <w:spacing w:before="31" w:beforeLines="10" w:after="62" w:afterLines="2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</w:tr>
      <w:bookmarkEnd w:id="10"/>
    </w:tbl>
    <w:p w14:paraId="60043042">
      <w:pPr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  <w:lang w:val="en-US" w:eastAsia="zh-CN"/>
        </w:rPr>
        <w:t>总结：</w:t>
      </w:r>
    </w:p>
    <w:p w14:paraId="13263986">
      <w:pPr>
        <w:snapToGrid w:val="0"/>
        <w:spacing w:before="31" w:beforeLines="10" w:after="62" w:afterLines="20" w:line="280" w:lineRule="exact"/>
        <w:ind w:left="0" w:leftChars="0" w:right="420" w:rightChars="200" w:firstLine="0" w:firstLineChars="0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1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．不作为犯的义务来源。形式义务分四种：法律法规、职务业务、法律行为、先前行为。</w:t>
      </w:r>
    </w:p>
    <w:p w14:paraId="3AF87B07">
      <w:pPr>
        <w:snapToGrid w:val="0"/>
        <w:spacing w:before="31" w:beforeLines="10" w:after="62" w:afterLines="20" w:line="280" w:lineRule="exact"/>
        <w:ind w:left="0" w:leftChars="0" w:right="420" w:rightChars="200" w:firstLine="0" w:firstLineChars="0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2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．先前行为与风险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具有刑法上的因果关系（负主要责任的条件）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，才产生救助义务。</w:t>
      </w:r>
    </w:p>
    <w:p w14:paraId="28AD08AB">
      <w:pPr>
        <w:snapToGrid w:val="0"/>
        <w:spacing w:before="31" w:beforeLines="10" w:after="62" w:afterLines="20" w:line="280" w:lineRule="exact"/>
        <w:ind w:left="0" w:leftChars="0" w:right="420" w:rightChars="200" w:firstLine="0" w:firstLineChars="0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3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．实质义务（义务的内容和实质依据）分三类：监督义务（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谁监管风险，谁救助风险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）、保护义务（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谁是被害人保护人，谁负有保护责任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）、特定领域的报告救助义务（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谁支配领域，谁报告风险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）。</w:t>
      </w:r>
    </w:p>
    <w:p w14:paraId="1BB3F3AC">
      <w:pPr>
        <w:spacing w:before="31" w:beforeLines="10" w:after="62" w:afterLines="20" w:line="280" w:lineRule="exact"/>
        <w:ind w:left="0" w:leftChars="0" w:right="420" w:rightChars="200" w:firstLine="0" w:firstLineChars="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4．先前作为行为后续的不救助行为能否“独立成立不作为行为（不作为犯）”，</w:t>
      </w:r>
      <w:bookmarkStart w:id="11" w:name="_Hlk29593943"/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一看因果关系，二看能否合并评价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。先看结果可否归因于不救助（因果关系），再看二行为性质是否相同、是否持续行为、结果是否包容。</w:t>
      </w:r>
      <w:bookmarkEnd w:id="11"/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先前行为是防卫、避险行为的，先看合并评价行为导致的结果，再考虑是否过当。</w:t>
      </w:r>
    </w:p>
    <w:p w14:paraId="1BBC2E7E">
      <w:pPr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235FCFE0">
      <w:pPr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1D505B70">
      <w:pPr>
        <w:pStyle w:val="2"/>
        <w:spacing w:before="0" w:line="560" w:lineRule="exact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bookmarkStart w:id="12" w:name="_Toc105339622"/>
      <w:bookmarkStart w:id="13" w:name="_Toc230103151"/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>考点4  因果关系</w:t>
      </w:r>
      <w:bookmarkEnd w:id="12"/>
      <w:bookmarkEnd w:id="13"/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val="en-US" w:eastAsia="zh-CN"/>
        </w:rPr>
        <w:t>21:24—21:50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  <w:t>）</w:t>
      </w:r>
    </w:p>
    <w:p w14:paraId="11973A83">
      <w:pPr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063F95F9">
      <w:pPr>
        <w:ind w:firstLine="0" w:firstLineChars="0"/>
        <w:jc w:val="both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</w:rPr>
        <w:t>标准：相当因果关系说（=条件关系+相当性[同等、主要、全部责任]）</w:t>
      </w:r>
    </w:p>
    <w:p w14:paraId="533E726B">
      <w:pPr>
        <w:ind w:firstLine="0" w:firstLineChars="0"/>
        <w:jc w:val="center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先条件（无A则无R，则A是R的条件）后原因（同等、主要、全部责任）</w:t>
      </w:r>
    </w:p>
    <w:tbl>
      <w:tblPr>
        <w:tblStyle w:val="8"/>
        <w:tblW w:w="8642" w:type="dxa"/>
        <w:jc w:val="center"/>
        <w:tblBorders>
          <w:top w:val="single" w:color="FF0000" w:sz="4" w:space="0"/>
          <w:left w:val="single" w:color="FF0000" w:sz="4" w:space="0"/>
          <w:bottom w:val="single" w:color="FF0000" w:sz="4" w:space="0"/>
          <w:right w:val="single" w:color="FF0000" w:sz="4" w:space="0"/>
          <w:insideH w:val="single" w:color="FF0000" w:sz="4" w:space="0"/>
          <w:insideV w:val="single" w:color="FF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3"/>
        <w:gridCol w:w="1701"/>
        <w:gridCol w:w="1701"/>
        <w:gridCol w:w="3827"/>
      </w:tblGrid>
      <w:tr w14:paraId="289DBB17">
        <w:trPr>
          <w:jc w:val="center"/>
        </w:trPr>
        <w:tc>
          <w:tcPr>
            <w:tcW w:w="1413" w:type="dxa"/>
            <w:vAlign w:val="center"/>
          </w:tcPr>
          <w:p w14:paraId="4271B934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1．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条件判断</w:t>
            </w:r>
          </w:p>
        </w:tc>
        <w:tc>
          <w:tcPr>
            <w:tcW w:w="7229" w:type="dxa"/>
            <w:gridSpan w:val="3"/>
            <w:vAlign w:val="center"/>
          </w:tcPr>
          <w:p w14:paraId="1FDAD157">
            <w:pPr>
              <w:snapToGrid w:val="0"/>
              <w:spacing w:after="31" w:afterLines="1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无A则无R，A是R的条件</w:t>
            </w:r>
          </w:p>
        </w:tc>
      </w:tr>
      <w:tr w14:paraId="661C1409">
        <w:trPr>
          <w:jc w:val="center"/>
        </w:trPr>
        <w:tc>
          <w:tcPr>
            <w:tcW w:w="1413" w:type="dxa"/>
            <w:vMerge w:val="restart"/>
            <w:vAlign w:val="center"/>
          </w:tcPr>
          <w:p w14:paraId="461F3BF2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2．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相当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性判断（同等、主要、全部责任）</w:t>
            </w:r>
          </w:p>
        </w:tc>
        <w:tc>
          <w:tcPr>
            <w:tcW w:w="7229" w:type="dxa"/>
            <w:gridSpan w:val="3"/>
            <w:vAlign w:val="center"/>
          </w:tcPr>
          <w:p w14:paraId="374B7D8B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具体定式模型</w:t>
            </w:r>
          </w:p>
        </w:tc>
      </w:tr>
      <w:tr w14:paraId="476137D0">
        <w:trPr>
          <w:jc w:val="center"/>
        </w:trPr>
        <w:tc>
          <w:tcPr>
            <w:tcW w:w="1413" w:type="dxa"/>
            <w:vMerge w:val="continue"/>
            <w:vAlign w:val="center"/>
          </w:tcPr>
          <w:p w14:paraId="5E39959A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vAlign w:val="center"/>
          </w:tcPr>
          <w:p w14:paraId="622D2A35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利用既存条件，负全责</w:t>
            </w:r>
          </w:p>
        </w:tc>
        <w:tc>
          <w:tcPr>
            <w:tcW w:w="1701" w:type="dxa"/>
            <w:vAlign w:val="center"/>
          </w:tcPr>
          <w:p w14:paraId="79B9175B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特殊体质（A+特殊体质→R）</w:t>
            </w:r>
          </w:p>
        </w:tc>
        <w:tc>
          <w:tcPr>
            <w:tcW w:w="3827" w:type="dxa"/>
            <w:vAlign w:val="center"/>
          </w:tcPr>
          <w:p w14:paraId="4CC1F1AC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有因果</w:t>
            </w:r>
          </w:p>
        </w:tc>
      </w:tr>
      <w:tr w14:paraId="5AF104A9">
        <w:trPr>
          <w:jc w:val="center"/>
        </w:trPr>
        <w:tc>
          <w:tcPr>
            <w:tcW w:w="1413" w:type="dxa"/>
            <w:vMerge w:val="continue"/>
            <w:vAlign w:val="center"/>
          </w:tcPr>
          <w:p w14:paraId="77A708B7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vMerge w:val="restart"/>
            <w:vAlign w:val="center"/>
          </w:tcPr>
          <w:p w14:paraId="5E0652BC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Step1：无A1、A2则无R→A1、A2是R的条件；</w:t>
            </w:r>
          </w:p>
          <w:p w14:paraId="33A0D2AF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  <w:p w14:paraId="3BBF5BFD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Step2：A1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责任大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，A2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责任小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→A1有因果，A2是条件</w:t>
            </w:r>
          </w:p>
        </w:tc>
        <w:tc>
          <w:tcPr>
            <w:tcW w:w="1701" w:type="dxa"/>
            <w:vAlign w:val="center"/>
          </w:tcPr>
          <w:p w14:paraId="3738DFA3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介入因果</w:t>
            </w:r>
          </w:p>
          <w:p w14:paraId="1BE84B2E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（A1→B+A2→R）</w:t>
            </w:r>
          </w:p>
          <w:p w14:paraId="3998EAD2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两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步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法：</w:t>
            </w:r>
          </w:p>
        </w:tc>
        <w:tc>
          <w:tcPr>
            <w:tcW w:w="3827" w:type="dxa"/>
            <w:vAlign w:val="center"/>
          </w:tcPr>
          <w:p w14:paraId="3A753C3A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Step1：启动因素（A1）是否大概率导致介入因素（A2）？依附关系不中断因果</w:t>
            </w:r>
          </w:p>
          <w:p w14:paraId="3E9450EA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Step2：独立关系，则看介入因素（A2）、启动因素（A1）对结果（R）的作用力大小。作用大者有因果</w:t>
            </w:r>
          </w:p>
        </w:tc>
      </w:tr>
      <w:tr w14:paraId="01D07570">
        <w:trPr>
          <w:jc w:val="center"/>
        </w:trPr>
        <w:tc>
          <w:tcPr>
            <w:tcW w:w="1413" w:type="dxa"/>
            <w:vMerge w:val="continue"/>
            <w:vAlign w:val="center"/>
          </w:tcPr>
          <w:p w14:paraId="6B4CB78F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vAlign w:val="center"/>
          </w:tcPr>
          <w:p w14:paraId="792AE5ED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vAlign w:val="center"/>
          </w:tcPr>
          <w:p w14:paraId="7DC3B466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重叠因果</w:t>
            </w:r>
          </w:p>
          <w:p w14:paraId="57EC9E45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（A1+A2→R）</w:t>
            </w:r>
          </w:p>
        </w:tc>
        <w:tc>
          <w:tcPr>
            <w:tcW w:w="3827" w:type="dxa"/>
            <w:vAlign w:val="center"/>
          </w:tcPr>
          <w:p w14:paraId="2B80A897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A1、A2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独立关系、作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用都超过50%（或无法查明大小），都有因果</w:t>
            </w:r>
          </w:p>
        </w:tc>
      </w:tr>
      <w:tr w14:paraId="47042B4E">
        <w:trPr>
          <w:trHeight w:val="315" w:hRule="atLeast"/>
          <w:jc w:val="center"/>
        </w:trPr>
        <w:tc>
          <w:tcPr>
            <w:tcW w:w="1413" w:type="dxa"/>
            <w:vMerge w:val="continue"/>
            <w:vAlign w:val="center"/>
          </w:tcPr>
          <w:p w14:paraId="3535EF3A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vAlign w:val="center"/>
          </w:tcPr>
          <w:p w14:paraId="71275DFC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vMerge w:val="restart"/>
            <w:vAlign w:val="center"/>
          </w:tcPr>
          <w:p w14:paraId="0E4D7C32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同时犯因果</w:t>
            </w:r>
          </w:p>
          <w:p w14:paraId="4DA23027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（A1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A2→R）</w:t>
            </w:r>
          </w:p>
          <w:p w14:paraId="621E2587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四情形</w:t>
            </w:r>
          </w:p>
        </w:tc>
        <w:tc>
          <w:tcPr>
            <w:tcW w:w="3827" w:type="dxa"/>
            <w:vAlign w:val="center"/>
          </w:tcPr>
          <w:p w14:paraId="39929252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A1、A2谁打中查不清，都无因果</w:t>
            </w:r>
          </w:p>
        </w:tc>
      </w:tr>
      <w:tr w14:paraId="4DC854F5">
        <w:trPr>
          <w:trHeight w:val="360" w:hRule="atLeast"/>
          <w:jc w:val="center"/>
        </w:trPr>
        <w:tc>
          <w:tcPr>
            <w:tcW w:w="1413" w:type="dxa"/>
            <w:vMerge w:val="continue"/>
            <w:vAlign w:val="center"/>
          </w:tcPr>
          <w:p w14:paraId="05FE2F2C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vAlign w:val="center"/>
          </w:tcPr>
          <w:p w14:paraId="03646AAD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vAlign w:val="center"/>
          </w:tcPr>
          <w:p w14:paraId="3E5D3176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3827" w:type="dxa"/>
            <w:vAlign w:val="center"/>
          </w:tcPr>
          <w:p w14:paraId="183F41B4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A1、A2都打中都致命，都有因果</w:t>
            </w:r>
          </w:p>
        </w:tc>
      </w:tr>
      <w:tr w14:paraId="640A0DAE">
        <w:trPr>
          <w:trHeight w:val="270" w:hRule="atLeast"/>
          <w:jc w:val="center"/>
        </w:trPr>
        <w:tc>
          <w:tcPr>
            <w:tcW w:w="1413" w:type="dxa"/>
            <w:vMerge w:val="continue"/>
            <w:vAlign w:val="center"/>
          </w:tcPr>
          <w:p w14:paraId="1970082F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vAlign w:val="center"/>
          </w:tcPr>
          <w:p w14:paraId="79F6A9FE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vAlign w:val="center"/>
          </w:tcPr>
          <w:p w14:paraId="06E47AF3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3827" w:type="dxa"/>
            <w:vAlign w:val="center"/>
          </w:tcPr>
          <w:p w14:paraId="064D718E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A1、A2都打中作用大小查不清，都有因果</w:t>
            </w:r>
          </w:p>
        </w:tc>
      </w:tr>
      <w:tr w14:paraId="1969A5C0">
        <w:trPr>
          <w:trHeight w:val="305" w:hRule="atLeast"/>
          <w:jc w:val="center"/>
        </w:trPr>
        <w:tc>
          <w:tcPr>
            <w:tcW w:w="1413" w:type="dxa"/>
            <w:vMerge w:val="continue"/>
            <w:vAlign w:val="center"/>
          </w:tcPr>
          <w:p w14:paraId="70BBB5C8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vAlign w:val="center"/>
          </w:tcPr>
          <w:p w14:paraId="6C39B73C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vAlign w:val="center"/>
          </w:tcPr>
          <w:p w14:paraId="7D37631E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3827" w:type="dxa"/>
            <w:vAlign w:val="center"/>
          </w:tcPr>
          <w:p w14:paraId="50E26C82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A1、A2都打中致命一枪查得清，按查清情况认定因果</w:t>
            </w:r>
          </w:p>
        </w:tc>
      </w:tr>
      <w:tr w14:paraId="40E9C66B">
        <w:trPr>
          <w:jc w:val="center"/>
        </w:trPr>
        <w:tc>
          <w:tcPr>
            <w:tcW w:w="1413" w:type="dxa"/>
            <w:vMerge w:val="continue"/>
            <w:vAlign w:val="center"/>
          </w:tcPr>
          <w:p w14:paraId="05086728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vAlign w:val="center"/>
          </w:tcPr>
          <w:p w14:paraId="2E6A2A0C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共同正犯（一个整体行为）</w:t>
            </w:r>
          </w:p>
        </w:tc>
        <w:tc>
          <w:tcPr>
            <w:tcW w:w="5528" w:type="dxa"/>
            <w:gridSpan w:val="2"/>
            <w:vAlign w:val="center"/>
          </w:tcPr>
          <w:p w14:paraId="39DBD0E5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对共同行为导致的结果负责</w:t>
            </w:r>
          </w:p>
        </w:tc>
      </w:tr>
      <w:tr w14:paraId="09342D8A">
        <w:trPr>
          <w:jc w:val="center"/>
        </w:trPr>
        <w:tc>
          <w:tcPr>
            <w:tcW w:w="8642" w:type="dxa"/>
            <w:gridSpan w:val="4"/>
            <w:vAlign w:val="center"/>
          </w:tcPr>
          <w:p w14:paraId="636DDFEB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因果关系与犯罪成立的关系：有因果关系可认为具备犯罪成立的客观要件（不法），但是否构成犯罪还需要主观要件（责任）</w:t>
            </w:r>
          </w:p>
        </w:tc>
      </w:tr>
    </w:tbl>
    <w:p w14:paraId="07CE2465">
      <w:pPr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tbl>
      <w:tblPr>
        <w:tblStyle w:val="8"/>
        <w:tblW w:w="8522" w:type="dxa"/>
        <w:jc w:val="center"/>
        <w:tblBorders>
          <w:top w:val="single" w:color="FF0000" w:sz="4" w:space="0"/>
          <w:left w:val="single" w:color="FF0000" w:sz="4" w:space="0"/>
          <w:bottom w:val="single" w:color="FF0000" w:sz="4" w:space="0"/>
          <w:right w:val="single" w:color="FF0000" w:sz="4" w:space="0"/>
          <w:insideH w:val="single" w:color="FF0000" w:sz="4" w:space="0"/>
          <w:insideV w:val="single" w:color="FF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6"/>
        <w:gridCol w:w="4962"/>
        <w:gridCol w:w="1864"/>
      </w:tblGrid>
      <w:tr w14:paraId="24ECDEE0">
        <w:trPr>
          <w:jc w:val="center"/>
        </w:trPr>
        <w:tc>
          <w:tcPr>
            <w:tcW w:w="8522" w:type="dxa"/>
            <w:gridSpan w:val="3"/>
            <w:vAlign w:val="center"/>
          </w:tcPr>
          <w:p w14:paraId="4A972ED8">
            <w:pPr>
              <w:tabs>
                <w:tab w:val="left" w:pos="2912"/>
                <w:tab w:val="clear" w:pos="420"/>
              </w:tabs>
              <w:spacing w:before="31" w:beforeLines="10" w:after="31" w:afterLines="1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一些经验法则</w:t>
            </w:r>
          </w:p>
        </w:tc>
      </w:tr>
      <w:tr w14:paraId="1D97582F">
        <w:trPr>
          <w:jc w:val="center"/>
        </w:trPr>
        <w:tc>
          <w:tcPr>
            <w:tcW w:w="1696" w:type="dxa"/>
            <w:vAlign w:val="center"/>
          </w:tcPr>
          <w:p w14:paraId="2E2EF903">
            <w:pPr>
              <w:tabs>
                <w:tab w:val="left" w:pos="2912"/>
                <w:tab w:val="clear" w:pos="420"/>
              </w:tabs>
              <w:spacing w:before="31" w:beforeLines="10" w:after="31" w:afterLines="1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A1（条件1）</w:t>
            </w:r>
          </w:p>
        </w:tc>
        <w:tc>
          <w:tcPr>
            <w:tcW w:w="4962" w:type="dxa"/>
            <w:vAlign w:val="center"/>
          </w:tcPr>
          <w:p w14:paraId="5B13C66C">
            <w:pPr>
              <w:tabs>
                <w:tab w:val="left" w:pos="2912"/>
                <w:tab w:val="clear" w:pos="420"/>
              </w:tabs>
              <w:spacing w:before="31" w:beforeLines="10" w:after="31" w:afterLines="1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A2（条件2）</w:t>
            </w:r>
          </w:p>
        </w:tc>
        <w:tc>
          <w:tcPr>
            <w:tcW w:w="1864" w:type="dxa"/>
            <w:vAlign w:val="center"/>
          </w:tcPr>
          <w:p w14:paraId="20B01160">
            <w:pPr>
              <w:tabs>
                <w:tab w:val="left" w:pos="2912"/>
                <w:tab w:val="clear" w:pos="420"/>
              </w:tabs>
              <w:spacing w:before="31" w:beforeLines="10" w:after="31" w:afterLines="1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结论</w:t>
            </w:r>
          </w:p>
        </w:tc>
      </w:tr>
      <w:tr w14:paraId="5FD561C1">
        <w:trPr>
          <w:jc w:val="center"/>
        </w:trPr>
        <w:tc>
          <w:tcPr>
            <w:tcW w:w="1696" w:type="dxa"/>
            <w:vMerge w:val="restart"/>
            <w:vAlign w:val="center"/>
          </w:tcPr>
          <w:p w14:paraId="521EC16A">
            <w:pPr>
              <w:tabs>
                <w:tab w:val="left" w:pos="2912"/>
                <w:tab w:val="clear" w:pos="420"/>
              </w:tabs>
              <w:spacing w:before="31" w:beforeLines="10" w:after="31" w:afterLines="1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启动行为（A1）</w:t>
            </w:r>
          </w:p>
        </w:tc>
        <w:tc>
          <w:tcPr>
            <w:tcW w:w="4962" w:type="dxa"/>
            <w:vAlign w:val="center"/>
          </w:tcPr>
          <w:p w14:paraId="00EEDE25">
            <w:pPr>
              <w:snapToGrid w:val="0"/>
              <w:spacing w:before="31" w:beforeLines="10" w:after="31" w:afterLines="1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  <w:u w:val="single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启动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行为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（A1）对介入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因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素（A2）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有支配</w:t>
            </w:r>
          </w:p>
        </w:tc>
        <w:tc>
          <w:tcPr>
            <w:tcW w:w="1864" w:type="dxa"/>
            <w:vAlign w:val="center"/>
          </w:tcPr>
          <w:p w14:paraId="66CCF4BA">
            <w:pPr>
              <w:tabs>
                <w:tab w:val="left" w:pos="2912"/>
                <w:tab w:val="clear" w:pos="420"/>
              </w:tabs>
              <w:spacing w:before="31" w:beforeLines="10" w:after="31" w:afterLines="1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A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1仍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与R有因果</w:t>
            </w:r>
          </w:p>
        </w:tc>
      </w:tr>
      <w:tr w14:paraId="68C78AD8">
        <w:trPr>
          <w:jc w:val="center"/>
        </w:trPr>
        <w:tc>
          <w:tcPr>
            <w:tcW w:w="1696" w:type="dxa"/>
            <w:vMerge w:val="continue"/>
            <w:vAlign w:val="center"/>
          </w:tcPr>
          <w:p w14:paraId="18141AC8">
            <w:pPr>
              <w:snapToGrid w:val="0"/>
              <w:spacing w:before="31" w:beforeLines="10" w:after="31" w:afterLines="1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4962" w:type="dxa"/>
            <w:vAlign w:val="center"/>
          </w:tcPr>
          <w:p w14:paraId="56543330">
            <w:pPr>
              <w:snapToGrid w:val="0"/>
              <w:spacing w:before="31" w:beforeLines="10" w:after="31" w:afterLines="1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介入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因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素（A2）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是自主自决的自陷风险行为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（有认识能力、意志自由）</w:t>
            </w:r>
          </w:p>
        </w:tc>
        <w:tc>
          <w:tcPr>
            <w:tcW w:w="1864" w:type="dxa"/>
            <w:vAlign w:val="center"/>
          </w:tcPr>
          <w:p w14:paraId="773C8BAE">
            <w:pPr>
              <w:tabs>
                <w:tab w:val="left" w:pos="2912"/>
                <w:tab w:val="clear" w:pos="420"/>
              </w:tabs>
              <w:spacing w:before="31" w:beforeLines="10" w:after="31" w:afterLines="1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A2与R有因果</w:t>
            </w:r>
          </w:p>
        </w:tc>
      </w:tr>
      <w:tr w14:paraId="528F255F">
        <w:trPr>
          <w:jc w:val="center"/>
        </w:trPr>
        <w:tc>
          <w:tcPr>
            <w:tcW w:w="1696" w:type="dxa"/>
            <w:vMerge w:val="continue"/>
            <w:vAlign w:val="center"/>
          </w:tcPr>
          <w:p w14:paraId="4A266B64">
            <w:pPr>
              <w:snapToGrid w:val="0"/>
              <w:spacing w:before="31" w:beforeLines="10" w:after="31" w:afterLines="1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4962" w:type="dxa"/>
            <w:vAlign w:val="center"/>
          </w:tcPr>
          <w:p w14:paraId="3EF2BCE3">
            <w:pPr>
              <w:snapToGrid w:val="0"/>
              <w:spacing w:before="31" w:beforeLines="10" w:after="31" w:afterLines="1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介入行为（A2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，与A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1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独立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）的行为人只有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轻微过失或无过错</w:t>
            </w:r>
          </w:p>
        </w:tc>
        <w:tc>
          <w:tcPr>
            <w:tcW w:w="1864" w:type="dxa"/>
            <w:vAlign w:val="center"/>
          </w:tcPr>
          <w:p w14:paraId="014516FA">
            <w:pPr>
              <w:tabs>
                <w:tab w:val="left" w:pos="2912"/>
                <w:tab w:val="clear" w:pos="420"/>
              </w:tabs>
              <w:spacing w:before="31" w:beforeLines="10" w:after="31" w:afterLines="1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A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1仍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与R有因果</w:t>
            </w:r>
          </w:p>
        </w:tc>
      </w:tr>
      <w:tr w14:paraId="557F42A0">
        <w:trPr>
          <w:jc w:val="center"/>
        </w:trPr>
        <w:tc>
          <w:tcPr>
            <w:tcW w:w="1696" w:type="dxa"/>
            <w:vMerge w:val="continue"/>
            <w:vAlign w:val="center"/>
          </w:tcPr>
          <w:p w14:paraId="5899A253">
            <w:pPr>
              <w:snapToGrid w:val="0"/>
              <w:spacing w:before="31" w:beforeLines="10" w:after="31" w:afterLines="1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4962" w:type="dxa"/>
            <w:vAlign w:val="center"/>
          </w:tcPr>
          <w:p w14:paraId="18F53647">
            <w:pPr>
              <w:snapToGrid w:val="0"/>
              <w:spacing w:before="31" w:beforeLines="10" w:after="31" w:afterLines="1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介入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行为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（A2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，与A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1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独立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）的行为人有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重大过错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（故意、重大过失）</w:t>
            </w:r>
          </w:p>
        </w:tc>
        <w:tc>
          <w:tcPr>
            <w:tcW w:w="1864" w:type="dxa"/>
            <w:vAlign w:val="center"/>
          </w:tcPr>
          <w:p w14:paraId="122FF965">
            <w:pPr>
              <w:tabs>
                <w:tab w:val="left" w:pos="2912"/>
                <w:tab w:val="clear" w:pos="420"/>
              </w:tabs>
              <w:spacing w:before="31" w:beforeLines="10" w:after="31" w:afterLines="1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A2与R有因果</w:t>
            </w:r>
          </w:p>
        </w:tc>
      </w:tr>
      <w:tr w14:paraId="33BF11BD">
        <w:trPr>
          <w:jc w:val="center"/>
        </w:trPr>
        <w:tc>
          <w:tcPr>
            <w:tcW w:w="1696" w:type="dxa"/>
            <w:vMerge w:val="restart"/>
            <w:vAlign w:val="center"/>
          </w:tcPr>
          <w:p w14:paraId="0E2BD10A">
            <w:pPr>
              <w:snapToGrid w:val="0"/>
              <w:spacing w:before="31" w:beforeLines="10" w:after="31" w:afterLines="1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行为人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致被害人受伤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（A1）后</w:t>
            </w:r>
          </w:p>
        </w:tc>
        <w:tc>
          <w:tcPr>
            <w:tcW w:w="4962" w:type="dxa"/>
            <w:vAlign w:val="center"/>
          </w:tcPr>
          <w:p w14:paraId="41FF291A">
            <w:pPr>
              <w:snapToGrid w:val="0"/>
              <w:spacing w:before="31" w:beforeLines="10" w:after="31" w:afterLines="1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将被害人置于本来的就存在的危险境地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，后被害人因危险境地的危险（A2）而死亡（利用既存自然力）</w:t>
            </w:r>
          </w:p>
        </w:tc>
        <w:tc>
          <w:tcPr>
            <w:tcW w:w="1864" w:type="dxa"/>
            <w:vAlign w:val="center"/>
          </w:tcPr>
          <w:p w14:paraId="74D89452">
            <w:pPr>
              <w:tabs>
                <w:tab w:val="left" w:pos="2912"/>
                <w:tab w:val="clear" w:pos="420"/>
              </w:tabs>
              <w:spacing w:before="31" w:beforeLines="10" w:after="31" w:afterLines="1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A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1仍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与R有因果</w:t>
            </w:r>
          </w:p>
        </w:tc>
      </w:tr>
      <w:tr w14:paraId="1B664DCC">
        <w:trPr>
          <w:jc w:val="center"/>
        </w:trPr>
        <w:tc>
          <w:tcPr>
            <w:tcW w:w="1696" w:type="dxa"/>
            <w:vMerge w:val="continue"/>
            <w:vAlign w:val="center"/>
          </w:tcPr>
          <w:p w14:paraId="4418548E">
            <w:pPr>
              <w:snapToGrid w:val="0"/>
              <w:spacing w:before="31" w:beforeLines="10" w:after="31" w:afterLines="1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4962" w:type="dxa"/>
            <w:vAlign w:val="center"/>
          </w:tcPr>
          <w:p w14:paraId="74709DB4">
            <w:pPr>
              <w:snapToGrid w:val="0"/>
              <w:spacing w:before="31" w:beforeLines="10" w:after="31" w:afterLines="10" w:line="280" w:lineRule="exact"/>
              <w:ind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介入因素（A2）是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行为之后突发的自然力原因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，行为人未利用自然力</w:t>
            </w:r>
          </w:p>
        </w:tc>
        <w:tc>
          <w:tcPr>
            <w:tcW w:w="1864" w:type="dxa"/>
            <w:vAlign w:val="center"/>
          </w:tcPr>
          <w:p w14:paraId="1F5F0598">
            <w:pPr>
              <w:tabs>
                <w:tab w:val="left" w:pos="2912"/>
                <w:tab w:val="clear" w:pos="420"/>
              </w:tabs>
              <w:spacing w:before="31" w:beforeLines="10" w:after="31" w:afterLines="1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A2与R有因果</w:t>
            </w:r>
          </w:p>
        </w:tc>
      </w:tr>
    </w:tbl>
    <w:p w14:paraId="2B171C39">
      <w:pPr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04E643EF">
      <w:pPr>
        <w:snapToGrid w:val="0"/>
        <w:spacing w:before="31" w:beforeLines="10" w:after="62" w:afterLines="20" w:line="280" w:lineRule="exact"/>
        <w:ind w:left="0" w:leftChars="0" w:right="420" w:rightChars="200" w:firstLine="0" w:firstLineChars="0"/>
        <w:jc w:val="both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val="en-US" w:eastAsia="zh-CN"/>
        </w:rPr>
        <w:t>总结：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>先条件（无A则无R，则A是R的条件）；后原因（同等、主要、全部责任）</w:t>
      </w:r>
    </w:p>
    <w:p w14:paraId="7BC6421A">
      <w:pPr>
        <w:tabs>
          <w:tab w:val="left" w:pos="2912"/>
          <w:tab w:val="clear" w:pos="420"/>
        </w:tabs>
        <w:spacing w:before="31" w:beforeLines="10" w:after="62" w:afterLines="20" w:line="280" w:lineRule="exact"/>
        <w:ind w:left="0" w:leftChars="0" w:right="420" w:rightChars="200" w:firstLine="0" w:firstLineChars="0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1．相当因果关系两步骤：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先判断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条件关系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，后判断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责任大小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。</w:t>
      </w:r>
    </w:p>
    <w:p w14:paraId="7FE2E6B0">
      <w:pPr>
        <w:tabs>
          <w:tab w:val="left" w:pos="2912"/>
          <w:tab w:val="clear" w:pos="420"/>
        </w:tabs>
        <w:spacing w:before="31" w:beforeLines="10" w:after="62" w:afterLines="20" w:line="280" w:lineRule="exact"/>
        <w:ind w:left="0" w:leftChars="0" w:right="420" w:rightChars="200" w:firstLine="0" w:firstLineChars="0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2．四种基本因果关系（特殊体质、介入因果、同时因果、重叠因果）的判断规则：</w:t>
      </w:r>
    </w:p>
    <w:p w14:paraId="3EB8E8E5">
      <w:pPr>
        <w:snapToGrid w:val="0"/>
        <w:spacing w:before="31" w:beforeLines="10" w:after="62" w:afterLines="20" w:line="280" w:lineRule="exact"/>
        <w:ind w:left="0" w:leftChars="0" w:right="420" w:rightChars="200" w:firstLine="0" w:firstLineChars="0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（1）特殊体质（A+特殊体质→R），不中断因果关系；</w:t>
      </w:r>
    </w:p>
    <w:p w14:paraId="56CB75E0">
      <w:pPr>
        <w:snapToGrid w:val="0"/>
        <w:spacing w:before="31" w:beforeLines="10" w:after="62" w:afterLines="20" w:line="280" w:lineRule="exact"/>
        <w:ind w:left="0" w:leftChars="0" w:right="420" w:rightChars="200" w:firstLine="0" w:firstLineChars="0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（2）介入因素（A1→B+A2→R）分两步：依附关系不中断；独立关系，作用大者有因果；</w:t>
      </w:r>
    </w:p>
    <w:p w14:paraId="567606AA">
      <w:pPr>
        <w:snapToGrid w:val="0"/>
        <w:spacing w:before="31" w:beforeLines="10" w:after="62" w:afterLines="20" w:line="280" w:lineRule="exact"/>
        <w:ind w:left="0" w:leftChars="0" w:right="420" w:rightChars="200" w:firstLine="0" w:firstLineChars="0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（3）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A1、A2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独立关系，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对结果（R）作用力一样大（或都超过50%），或无法查明作用力大小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（A1[≥50%]+A2[≥50%]→R）；都有因果。称为“重叠因果”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。</w:t>
      </w:r>
    </w:p>
    <w:p w14:paraId="08EA7E01">
      <w:pPr>
        <w:snapToGrid w:val="0"/>
        <w:spacing w:before="31" w:beforeLines="10" w:after="62" w:afterLines="20" w:line="280" w:lineRule="exact"/>
        <w:ind w:left="0" w:leftChars="0" w:right="420" w:rightChars="200" w:firstLine="0" w:firstLineChars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3．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同时犯因果（A1、A2→R）四情形：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A1、A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2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谁打中查不清，都无因果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；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A1、A2都打中都致命，都有因果；A1、A2都打中作用大小查不清，都有因果；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事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实完全查得清，按查清情况认定。</w:t>
      </w:r>
    </w:p>
    <w:p w14:paraId="7F9632B1">
      <w:pPr>
        <w:spacing w:before="10" w:after="20" w:line="280" w:lineRule="exact"/>
        <w:ind w:left="0" w:leftChars="0" w:right="420" w:rightChars="200" w:firstLine="0" w:firstLineChars="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4．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共同正犯：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对共同行为导致的结果，承担客观责任（不论谁造成）。</w:t>
      </w:r>
    </w:p>
    <w:p w14:paraId="72DFDC8A">
      <w:pPr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4CBDE4A3">
      <w:pPr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bookmarkStart w:id="14" w:name="_Toc230103153"/>
      <w:bookmarkStart w:id="15" w:name="_Toc105339623"/>
    </w:p>
    <w:p w14:paraId="111C9D43">
      <w:pPr>
        <w:pStyle w:val="2"/>
        <w:spacing w:before="0" w:line="560" w:lineRule="exact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>考点5  刑事责任年龄</w:t>
      </w:r>
      <w:bookmarkEnd w:id="14"/>
      <w:bookmarkEnd w:id="15"/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val="en-US" w:eastAsia="zh-CN"/>
        </w:rPr>
        <w:t>21:50—22:02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  <w:t>）</w:t>
      </w:r>
    </w:p>
    <w:p w14:paraId="32B74ED5">
      <w:pPr>
        <w:pStyle w:val="3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3420B2CE">
      <w:pPr>
        <w:pStyle w:val="3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一、12～14周岁的人：2种行为+2种结果+情节恶劣（杀人、伤害+致死、严重残疾手段残忍+情节恶劣）</w:t>
      </w:r>
    </w:p>
    <w:p w14:paraId="6578624C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（一）2种行为：故意杀人、故意伤害。</w:t>
      </w:r>
    </w:p>
    <w:p w14:paraId="565FF92A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（二）2种结果：致人死亡；或者以特别残忍手段+致人重伤+造成严重残疾。</w:t>
      </w:r>
    </w:p>
    <w:p w14:paraId="66D1164F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（三）情节恶劣。</w:t>
      </w:r>
    </w:p>
    <w:p w14:paraId="105800D4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（四）程序条件：经最高人民检察院核准。</w:t>
      </w:r>
    </w:p>
    <w:p w14:paraId="1B247D11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61DEA38E">
      <w:pPr>
        <w:pStyle w:val="3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二、14～16周岁人，对8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  <w:lang w:val="en-US" w:eastAsia="zh-CN"/>
        </w:rPr>
        <w:t>种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行为（3+3+1+1）负刑责</w:t>
      </w:r>
    </w:p>
    <w:p w14:paraId="35356923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tbl>
      <w:tblPr>
        <w:tblStyle w:val="8"/>
        <w:tblW w:w="8505" w:type="dxa"/>
        <w:jc w:val="center"/>
        <w:tblBorders>
          <w:top w:val="single" w:color="FF0000" w:sz="4" w:space="0"/>
          <w:left w:val="single" w:color="FF0000" w:sz="4" w:space="0"/>
          <w:bottom w:val="single" w:color="FF0000" w:sz="4" w:space="0"/>
          <w:right w:val="single" w:color="FF0000" w:sz="4" w:space="0"/>
          <w:insideH w:val="single" w:color="FF0000" w:sz="4" w:space="0"/>
          <w:insideV w:val="single" w:color="FF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59"/>
        <w:gridCol w:w="2410"/>
        <w:gridCol w:w="3336"/>
      </w:tblGrid>
      <w:tr w14:paraId="49B0F5F9">
        <w:trPr>
          <w:jc w:val="center"/>
        </w:trPr>
        <w:tc>
          <w:tcPr>
            <w:tcW w:w="2759" w:type="dxa"/>
            <w:vAlign w:val="center"/>
          </w:tcPr>
          <w:p w14:paraId="5D0F226E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bookmarkStart w:id="16" w:name="_Hlk34755787"/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8种行为</w:t>
            </w:r>
          </w:p>
        </w:tc>
        <w:tc>
          <w:tcPr>
            <w:tcW w:w="2410" w:type="dxa"/>
            <w:vAlign w:val="center"/>
          </w:tcPr>
          <w:p w14:paraId="28A8B113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包括</w:t>
            </w:r>
          </w:p>
        </w:tc>
        <w:tc>
          <w:tcPr>
            <w:tcW w:w="3336" w:type="dxa"/>
            <w:vAlign w:val="center"/>
          </w:tcPr>
          <w:p w14:paraId="6A9DFAF2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不包括</w:t>
            </w:r>
          </w:p>
        </w:tc>
      </w:tr>
      <w:tr w14:paraId="63E68EE9">
        <w:trPr>
          <w:jc w:val="center"/>
        </w:trPr>
        <w:tc>
          <w:tcPr>
            <w:tcW w:w="2759" w:type="dxa"/>
            <w:vAlign w:val="center"/>
          </w:tcPr>
          <w:p w14:paraId="24D9260E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故意杀人</w:t>
            </w:r>
          </w:p>
          <w:p w14:paraId="39959D56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故意伤害致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人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重伤、死亡</w:t>
            </w:r>
          </w:p>
        </w:tc>
        <w:tc>
          <w:tcPr>
            <w:tcW w:w="2410" w:type="dxa"/>
            <w:vAlign w:val="center"/>
          </w:tcPr>
          <w:p w14:paraId="3BC1B333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转化犯</w:t>
            </w:r>
          </w:p>
        </w:tc>
        <w:tc>
          <w:tcPr>
            <w:tcW w:w="3336" w:type="dxa"/>
            <w:vAlign w:val="center"/>
          </w:tcPr>
          <w:p w14:paraId="110485E5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故意伤害致人轻伤</w:t>
            </w:r>
          </w:p>
          <w:p w14:paraId="759157E9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过失致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人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死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亡、过失致人重伤</w:t>
            </w:r>
          </w:p>
        </w:tc>
      </w:tr>
      <w:tr w14:paraId="6EE4DA93">
        <w:trPr>
          <w:jc w:val="center"/>
        </w:trPr>
        <w:tc>
          <w:tcPr>
            <w:tcW w:w="2759" w:type="dxa"/>
            <w:vAlign w:val="center"/>
          </w:tcPr>
          <w:p w14:paraId="1F0577DC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强奸</w:t>
            </w:r>
          </w:p>
        </w:tc>
        <w:tc>
          <w:tcPr>
            <w:tcW w:w="2410" w:type="dxa"/>
            <w:vAlign w:val="center"/>
          </w:tcPr>
          <w:p w14:paraId="2FD3E606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强奸妇女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奸淫幼女</w:t>
            </w:r>
          </w:p>
          <w:p w14:paraId="6F2C495F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（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包括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嫖宿幼女）</w:t>
            </w:r>
          </w:p>
        </w:tc>
        <w:tc>
          <w:tcPr>
            <w:tcW w:w="3336" w:type="dxa"/>
            <w:vAlign w:val="center"/>
          </w:tcPr>
          <w:p w14:paraId="1107AF82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两小无猜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（责任阻却）</w:t>
            </w:r>
          </w:p>
        </w:tc>
      </w:tr>
      <w:tr w14:paraId="618FFBD0">
        <w:trPr>
          <w:jc w:val="center"/>
        </w:trPr>
        <w:tc>
          <w:tcPr>
            <w:tcW w:w="2759" w:type="dxa"/>
            <w:vAlign w:val="center"/>
          </w:tcPr>
          <w:p w14:paraId="5CA23D20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抢劫</w:t>
            </w:r>
          </w:p>
        </w:tc>
        <w:tc>
          <w:tcPr>
            <w:tcW w:w="2410" w:type="dxa"/>
            <w:vAlign w:val="center"/>
          </w:tcPr>
          <w:p w14:paraId="570FDB0D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普通抢劫</w:t>
            </w:r>
          </w:p>
          <w:p w14:paraId="1653672E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携带凶器抢夺</w:t>
            </w:r>
          </w:p>
          <w:p w14:paraId="18AA00F1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聚众打砸抢的首要分子</w:t>
            </w:r>
          </w:p>
          <w:p w14:paraId="4CF2DDFD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（抢劫枪支等特别法）</w:t>
            </w:r>
          </w:p>
        </w:tc>
        <w:tc>
          <w:tcPr>
            <w:tcW w:w="3336" w:type="dxa"/>
            <w:vAlign w:val="center"/>
          </w:tcPr>
          <w:p w14:paraId="1C3B14D8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转化型抢劫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行为</w:t>
            </w:r>
          </w:p>
          <w:p w14:paraId="219B6575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（不定抢劫罪，可以暴力定故意杀人，故意伤害重伤、致死）</w:t>
            </w:r>
          </w:p>
        </w:tc>
      </w:tr>
      <w:tr w14:paraId="1C9AD6BF">
        <w:trPr>
          <w:jc w:val="center"/>
        </w:trPr>
        <w:tc>
          <w:tcPr>
            <w:tcW w:w="2759" w:type="dxa"/>
            <w:vAlign w:val="center"/>
          </w:tcPr>
          <w:p w14:paraId="6BBC513F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放火、爆炸、投放危险物质</w:t>
            </w:r>
          </w:p>
        </w:tc>
        <w:tc>
          <w:tcPr>
            <w:tcW w:w="2410" w:type="dxa"/>
            <w:vAlign w:val="center"/>
          </w:tcPr>
          <w:p w14:paraId="3285D34D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3336" w:type="dxa"/>
            <w:vAlign w:val="center"/>
          </w:tcPr>
          <w:p w14:paraId="5307FCB9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决水、以危险方法危害公共安全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、</w:t>
            </w:r>
          </w:p>
          <w:p w14:paraId="7477378B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破坏交通工具、劫持航空器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等</w:t>
            </w:r>
          </w:p>
        </w:tc>
      </w:tr>
      <w:tr w14:paraId="4E8449B9">
        <w:trPr>
          <w:jc w:val="center"/>
        </w:trPr>
        <w:tc>
          <w:tcPr>
            <w:tcW w:w="2759" w:type="dxa"/>
            <w:vAlign w:val="center"/>
          </w:tcPr>
          <w:p w14:paraId="7B2D0B9D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贩卖毒品</w:t>
            </w:r>
          </w:p>
        </w:tc>
        <w:tc>
          <w:tcPr>
            <w:tcW w:w="2410" w:type="dxa"/>
            <w:vAlign w:val="center"/>
          </w:tcPr>
          <w:p w14:paraId="0A238903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3336" w:type="dxa"/>
            <w:vAlign w:val="center"/>
          </w:tcPr>
          <w:p w14:paraId="104BFF0D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制造、运输、走私毒品</w:t>
            </w:r>
          </w:p>
        </w:tc>
      </w:tr>
      <w:tr w14:paraId="2A0D79EB">
        <w:trPr>
          <w:jc w:val="center"/>
        </w:trPr>
        <w:tc>
          <w:tcPr>
            <w:tcW w:w="2759" w:type="dxa"/>
            <w:vAlign w:val="center"/>
          </w:tcPr>
          <w:p w14:paraId="440D1A4B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2410" w:type="dxa"/>
            <w:vAlign w:val="center"/>
          </w:tcPr>
          <w:p w14:paraId="45B69227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3336" w:type="dxa"/>
            <w:vAlign w:val="center"/>
          </w:tcPr>
          <w:p w14:paraId="0811B305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绑架</w:t>
            </w:r>
          </w:p>
        </w:tc>
      </w:tr>
      <w:bookmarkEnd w:id="16"/>
    </w:tbl>
    <w:p w14:paraId="03156F0D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620B0190">
      <w:pPr>
        <w:pStyle w:val="3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三、隔时犯</w:t>
      </w:r>
    </w:p>
    <w:p w14:paraId="5B47DF4E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以生日当天24点一刀两切，看有责任时是否实施其他行为（不作为、作为）。</w:t>
      </w:r>
    </w:p>
    <w:p w14:paraId="3A13EB38">
      <w:pPr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2862C889">
      <w:pPr>
        <w:ind w:left="0" w:leftChars="0" w:firstLine="0" w:firstLineChars="0"/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  <w:lang w:val="en-US" w:eastAsia="zh-CN"/>
        </w:rPr>
        <w:t>总结：</w:t>
      </w:r>
    </w:p>
    <w:p w14:paraId="4B27DA68">
      <w:pPr>
        <w:tabs>
          <w:tab w:val="left" w:pos="2912"/>
          <w:tab w:val="clear" w:pos="420"/>
        </w:tabs>
        <w:spacing w:before="31" w:beforeLines="10" w:after="62" w:afterLines="20" w:line="280" w:lineRule="exact"/>
        <w:ind w:left="0" w:leftChars="0" w:right="420" w:rightChars="200" w:firstLine="0" w:firstLineChars="0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1．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12～14周岁人，对2种行为+2种结果负刑责：杀人、伤害+致死、严重残疾手段残忍+情节恶劣，报最高检核准，构成故意杀人罪，或者故意伤害罪（重伤）。</w:t>
      </w:r>
    </w:p>
    <w:p w14:paraId="52F2B3D1">
      <w:pPr>
        <w:tabs>
          <w:tab w:val="left" w:pos="2912"/>
          <w:tab w:val="clear" w:pos="420"/>
        </w:tabs>
        <w:spacing w:before="31" w:beforeLines="10" w:after="62" w:afterLines="20" w:line="280" w:lineRule="exact"/>
        <w:ind w:left="0" w:leftChars="0" w:right="420" w:rightChars="200" w:firstLine="0" w:firstLineChars="0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2．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14～16周岁人，对8行为（3+3+1+1）负刑责：三人身（杀人、伤害致重伤死亡、强奸）、三公共安全（放火、爆炸、投放危险物质）、一财产（抢劫）、一毒品（贩毒）。</w:t>
      </w:r>
    </w:p>
    <w:p w14:paraId="43E946FF">
      <w:pPr>
        <w:tabs>
          <w:tab w:val="left" w:pos="2912"/>
          <w:tab w:val="clear" w:pos="420"/>
        </w:tabs>
        <w:spacing w:before="31" w:beforeLines="10" w:after="62" w:afterLines="20" w:line="280" w:lineRule="exact"/>
        <w:ind w:left="0" w:leftChars="0" w:right="420" w:rightChars="200" w:firstLine="0" w:firstLineChars="0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3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．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生日当天是“不满”。</w:t>
      </w:r>
    </w:p>
    <w:p w14:paraId="4A9BA1CD">
      <w:pPr>
        <w:tabs>
          <w:tab w:val="left" w:pos="2912"/>
          <w:tab w:val="clear" w:pos="420"/>
        </w:tabs>
        <w:spacing w:before="31" w:beforeLines="10" w:after="62" w:afterLines="20" w:line="280" w:lineRule="exact"/>
        <w:ind w:left="0" w:leftChars="0" w:right="420" w:rightChars="200" w:firstLine="0" w:firstLineChars="0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4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．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隔时犯：以生日当天24点一刀两切，看有责任时是否实施其他行为（不作为、作为）。</w:t>
      </w:r>
    </w:p>
    <w:p w14:paraId="6EAFB3C0">
      <w:pPr>
        <w:tabs>
          <w:tab w:val="left" w:pos="2912"/>
          <w:tab w:val="clear" w:pos="420"/>
        </w:tabs>
        <w:spacing w:before="31" w:beforeLines="10" w:after="62" w:afterLines="20" w:line="280" w:lineRule="exact"/>
        <w:ind w:left="0" w:leftChars="0" w:right="420" w:rightChars="200" w:firstLine="0" w:firstLineChars="0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</w:p>
    <w:p w14:paraId="0F4383E7">
      <w:pPr>
        <w:tabs>
          <w:tab w:val="left" w:pos="2912"/>
          <w:tab w:val="clear" w:pos="420"/>
        </w:tabs>
        <w:spacing w:before="31" w:beforeLines="10" w:after="62" w:afterLines="20" w:line="280" w:lineRule="exact"/>
        <w:ind w:left="0" w:leftChars="0" w:right="420" w:rightChars="200" w:firstLine="0" w:firstLineChars="0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</w:p>
    <w:p w14:paraId="3301D5E3">
      <w:pPr>
        <w:pStyle w:val="2"/>
        <w:spacing w:before="0" w:line="560" w:lineRule="exact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bookmarkStart w:id="17" w:name="_Toc230103154"/>
      <w:bookmarkStart w:id="18" w:name="_Toc105339624"/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>考点6  刑事责任能力（精神状况）</w:t>
      </w:r>
      <w:bookmarkEnd w:id="17"/>
      <w:bookmarkEnd w:id="18"/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val="en-US" w:eastAsia="zh-CN"/>
        </w:rPr>
        <w:t>22:02—22:15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  <w:t>）</w:t>
      </w:r>
    </w:p>
    <w:p w14:paraId="3EDE8ACB">
      <w:pPr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bookmarkStart w:id="19" w:name="_Hlk51717786"/>
    </w:p>
    <w:p w14:paraId="00A365E7">
      <w:pPr>
        <w:ind w:left="0" w:leftChars="0" w:firstLine="0" w:firstLineChars="0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1．原发性精神病：行为、责任需同时。</w:t>
      </w:r>
    </w:p>
    <w:p w14:paraId="0308E8B2">
      <w:pPr>
        <w:tabs>
          <w:tab w:val="left" w:pos="2912"/>
          <w:tab w:val="clear" w:pos="420"/>
        </w:tabs>
        <w:spacing w:before="31" w:beforeLines="10" w:after="62" w:afterLines="20" w:line="280" w:lineRule="exact"/>
        <w:ind w:left="0" w:leftChars="0" w:right="420" w:rightChars="200" w:firstLine="0" w:firstLineChars="0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2．自陷精神病（原因自由行为）：行为时认定行为，清醒时认定责任，重合处认定罪名（行为人在A罪故意或过失支配下实施B行为）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。</w:t>
      </w:r>
    </w:p>
    <w:p w14:paraId="2FF78EA3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5F2E27AB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bookmarkEnd w:id="19"/>
    <w:p w14:paraId="6CF894B4">
      <w:pPr>
        <w:pStyle w:val="2"/>
        <w:spacing w:before="0" w:line="560" w:lineRule="exact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bookmarkStart w:id="20" w:name="OLE_LINK10"/>
      <w:bookmarkStart w:id="21" w:name="OLE_LINK6"/>
      <w:bookmarkStart w:id="22" w:name="_Toc230103155"/>
      <w:bookmarkStart w:id="23" w:name="_Toc105339625"/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>考点7  故意</w:t>
      </w:r>
      <w:bookmarkEnd w:id="20"/>
      <w:bookmarkEnd w:id="21"/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>、过失</w:t>
      </w:r>
      <w:bookmarkEnd w:id="22"/>
      <w:bookmarkEnd w:id="23"/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val="en-US" w:eastAsia="zh-CN"/>
        </w:rPr>
        <w:t>22:15—22:26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  <w:t>）</w:t>
      </w:r>
    </w:p>
    <w:p w14:paraId="376D0342">
      <w:pPr>
        <w:pStyle w:val="7"/>
        <w:spacing w:before="0" w:beforeAutospacing="0" w:after="0" w:afterAutospacing="0"/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4FAA9D15">
      <w:pPr>
        <w:pStyle w:val="3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一、故意、过失的刑法规定</w:t>
      </w:r>
    </w:p>
    <w:p w14:paraId="0E1A754F">
      <w:pPr>
        <w:pStyle w:val="7"/>
        <w:spacing w:before="0" w:beforeAutospacing="0" w:after="0" w:afterAutospacing="0"/>
        <w:ind w:firstLine="42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tbl>
      <w:tblPr>
        <w:tblStyle w:val="8"/>
        <w:tblW w:w="8505" w:type="dxa"/>
        <w:jc w:val="center"/>
        <w:tblCellSpacing w:w="0" w:type="dxa"/>
        <w:tblBorders>
          <w:top w:val="single" w:color="FF0000" w:sz="4" w:space="0"/>
          <w:left w:val="single" w:color="FF0000" w:sz="4" w:space="0"/>
          <w:bottom w:val="single" w:color="FF0000" w:sz="4" w:space="0"/>
          <w:right w:val="single" w:color="FF0000" w:sz="4" w:space="0"/>
          <w:insideH w:val="single" w:color="FF0000" w:sz="4" w:space="0"/>
          <w:insideV w:val="single" w:color="FF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21"/>
        <w:gridCol w:w="1842"/>
        <w:gridCol w:w="1985"/>
        <w:gridCol w:w="1134"/>
        <w:gridCol w:w="1043"/>
        <w:gridCol w:w="1142"/>
        <w:gridCol w:w="938"/>
      </w:tblGrid>
      <w:tr w14:paraId="71972638">
        <w:trPr>
          <w:trHeight w:val="420" w:hRule="atLeast"/>
          <w:tblCellSpacing w:w="0" w:type="dxa"/>
          <w:jc w:val="center"/>
        </w:trPr>
        <w:tc>
          <w:tcPr>
            <w:tcW w:w="2263" w:type="dxa"/>
            <w:gridSpan w:val="2"/>
            <w:vMerge w:val="restart"/>
            <w:vAlign w:val="center"/>
          </w:tcPr>
          <w:p w14:paraId="0691D439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bookmarkStart w:id="24" w:name="_Hlk45062727"/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罪过形式</w:t>
            </w:r>
          </w:p>
        </w:tc>
        <w:tc>
          <w:tcPr>
            <w:tcW w:w="1985" w:type="dxa"/>
            <w:vMerge w:val="restart"/>
            <w:vAlign w:val="center"/>
          </w:tcPr>
          <w:p w14:paraId="23874508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构成要素</w:t>
            </w:r>
          </w:p>
        </w:tc>
        <w:tc>
          <w:tcPr>
            <w:tcW w:w="2177" w:type="dxa"/>
            <w:gridSpan w:val="2"/>
            <w:vAlign w:val="center"/>
          </w:tcPr>
          <w:p w14:paraId="177011D6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认识因素</w:t>
            </w:r>
          </w:p>
        </w:tc>
        <w:tc>
          <w:tcPr>
            <w:tcW w:w="2080" w:type="dxa"/>
            <w:gridSpan w:val="2"/>
            <w:vAlign w:val="center"/>
          </w:tcPr>
          <w:p w14:paraId="4168EE9F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意志因素</w:t>
            </w:r>
          </w:p>
        </w:tc>
      </w:tr>
      <w:tr w14:paraId="51DD8641">
        <w:trPr>
          <w:trHeight w:val="285" w:hRule="atLeast"/>
          <w:tblCellSpacing w:w="0" w:type="dxa"/>
          <w:jc w:val="center"/>
        </w:trPr>
        <w:tc>
          <w:tcPr>
            <w:tcW w:w="2263" w:type="dxa"/>
            <w:gridSpan w:val="2"/>
            <w:vMerge w:val="continue"/>
            <w:vAlign w:val="center"/>
          </w:tcPr>
          <w:p w14:paraId="4EA23817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1985" w:type="dxa"/>
            <w:vMerge w:val="continue"/>
            <w:vAlign w:val="center"/>
          </w:tcPr>
          <w:p w14:paraId="404EAD09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25511494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1043" w:type="dxa"/>
            <w:vAlign w:val="center"/>
          </w:tcPr>
          <w:p w14:paraId="328F313B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认识程度</w:t>
            </w:r>
          </w:p>
        </w:tc>
        <w:tc>
          <w:tcPr>
            <w:tcW w:w="1142" w:type="dxa"/>
            <w:vAlign w:val="center"/>
          </w:tcPr>
          <w:p w14:paraId="3A607881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938" w:type="dxa"/>
            <w:vAlign w:val="center"/>
          </w:tcPr>
          <w:p w14:paraId="21FBBF10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意志内容</w:t>
            </w:r>
          </w:p>
        </w:tc>
      </w:tr>
      <w:tr w14:paraId="2985543C">
        <w:trPr>
          <w:trHeight w:val="330" w:hRule="atLeast"/>
          <w:tblCellSpacing w:w="0" w:type="dxa"/>
          <w:jc w:val="center"/>
        </w:trPr>
        <w:tc>
          <w:tcPr>
            <w:tcW w:w="421" w:type="dxa"/>
            <w:vMerge w:val="restart"/>
            <w:vAlign w:val="center"/>
          </w:tcPr>
          <w:p w14:paraId="3A74435B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故</w:t>
            </w:r>
          </w:p>
          <w:p w14:paraId="1948C870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意</w:t>
            </w:r>
          </w:p>
        </w:tc>
        <w:tc>
          <w:tcPr>
            <w:tcW w:w="1842" w:type="dxa"/>
            <w:vAlign w:val="center"/>
          </w:tcPr>
          <w:p w14:paraId="183E2404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直接故意</w:t>
            </w:r>
          </w:p>
          <w:p w14:paraId="22F87131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（有目的的故意）</w:t>
            </w:r>
          </w:p>
        </w:tc>
        <w:tc>
          <w:tcPr>
            <w:tcW w:w="1985" w:type="dxa"/>
            <w:vAlign w:val="center"/>
          </w:tcPr>
          <w:p w14:paraId="301B2012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明知必然、可能+希望</w:t>
            </w:r>
          </w:p>
        </w:tc>
        <w:tc>
          <w:tcPr>
            <w:tcW w:w="1134" w:type="dxa"/>
            <w:vAlign w:val="center"/>
          </w:tcPr>
          <w:p w14:paraId="1BAA2004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明知必然、可能</w:t>
            </w:r>
          </w:p>
        </w:tc>
        <w:tc>
          <w:tcPr>
            <w:tcW w:w="1043" w:type="dxa"/>
            <w:vAlign w:val="center"/>
          </w:tcPr>
          <w:p w14:paraId="52EF300A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必然、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大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概率、小概率</w:t>
            </w:r>
          </w:p>
        </w:tc>
        <w:tc>
          <w:tcPr>
            <w:tcW w:w="1142" w:type="dxa"/>
            <w:vAlign w:val="center"/>
          </w:tcPr>
          <w:p w14:paraId="3D12C101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希望</w:t>
            </w:r>
          </w:p>
        </w:tc>
        <w:tc>
          <w:tcPr>
            <w:tcW w:w="938" w:type="dxa"/>
            <w:vAlign w:val="center"/>
          </w:tcPr>
          <w:p w14:paraId="1383273F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积极追求</w:t>
            </w:r>
          </w:p>
        </w:tc>
      </w:tr>
      <w:tr w14:paraId="323F9072">
        <w:trPr>
          <w:tblCellSpacing w:w="0" w:type="dxa"/>
          <w:jc w:val="center"/>
        </w:trPr>
        <w:tc>
          <w:tcPr>
            <w:tcW w:w="421" w:type="dxa"/>
            <w:vMerge w:val="continue"/>
            <w:vAlign w:val="center"/>
          </w:tcPr>
          <w:p w14:paraId="7AFD4C0C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1842" w:type="dxa"/>
            <w:vAlign w:val="center"/>
          </w:tcPr>
          <w:p w14:paraId="625B68C9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间接故意</w:t>
            </w:r>
          </w:p>
          <w:p w14:paraId="67CFCDBE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（无目的的故意）</w:t>
            </w:r>
          </w:p>
        </w:tc>
        <w:tc>
          <w:tcPr>
            <w:tcW w:w="1985" w:type="dxa"/>
            <w:vAlign w:val="center"/>
          </w:tcPr>
          <w:p w14:paraId="2A14F35A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明知可能（概率高）+放任（意志空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缺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）</w:t>
            </w:r>
          </w:p>
        </w:tc>
        <w:tc>
          <w:tcPr>
            <w:tcW w:w="1134" w:type="dxa"/>
            <w:vAlign w:val="center"/>
          </w:tcPr>
          <w:p w14:paraId="00C88ACE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明知可能</w:t>
            </w:r>
          </w:p>
        </w:tc>
        <w:tc>
          <w:tcPr>
            <w:tcW w:w="1043" w:type="dxa"/>
            <w:vAlign w:val="center"/>
          </w:tcPr>
          <w:p w14:paraId="2881C2C6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大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概率</w:t>
            </w:r>
          </w:p>
        </w:tc>
        <w:tc>
          <w:tcPr>
            <w:tcW w:w="1142" w:type="dxa"/>
            <w:vAlign w:val="center"/>
          </w:tcPr>
          <w:p w14:paraId="1519F9C7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放任（意志空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缺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）</w:t>
            </w:r>
          </w:p>
        </w:tc>
        <w:tc>
          <w:tcPr>
            <w:tcW w:w="938" w:type="dxa"/>
            <w:vAlign w:val="center"/>
          </w:tcPr>
          <w:p w14:paraId="20901017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不追求</w:t>
            </w:r>
          </w:p>
          <w:p w14:paraId="51C5F472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不反对</w:t>
            </w:r>
          </w:p>
        </w:tc>
      </w:tr>
      <w:tr w14:paraId="6F88366F">
        <w:trPr>
          <w:trHeight w:val="393" w:hRule="atLeast"/>
          <w:tblCellSpacing w:w="0" w:type="dxa"/>
          <w:jc w:val="center"/>
        </w:trPr>
        <w:tc>
          <w:tcPr>
            <w:tcW w:w="421" w:type="dxa"/>
            <w:vMerge w:val="restart"/>
            <w:vAlign w:val="center"/>
          </w:tcPr>
          <w:p w14:paraId="4B952B19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过</w:t>
            </w:r>
          </w:p>
          <w:p w14:paraId="34A33513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失</w:t>
            </w:r>
          </w:p>
        </w:tc>
        <w:tc>
          <w:tcPr>
            <w:tcW w:w="1842" w:type="dxa"/>
            <w:vAlign w:val="center"/>
          </w:tcPr>
          <w:p w14:paraId="7437EF51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过于自信的过失</w:t>
            </w:r>
          </w:p>
          <w:p w14:paraId="20E4F954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（有认识的过失）</w:t>
            </w:r>
          </w:p>
        </w:tc>
        <w:tc>
          <w:tcPr>
            <w:tcW w:w="1985" w:type="dxa"/>
            <w:vAlign w:val="center"/>
          </w:tcPr>
          <w:p w14:paraId="0B3DCB95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预见+没有避免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（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应当避免）+过于自信（有客观依据）</w:t>
            </w:r>
          </w:p>
        </w:tc>
        <w:tc>
          <w:tcPr>
            <w:tcW w:w="1134" w:type="dxa"/>
            <w:vAlign w:val="center"/>
          </w:tcPr>
          <w:p w14:paraId="5CB7D238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预见到可能</w:t>
            </w:r>
          </w:p>
        </w:tc>
        <w:tc>
          <w:tcPr>
            <w:tcW w:w="1043" w:type="dxa"/>
            <w:vAlign w:val="center"/>
          </w:tcPr>
          <w:p w14:paraId="130885F0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大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概率、小概率</w:t>
            </w:r>
          </w:p>
        </w:tc>
        <w:tc>
          <w:tcPr>
            <w:tcW w:w="1142" w:type="dxa"/>
            <w:vAlign w:val="center"/>
          </w:tcPr>
          <w:p w14:paraId="490708A0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轻信（有客观依据）能够避免</w:t>
            </w:r>
          </w:p>
        </w:tc>
        <w:tc>
          <w:tcPr>
            <w:tcW w:w="938" w:type="dxa"/>
            <w:vMerge w:val="restart"/>
            <w:vAlign w:val="center"/>
          </w:tcPr>
          <w:p w14:paraId="2DE2C40F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反对</w:t>
            </w:r>
          </w:p>
        </w:tc>
      </w:tr>
      <w:tr w14:paraId="676F11BB">
        <w:trPr>
          <w:trHeight w:val="286" w:hRule="atLeast"/>
          <w:tblCellSpacing w:w="0" w:type="dxa"/>
          <w:jc w:val="center"/>
        </w:trPr>
        <w:tc>
          <w:tcPr>
            <w:tcW w:w="421" w:type="dxa"/>
            <w:vMerge w:val="continue"/>
            <w:vAlign w:val="center"/>
          </w:tcPr>
          <w:p w14:paraId="579D28FF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1842" w:type="dxa"/>
            <w:vAlign w:val="center"/>
          </w:tcPr>
          <w:p w14:paraId="433AB566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疏忽大意的过失</w:t>
            </w:r>
          </w:p>
          <w:p w14:paraId="3E4DE013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（无认识的过失）</w:t>
            </w:r>
          </w:p>
        </w:tc>
        <w:tc>
          <w:tcPr>
            <w:tcW w:w="1985" w:type="dxa"/>
            <w:vAlign w:val="center"/>
          </w:tcPr>
          <w:p w14:paraId="4C9A0075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行为人没有预见+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（公众认为）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应当预见</w:t>
            </w:r>
          </w:p>
        </w:tc>
        <w:tc>
          <w:tcPr>
            <w:tcW w:w="1134" w:type="dxa"/>
            <w:vAlign w:val="center"/>
          </w:tcPr>
          <w:p w14:paraId="4B107440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没有预见（应当预见）</w:t>
            </w:r>
          </w:p>
        </w:tc>
        <w:tc>
          <w:tcPr>
            <w:tcW w:w="1043" w:type="dxa"/>
            <w:vAlign w:val="center"/>
          </w:tcPr>
          <w:p w14:paraId="51489CBB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无认识</w:t>
            </w:r>
          </w:p>
        </w:tc>
        <w:tc>
          <w:tcPr>
            <w:tcW w:w="1142" w:type="dxa"/>
            <w:vAlign w:val="center"/>
          </w:tcPr>
          <w:p w14:paraId="69B197D5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938" w:type="dxa"/>
            <w:vMerge w:val="continue"/>
            <w:vAlign w:val="center"/>
          </w:tcPr>
          <w:p w14:paraId="5D1AC7C7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</w:tr>
      <w:tr w14:paraId="7F351B43">
        <w:trPr>
          <w:trHeight w:val="198" w:hRule="atLeast"/>
          <w:tblCellSpacing w:w="0" w:type="dxa"/>
          <w:jc w:val="center"/>
        </w:trPr>
        <w:tc>
          <w:tcPr>
            <w:tcW w:w="421" w:type="dxa"/>
            <w:vMerge w:val="restart"/>
            <w:vAlign w:val="center"/>
          </w:tcPr>
          <w:p w14:paraId="2B08171D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无</w:t>
            </w:r>
          </w:p>
          <w:p w14:paraId="706B87C0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罪</w:t>
            </w:r>
          </w:p>
          <w:p w14:paraId="6843D73F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过</w:t>
            </w:r>
          </w:p>
        </w:tc>
        <w:tc>
          <w:tcPr>
            <w:tcW w:w="1842" w:type="dxa"/>
            <w:vAlign w:val="center"/>
          </w:tcPr>
          <w:p w14:paraId="0DA56787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不可抗力</w:t>
            </w:r>
          </w:p>
        </w:tc>
        <w:tc>
          <w:tcPr>
            <w:tcW w:w="1985" w:type="dxa"/>
            <w:vAlign w:val="center"/>
          </w:tcPr>
          <w:p w14:paraId="1D815F24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072BAB4B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1043" w:type="dxa"/>
            <w:vAlign w:val="center"/>
          </w:tcPr>
          <w:p w14:paraId="31570D1A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1142" w:type="dxa"/>
            <w:vAlign w:val="center"/>
          </w:tcPr>
          <w:p w14:paraId="739E6267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不能抗拒</w:t>
            </w:r>
          </w:p>
        </w:tc>
        <w:tc>
          <w:tcPr>
            <w:tcW w:w="938" w:type="dxa"/>
            <w:vMerge w:val="restart"/>
            <w:vAlign w:val="center"/>
          </w:tcPr>
          <w:p w14:paraId="1E31FFF5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反对</w:t>
            </w:r>
          </w:p>
        </w:tc>
      </w:tr>
      <w:tr w14:paraId="3F79B1E4">
        <w:trPr>
          <w:trHeight w:val="303" w:hRule="atLeast"/>
          <w:tblCellSpacing w:w="0" w:type="dxa"/>
          <w:jc w:val="center"/>
        </w:trPr>
        <w:tc>
          <w:tcPr>
            <w:tcW w:w="421" w:type="dxa"/>
            <w:vMerge w:val="continue"/>
            <w:vAlign w:val="center"/>
          </w:tcPr>
          <w:p w14:paraId="3363E190">
            <w:pPr>
              <w:snapToGrid w:val="0"/>
              <w:spacing w:before="31" w:beforeLines="10" w:after="62" w:afterLines="20" w:line="280" w:lineRule="exact"/>
              <w:ind w:left="42" w:leftChars="20" w:right="42" w:rightChars="20"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</w:p>
        </w:tc>
        <w:tc>
          <w:tcPr>
            <w:tcW w:w="1842" w:type="dxa"/>
            <w:vAlign w:val="center"/>
          </w:tcPr>
          <w:p w14:paraId="19D10D7C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意外事件</w:t>
            </w:r>
          </w:p>
        </w:tc>
        <w:tc>
          <w:tcPr>
            <w:tcW w:w="1985" w:type="dxa"/>
            <w:vAlign w:val="center"/>
          </w:tcPr>
          <w:p w14:paraId="03FEFC0F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68186CCA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不能预见</w:t>
            </w:r>
          </w:p>
        </w:tc>
        <w:tc>
          <w:tcPr>
            <w:tcW w:w="1043" w:type="dxa"/>
            <w:vAlign w:val="center"/>
          </w:tcPr>
          <w:p w14:paraId="0C127B12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1142" w:type="dxa"/>
            <w:vAlign w:val="center"/>
          </w:tcPr>
          <w:p w14:paraId="3C08146A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938" w:type="dxa"/>
            <w:vMerge w:val="continue"/>
            <w:vAlign w:val="center"/>
          </w:tcPr>
          <w:p w14:paraId="1D040D29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left="42" w:leftChars="20" w:right="42" w:rightChars="20"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</w:tr>
      <w:bookmarkEnd w:id="24"/>
    </w:tbl>
    <w:p w14:paraId="3AAA430F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3537C586">
      <w:pPr>
        <w:pStyle w:val="3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二、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直接故意、间接故意、疏忽过失、自信过失、无过错的认定和判断</w:t>
      </w:r>
    </w:p>
    <w:p w14:paraId="2CDBCE17">
      <w:pPr>
        <w:tabs>
          <w:tab w:val="left" w:pos="2912"/>
          <w:tab w:val="clear" w:pos="420"/>
        </w:tabs>
        <w:spacing w:before="31" w:beforeLines="10" w:after="62" w:afterLines="20" w:line="280" w:lineRule="exact"/>
        <w:ind w:left="0" w:leftChars="0" w:right="420" w:rightChars="200" w:firstLine="0" w:firstLineChars="0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1．疏忽过失与意外事件的区分：在行为人没有预见到结果时，关键要看“我们（社会公众）能否预见”。对危险物品、危险环境没有尽到妥善义务，具有疏忽过失。</w:t>
      </w:r>
    </w:p>
    <w:p w14:paraId="077E0786">
      <w:pPr>
        <w:tabs>
          <w:tab w:val="left" w:pos="2912"/>
          <w:tab w:val="clear" w:pos="420"/>
        </w:tabs>
        <w:spacing w:before="31" w:beforeLines="10" w:after="62" w:afterLines="20" w:line="280" w:lineRule="exact"/>
        <w:ind w:left="0" w:leftChars="0" w:right="420" w:rightChars="200" w:firstLine="0" w:firstLineChars="0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2．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间接故意与自信过失的区分：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先看认识程度，再看防果措施、经验。结果发生概率小，是过失；结果发生概率大，又未采取自认为有效防果措施（或者没有客观依据避免结果发生），为间接故意。</w:t>
      </w:r>
    </w:p>
    <w:p w14:paraId="08F357E1">
      <w:pPr>
        <w:tabs>
          <w:tab w:val="left" w:pos="2912"/>
          <w:tab w:val="clear" w:pos="420"/>
        </w:tabs>
        <w:spacing w:before="31" w:beforeLines="10" w:after="62" w:afterLines="20" w:line="280" w:lineRule="exact"/>
        <w:ind w:left="0" w:leftChars="0" w:right="420" w:rightChars="200" w:firstLine="0" w:firstLineChars="0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3．故意、过失是行为当时对结果的心态，而不是对行为的心态。</w:t>
      </w:r>
    </w:p>
    <w:p w14:paraId="428D1232">
      <w:pPr>
        <w:spacing w:before="10" w:after="20" w:line="280" w:lineRule="exact"/>
        <w:ind w:left="0" w:leftChars="0" w:right="420" w:rightChars="200" w:firstLine="0" w:firstLineChars="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4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．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择一的故意，通说认为对数对象均有故意，需客观主观统一认定罪名。</w:t>
      </w:r>
    </w:p>
    <w:p w14:paraId="46056CC3">
      <w:pPr>
        <w:pStyle w:val="3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bookmarkStart w:id="25" w:name="_Toc105339626"/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三、具体罪名故意的成立条件</w:t>
      </w:r>
      <w:bookmarkEnd w:id="25"/>
    </w:p>
    <w:p w14:paraId="53AC3118">
      <w:pPr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1．具体罪名故意的认识要素内容：明知该罪的不法要素（事实性认识）</w:t>
      </w:r>
    </w:p>
    <w:p w14:paraId="461C992C">
      <w:pPr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  <w:t>2．具体罪名故意的意志因素：追求或放任该罪的既遂结果</w:t>
      </w:r>
    </w:p>
    <w:p w14:paraId="2735D838">
      <w:pPr>
        <w:ind w:left="0" w:leftChars="0" w:firstLine="0" w:firstLineChars="0"/>
        <w:rPr>
          <w:rFonts w:hint="default" w:asciiTheme="minorEastAsia" w:hAnsiTheme="minorEastAsia" w:eastAsiaTheme="minorEastAsia" w:cstheme="minorEastAsia"/>
          <w:color w:val="auto"/>
          <w:kern w:val="0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1"/>
          <w:szCs w:val="21"/>
          <w:lang w:val="en-US" w:eastAsia="zh-CN"/>
        </w:rPr>
        <w:t>总结：</w:t>
      </w:r>
    </w:p>
    <w:p w14:paraId="0281B170">
      <w:pPr>
        <w:tabs>
          <w:tab w:val="left" w:pos="2912"/>
          <w:tab w:val="clear" w:pos="420"/>
        </w:tabs>
        <w:spacing w:before="31" w:beforeLines="10" w:after="62" w:afterLines="20" w:line="280" w:lineRule="exact"/>
        <w:ind w:left="0" w:leftChars="0" w:right="420" w:rightChars="200" w:firstLine="0" w:firstLineChars="0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1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．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故意是对客观不法要素（质的要素）的认识。认识到不法要素（尤其是结果、对象、身份要素），才成立故意。</w:t>
      </w:r>
    </w:p>
    <w:p w14:paraId="3A41B818">
      <w:pPr>
        <w:tabs>
          <w:tab w:val="left" w:pos="2912"/>
          <w:tab w:val="clear" w:pos="420"/>
        </w:tabs>
        <w:spacing w:before="31" w:beforeLines="10" w:after="62" w:afterLines="20" w:line="280" w:lineRule="exact"/>
        <w:ind w:left="0" w:leftChars="0" w:right="420" w:rightChars="200" w:firstLine="0" w:firstLineChars="0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2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．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不法的量的要素（数额、情节、次数）、滥用职权罪中的“重大损失”、丢失枪支不报罪中的“严重后果”，以及违法性认识，责任要素，不是故意成立的必要认识要素。</w:t>
      </w:r>
    </w:p>
    <w:p w14:paraId="43233C4F">
      <w:pPr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09DD22EA">
      <w:pPr>
        <w:ind w:left="0" w:leftChars="0" w:firstLine="0" w:firstLineChars="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4B47CC83">
      <w:pPr>
        <w:pStyle w:val="2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bookmarkStart w:id="26" w:name="_Toc230103156"/>
      <w:bookmarkStart w:id="27" w:name="_Toc105339627"/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>考点8  事实认识错误</w:t>
      </w:r>
      <w:bookmarkEnd w:id="26"/>
      <w:bookmarkEnd w:id="27"/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val="en-US" w:eastAsia="zh-CN"/>
        </w:rPr>
        <w:t>22:27—22:42</w:t>
      </w: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eastAsia="zh-CN"/>
        </w:rPr>
        <w:t>）</w:t>
      </w:r>
    </w:p>
    <w:p w14:paraId="6E5BB623">
      <w:pPr>
        <w:pStyle w:val="3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336A7E50">
      <w:pPr>
        <w:pStyle w:val="3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一、事实认识错误的第一种分类方法（不法要素）：对象错误、打击错误、因果关系错误、手段错误</w:t>
      </w:r>
    </w:p>
    <w:p w14:paraId="177C8201">
      <w:pPr>
        <w:spacing w:line="200" w:lineRule="exact"/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tbl>
      <w:tblPr>
        <w:tblStyle w:val="8"/>
        <w:tblW w:w="8505" w:type="dxa"/>
        <w:jc w:val="center"/>
        <w:tblBorders>
          <w:top w:val="single" w:color="FF0000" w:sz="4" w:space="0"/>
          <w:left w:val="single" w:color="FF0000" w:sz="4" w:space="0"/>
          <w:bottom w:val="single" w:color="FF0000" w:sz="4" w:space="0"/>
          <w:right w:val="single" w:color="FF0000" w:sz="4" w:space="0"/>
          <w:insideH w:val="single" w:color="FF0000" w:sz="4" w:space="0"/>
          <w:insideV w:val="single" w:color="FF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"/>
        <w:gridCol w:w="1275"/>
        <w:gridCol w:w="4678"/>
        <w:gridCol w:w="2131"/>
      </w:tblGrid>
      <w:tr w14:paraId="638D0772">
        <w:trPr>
          <w:trHeight w:val="315" w:hRule="atLeast"/>
          <w:jc w:val="center"/>
        </w:trPr>
        <w:tc>
          <w:tcPr>
            <w:tcW w:w="1696" w:type="dxa"/>
            <w:gridSpan w:val="2"/>
            <w:vAlign w:val="center"/>
          </w:tcPr>
          <w:p w14:paraId="1E942A05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left="105" w:leftChars="50" w:right="105" w:rightChars="5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分类</w:t>
            </w:r>
          </w:p>
        </w:tc>
        <w:tc>
          <w:tcPr>
            <w:tcW w:w="4678" w:type="dxa"/>
            <w:vAlign w:val="center"/>
          </w:tcPr>
          <w:p w14:paraId="351CCA7F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left="105" w:leftChars="50" w:right="105" w:rightChars="5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类型及范例</w:t>
            </w:r>
          </w:p>
        </w:tc>
        <w:tc>
          <w:tcPr>
            <w:tcW w:w="2131" w:type="dxa"/>
            <w:vAlign w:val="center"/>
          </w:tcPr>
          <w:p w14:paraId="2C914B52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left="105" w:leftChars="50" w:right="105" w:rightChars="5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处理方法</w:t>
            </w:r>
          </w:p>
          <w:p w14:paraId="5D0352D1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left="105" w:leftChars="50" w:right="105" w:rightChars="5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（法定符合说）</w:t>
            </w:r>
          </w:p>
        </w:tc>
      </w:tr>
      <w:tr w14:paraId="7CCB3C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9" w:hRule="atLeast"/>
          <w:jc w:val="center"/>
        </w:trPr>
        <w:tc>
          <w:tcPr>
            <w:tcW w:w="421" w:type="dxa"/>
            <w:vMerge w:val="restart"/>
            <w:noWrap/>
            <w:tcMar>
              <w:left w:w="0" w:type="dxa"/>
              <w:right w:w="0" w:type="dxa"/>
            </w:tcMar>
            <w:vAlign w:val="center"/>
          </w:tcPr>
          <w:p w14:paraId="32D51848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left="105" w:leftChars="50" w:right="105" w:rightChars="50" w:firstLine="0" w:firstLineChars="0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事实认识错误</w:t>
            </w:r>
          </w:p>
        </w:tc>
        <w:tc>
          <w:tcPr>
            <w:tcW w:w="1275" w:type="dxa"/>
            <w:vMerge w:val="restart"/>
            <w:noWrap/>
            <w:tcMar>
              <w:left w:w="0" w:type="dxa"/>
              <w:right w:w="0" w:type="dxa"/>
            </w:tcMar>
            <w:vAlign w:val="center"/>
          </w:tcPr>
          <w:p w14:paraId="34115ACC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left="105" w:leftChars="50" w:right="105" w:rightChars="5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对象错误</w:t>
            </w:r>
          </w:p>
        </w:tc>
        <w:tc>
          <w:tcPr>
            <w:tcW w:w="4678" w:type="dxa"/>
            <w:noWrap/>
            <w:tcMar>
              <w:left w:w="0" w:type="dxa"/>
              <w:right w:w="0" w:type="dxa"/>
            </w:tcMar>
            <w:vAlign w:val="center"/>
          </w:tcPr>
          <w:p w14:paraId="18D51961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left="105" w:leftChars="50" w:right="105" w:rightChars="50" w:firstLine="0" w:firstLineChars="0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同类错误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（具体错误）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：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欲杀张三，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误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将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李四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认作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张三杀害</w:t>
            </w:r>
          </w:p>
        </w:tc>
        <w:tc>
          <w:tcPr>
            <w:tcW w:w="2131" w:type="dxa"/>
            <w:noWrap/>
            <w:tcMar>
              <w:left w:w="0" w:type="dxa"/>
              <w:right w:w="0" w:type="dxa"/>
            </w:tcMar>
            <w:vAlign w:val="center"/>
          </w:tcPr>
          <w:p w14:paraId="423B6CD7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left="105" w:leftChars="50" w:right="105" w:rightChars="50" w:firstLine="0" w:firstLineChars="0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对李四：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故意犯罪</w:t>
            </w:r>
          </w:p>
        </w:tc>
      </w:tr>
      <w:tr w14:paraId="2CB9BB3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  <w:jc w:val="center"/>
        </w:trPr>
        <w:tc>
          <w:tcPr>
            <w:tcW w:w="421" w:type="dxa"/>
            <w:vMerge w:val="continue"/>
            <w:noWrap/>
            <w:tcMar>
              <w:left w:w="0" w:type="dxa"/>
              <w:right w:w="0" w:type="dxa"/>
            </w:tcMar>
            <w:vAlign w:val="center"/>
          </w:tcPr>
          <w:p w14:paraId="1BD68CFB">
            <w:pPr>
              <w:adjustRightInd w:val="0"/>
              <w:snapToGrid w:val="0"/>
              <w:spacing w:after="31" w:afterLines="10" w:line="280" w:lineRule="exact"/>
              <w:ind w:left="105" w:leftChars="50" w:right="105" w:rightChars="50"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1275" w:type="dxa"/>
            <w:vMerge w:val="continue"/>
            <w:noWrap/>
            <w:tcMar>
              <w:left w:w="0" w:type="dxa"/>
              <w:right w:w="0" w:type="dxa"/>
            </w:tcMar>
            <w:vAlign w:val="center"/>
          </w:tcPr>
          <w:p w14:paraId="10EB35A7">
            <w:pPr>
              <w:adjustRightInd w:val="0"/>
              <w:snapToGrid w:val="0"/>
              <w:spacing w:after="31" w:afterLines="10" w:line="280" w:lineRule="exact"/>
              <w:ind w:left="105" w:leftChars="50" w:right="105" w:rightChars="5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4678" w:type="dxa"/>
            <w:noWrap/>
            <w:tcMar>
              <w:left w:w="0" w:type="dxa"/>
              <w:right w:w="0" w:type="dxa"/>
            </w:tcMar>
            <w:vAlign w:val="center"/>
          </w:tcPr>
          <w:p w14:paraId="2A76118D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left="105" w:leftChars="50" w:right="105" w:rightChars="50" w:firstLine="0" w:firstLineChars="0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异类错误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（抽象错误）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：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欲杀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熊猫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，误将人认作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熊猫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而杀死</w:t>
            </w:r>
          </w:p>
        </w:tc>
        <w:tc>
          <w:tcPr>
            <w:tcW w:w="2131" w:type="dxa"/>
            <w:noWrap/>
            <w:tcMar>
              <w:left w:w="0" w:type="dxa"/>
              <w:right w:w="0" w:type="dxa"/>
            </w:tcMar>
            <w:vAlign w:val="center"/>
          </w:tcPr>
          <w:p w14:paraId="79A7085C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left="105" w:leftChars="50" w:right="105" w:rightChars="50" w:firstLine="0" w:firstLineChars="0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对人：过失；</w:t>
            </w:r>
          </w:p>
          <w:p w14:paraId="3B0815C5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left="105" w:leftChars="50" w:right="105" w:rightChars="50" w:firstLine="0" w:firstLineChars="0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对熊猫：故意；</w:t>
            </w:r>
          </w:p>
          <w:p w14:paraId="0E8C0573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left="105" w:leftChars="50" w:right="105" w:rightChars="50" w:firstLine="0" w:firstLineChars="0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想象竞合，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择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一重处</w:t>
            </w:r>
          </w:p>
        </w:tc>
      </w:tr>
      <w:tr w14:paraId="62643E6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1" w:hRule="atLeast"/>
          <w:jc w:val="center"/>
        </w:trPr>
        <w:tc>
          <w:tcPr>
            <w:tcW w:w="421" w:type="dxa"/>
            <w:vMerge w:val="continue"/>
            <w:noWrap/>
            <w:tcMar>
              <w:left w:w="0" w:type="dxa"/>
              <w:right w:w="0" w:type="dxa"/>
            </w:tcMar>
            <w:vAlign w:val="center"/>
          </w:tcPr>
          <w:p w14:paraId="6C50B7F3">
            <w:pPr>
              <w:adjustRightInd w:val="0"/>
              <w:snapToGrid w:val="0"/>
              <w:spacing w:after="31" w:afterLines="10" w:line="280" w:lineRule="exact"/>
              <w:ind w:left="105" w:leftChars="50" w:right="105" w:rightChars="50"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1275" w:type="dxa"/>
            <w:vMerge w:val="restart"/>
            <w:noWrap/>
            <w:tcMar>
              <w:left w:w="0" w:type="dxa"/>
              <w:right w:w="0" w:type="dxa"/>
            </w:tcMar>
            <w:vAlign w:val="center"/>
          </w:tcPr>
          <w:p w14:paraId="6FADC63B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left="105" w:leftChars="50" w:right="105" w:rightChars="5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打击错误</w:t>
            </w:r>
          </w:p>
          <w:p w14:paraId="789AC76E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left="105" w:leftChars="50" w:right="105" w:rightChars="5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（方法错误）</w:t>
            </w:r>
          </w:p>
        </w:tc>
        <w:tc>
          <w:tcPr>
            <w:tcW w:w="4678" w:type="dxa"/>
            <w:noWrap/>
            <w:tcMar>
              <w:left w:w="0" w:type="dxa"/>
              <w:right w:w="0" w:type="dxa"/>
            </w:tcMar>
            <w:vAlign w:val="center"/>
          </w:tcPr>
          <w:p w14:paraId="64E1CCDB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left="105" w:leftChars="50" w:right="105" w:rightChars="50" w:firstLine="0" w:firstLineChars="0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同类错误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（具体错误）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：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欲射杀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张三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，不料子弹走偏打死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李四</w:t>
            </w:r>
          </w:p>
        </w:tc>
        <w:tc>
          <w:tcPr>
            <w:tcW w:w="2131" w:type="dxa"/>
            <w:noWrap/>
            <w:tcMar>
              <w:left w:w="0" w:type="dxa"/>
              <w:right w:w="0" w:type="dxa"/>
            </w:tcMar>
            <w:vAlign w:val="center"/>
          </w:tcPr>
          <w:p w14:paraId="457CDE2D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left="105" w:leftChars="50" w:right="105" w:rightChars="50" w:firstLine="0" w:firstLineChars="0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对李四：故意犯罪</w:t>
            </w:r>
          </w:p>
        </w:tc>
      </w:tr>
      <w:tr w14:paraId="5FA7902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7" w:hRule="atLeast"/>
          <w:jc w:val="center"/>
        </w:trPr>
        <w:tc>
          <w:tcPr>
            <w:tcW w:w="421" w:type="dxa"/>
            <w:vMerge w:val="continue"/>
            <w:noWrap/>
            <w:tcMar>
              <w:left w:w="0" w:type="dxa"/>
              <w:right w:w="0" w:type="dxa"/>
            </w:tcMar>
            <w:vAlign w:val="center"/>
          </w:tcPr>
          <w:p w14:paraId="3ABB28B9">
            <w:pPr>
              <w:adjustRightInd w:val="0"/>
              <w:snapToGrid w:val="0"/>
              <w:spacing w:after="31" w:afterLines="10" w:line="280" w:lineRule="exact"/>
              <w:ind w:left="105" w:leftChars="50" w:right="105" w:rightChars="50"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1275" w:type="dxa"/>
            <w:vMerge w:val="continue"/>
            <w:noWrap/>
            <w:tcMar>
              <w:left w:w="0" w:type="dxa"/>
              <w:right w:w="0" w:type="dxa"/>
            </w:tcMar>
            <w:vAlign w:val="center"/>
          </w:tcPr>
          <w:p w14:paraId="39160E3C">
            <w:pPr>
              <w:adjustRightInd w:val="0"/>
              <w:snapToGrid w:val="0"/>
              <w:spacing w:after="31" w:afterLines="10" w:line="280" w:lineRule="exact"/>
              <w:ind w:left="105" w:leftChars="50" w:right="105" w:rightChars="5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4678" w:type="dxa"/>
            <w:noWrap/>
            <w:tcMar>
              <w:left w:w="0" w:type="dxa"/>
              <w:right w:w="0" w:type="dxa"/>
            </w:tcMar>
            <w:vAlign w:val="center"/>
          </w:tcPr>
          <w:p w14:paraId="1E2CE326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left="105" w:leftChars="50" w:right="105" w:rightChars="50" w:firstLine="0" w:firstLineChars="0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异类错误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（抽象错误）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：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欲开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枪杀宠物狗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，误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射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中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张三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致死</w:t>
            </w:r>
          </w:p>
        </w:tc>
        <w:tc>
          <w:tcPr>
            <w:tcW w:w="2131" w:type="dxa"/>
            <w:noWrap/>
            <w:tcMar>
              <w:left w:w="0" w:type="dxa"/>
              <w:right w:w="0" w:type="dxa"/>
            </w:tcMar>
            <w:vAlign w:val="center"/>
          </w:tcPr>
          <w:p w14:paraId="5C010340">
            <w:pPr>
              <w:adjustRightInd w:val="0"/>
              <w:snapToGrid w:val="0"/>
              <w:spacing w:after="31" w:afterLines="10" w:line="280" w:lineRule="exact"/>
              <w:ind w:left="105" w:leftChars="50" w:right="105" w:rightChars="50"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对张三：过失</w:t>
            </w:r>
          </w:p>
          <w:p w14:paraId="2DE6A77C">
            <w:pPr>
              <w:adjustRightInd w:val="0"/>
              <w:snapToGrid w:val="0"/>
              <w:spacing w:after="31" w:afterLines="10" w:line="280" w:lineRule="exact"/>
              <w:ind w:left="105" w:leftChars="50" w:right="105" w:rightChars="50"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对狗：故意</w:t>
            </w:r>
          </w:p>
          <w:p w14:paraId="3B12E9FE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left="105" w:leftChars="50" w:right="105" w:rightChars="50" w:firstLine="0" w:firstLineChars="0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想象竞合，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择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一重处</w:t>
            </w:r>
          </w:p>
        </w:tc>
      </w:tr>
      <w:tr w14:paraId="58AB143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4" w:hRule="atLeast"/>
          <w:jc w:val="center"/>
        </w:trPr>
        <w:tc>
          <w:tcPr>
            <w:tcW w:w="421" w:type="dxa"/>
            <w:vMerge w:val="continue"/>
            <w:noWrap/>
            <w:tcMar>
              <w:left w:w="0" w:type="dxa"/>
              <w:right w:w="0" w:type="dxa"/>
            </w:tcMar>
            <w:vAlign w:val="center"/>
          </w:tcPr>
          <w:p w14:paraId="3A525B66">
            <w:pPr>
              <w:adjustRightInd w:val="0"/>
              <w:snapToGrid w:val="0"/>
              <w:spacing w:after="31" w:afterLines="10" w:line="280" w:lineRule="exact"/>
              <w:ind w:left="105" w:leftChars="50" w:right="105" w:rightChars="50"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1275" w:type="dxa"/>
            <w:vMerge w:val="restart"/>
            <w:noWrap/>
            <w:tcMar>
              <w:left w:w="0" w:type="dxa"/>
              <w:right w:w="0" w:type="dxa"/>
            </w:tcMar>
            <w:vAlign w:val="center"/>
          </w:tcPr>
          <w:p w14:paraId="1B551202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left="105" w:leftChars="50" w:right="105" w:rightChars="5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因果关系错误</w:t>
            </w:r>
          </w:p>
        </w:tc>
        <w:tc>
          <w:tcPr>
            <w:tcW w:w="4678" w:type="dxa"/>
            <w:noWrap/>
            <w:tcMar>
              <w:left w:w="0" w:type="dxa"/>
              <w:right w:w="0" w:type="dxa"/>
            </w:tcMar>
            <w:vAlign w:val="center"/>
          </w:tcPr>
          <w:p w14:paraId="29A0978B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left="105" w:leftChars="50" w:right="105" w:rightChars="50" w:firstLine="0" w:firstLineChars="0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具体因果流程偏离：欲使仇人溺水而亡实际撞岩死</w:t>
            </w:r>
          </w:p>
        </w:tc>
        <w:tc>
          <w:tcPr>
            <w:tcW w:w="2131" w:type="dxa"/>
            <w:noWrap/>
            <w:tcMar>
              <w:left w:w="0" w:type="dxa"/>
              <w:right w:w="0" w:type="dxa"/>
            </w:tcMar>
            <w:vAlign w:val="center"/>
          </w:tcPr>
          <w:p w14:paraId="10E2678C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left="105" w:leftChars="50" w:right="105" w:rightChars="5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犯罪既遂</w:t>
            </w:r>
          </w:p>
        </w:tc>
      </w:tr>
      <w:tr w14:paraId="6DA7CB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0" w:hRule="atLeast"/>
          <w:jc w:val="center"/>
        </w:trPr>
        <w:tc>
          <w:tcPr>
            <w:tcW w:w="421" w:type="dxa"/>
            <w:vMerge w:val="continue"/>
            <w:noWrap/>
            <w:tcMar>
              <w:left w:w="0" w:type="dxa"/>
              <w:right w:w="0" w:type="dxa"/>
            </w:tcMar>
            <w:vAlign w:val="center"/>
          </w:tcPr>
          <w:p w14:paraId="363452B6">
            <w:pPr>
              <w:adjustRightInd w:val="0"/>
              <w:snapToGrid w:val="0"/>
              <w:spacing w:after="31" w:afterLines="10" w:line="280" w:lineRule="exact"/>
              <w:ind w:left="105" w:leftChars="50" w:right="105" w:rightChars="50"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1275" w:type="dxa"/>
            <w:vMerge w:val="continue"/>
            <w:noWrap/>
            <w:tcMar>
              <w:left w:w="0" w:type="dxa"/>
              <w:right w:w="0" w:type="dxa"/>
            </w:tcMar>
            <w:vAlign w:val="center"/>
          </w:tcPr>
          <w:p w14:paraId="1055CED6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left="105" w:leftChars="50" w:right="105" w:rightChars="5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4678" w:type="dxa"/>
            <w:noWrap/>
            <w:tcMar>
              <w:left w:w="0" w:type="dxa"/>
              <w:right w:w="0" w:type="dxa"/>
            </w:tcMar>
            <w:vAlign w:val="center"/>
          </w:tcPr>
          <w:p w14:paraId="46EC9C7E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left="105" w:leftChars="50" w:right="105" w:rightChars="50" w:firstLine="0" w:firstLineChars="0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结果提前实现：欲勒昏后再杀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死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，实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际上提前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勒死</w:t>
            </w:r>
          </w:p>
        </w:tc>
        <w:tc>
          <w:tcPr>
            <w:tcW w:w="2131" w:type="dxa"/>
            <w:noWrap/>
            <w:tcMar>
              <w:left w:w="0" w:type="dxa"/>
              <w:right w:w="0" w:type="dxa"/>
            </w:tcMar>
            <w:vAlign w:val="center"/>
          </w:tcPr>
          <w:p w14:paraId="7E3C62D0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left="105" w:leftChars="50" w:right="105" w:rightChars="5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犯罪既遂</w:t>
            </w:r>
          </w:p>
        </w:tc>
      </w:tr>
      <w:tr w14:paraId="4FDD6B6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4" w:hRule="atLeast"/>
          <w:jc w:val="center"/>
        </w:trPr>
        <w:tc>
          <w:tcPr>
            <w:tcW w:w="421" w:type="dxa"/>
            <w:vMerge w:val="continue"/>
            <w:noWrap/>
            <w:tcMar>
              <w:left w:w="0" w:type="dxa"/>
              <w:right w:w="0" w:type="dxa"/>
            </w:tcMar>
            <w:vAlign w:val="center"/>
          </w:tcPr>
          <w:p w14:paraId="5949574A">
            <w:pPr>
              <w:adjustRightInd w:val="0"/>
              <w:snapToGrid w:val="0"/>
              <w:spacing w:after="31" w:afterLines="10" w:line="280" w:lineRule="exact"/>
              <w:ind w:left="105" w:leftChars="50" w:right="105" w:rightChars="50"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1275" w:type="dxa"/>
            <w:vMerge w:val="continue"/>
            <w:noWrap/>
            <w:tcMar>
              <w:left w:w="0" w:type="dxa"/>
              <w:right w:w="0" w:type="dxa"/>
            </w:tcMar>
            <w:vAlign w:val="center"/>
          </w:tcPr>
          <w:p w14:paraId="6DA69C81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left="105" w:leftChars="50" w:right="105" w:rightChars="5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4678" w:type="dxa"/>
            <w:noWrap/>
            <w:tcMar>
              <w:left w:w="0" w:type="dxa"/>
              <w:right w:w="0" w:type="dxa"/>
            </w:tcMar>
            <w:vAlign w:val="center"/>
          </w:tcPr>
          <w:p w14:paraId="2BCEECE9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left="105" w:leftChars="50" w:right="105" w:rightChars="50" w:firstLine="0" w:firstLineChars="0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事前故意（韦伯故意、结果延后发生）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：误认已将仇人打死，即抛尸，实因抛尸溺死</w:t>
            </w:r>
          </w:p>
        </w:tc>
        <w:tc>
          <w:tcPr>
            <w:tcW w:w="2131" w:type="dxa"/>
            <w:noWrap/>
            <w:tcMar>
              <w:left w:w="0" w:type="dxa"/>
              <w:right w:w="0" w:type="dxa"/>
            </w:tcMar>
            <w:vAlign w:val="center"/>
          </w:tcPr>
          <w:p w14:paraId="3C637DC9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left="105" w:leftChars="50" w:right="105" w:rightChars="5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犯罪既遂</w:t>
            </w:r>
          </w:p>
        </w:tc>
      </w:tr>
      <w:tr w14:paraId="2B732EB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4" w:hRule="atLeast"/>
          <w:jc w:val="center"/>
        </w:trPr>
        <w:tc>
          <w:tcPr>
            <w:tcW w:w="421" w:type="dxa"/>
            <w:vMerge w:val="continue"/>
            <w:noWrap/>
            <w:tcMar>
              <w:left w:w="0" w:type="dxa"/>
              <w:right w:w="0" w:type="dxa"/>
            </w:tcMar>
            <w:vAlign w:val="center"/>
          </w:tcPr>
          <w:p w14:paraId="7C6D162A">
            <w:pPr>
              <w:adjustRightInd w:val="0"/>
              <w:snapToGrid w:val="0"/>
              <w:spacing w:after="31" w:afterLines="10" w:line="280" w:lineRule="exact"/>
              <w:ind w:left="105" w:leftChars="50" w:right="105" w:rightChars="50"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1275" w:type="dxa"/>
            <w:vMerge w:val="restart"/>
            <w:noWrap/>
            <w:tcMar>
              <w:left w:w="0" w:type="dxa"/>
              <w:right w:w="0" w:type="dxa"/>
            </w:tcMar>
            <w:vAlign w:val="center"/>
          </w:tcPr>
          <w:p w14:paraId="7FF856B8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left="105" w:leftChars="50" w:right="105" w:rightChars="5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手段错误</w:t>
            </w:r>
          </w:p>
        </w:tc>
        <w:tc>
          <w:tcPr>
            <w:tcW w:w="4678" w:type="dxa"/>
            <w:noWrap/>
            <w:tcMar>
              <w:left w:w="0" w:type="dxa"/>
              <w:right w:w="0" w:type="dxa"/>
            </w:tcMar>
            <w:vAlign w:val="center"/>
          </w:tcPr>
          <w:p w14:paraId="7523CEA5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left="105" w:leftChars="50" w:right="105" w:rightChars="50" w:firstLine="0" w:firstLineChars="0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具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有客观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危险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性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的行为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：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误将不足量砒霜当成足量砒霜给他人饮用</w:t>
            </w:r>
          </w:p>
        </w:tc>
        <w:tc>
          <w:tcPr>
            <w:tcW w:w="2131" w:type="dxa"/>
            <w:noWrap/>
            <w:tcMar>
              <w:left w:w="0" w:type="dxa"/>
              <w:right w:w="0" w:type="dxa"/>
            </w:tcMar>
            <w:vAlign w:val="center"/>
          </w:tcPr>
          <w:p w14:paraId="79BB8F3E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left="105" w:leftChars="50" w:right="105" w:rightChars="5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犯罪未遂</w:t>
            </w:r>
          </w:p>
        </w:tc>
      </w:tr>
      <w:tr w14:paraId="3A16181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4" w:hRule="atLeast"/>
          <w:jc w:val="center"/>
        </w:trPr>
        <w:tc>
          <w:tcPr>
            <w:tcW w:w="421" w:type="dxa"/>
            <w:vMerge w:val="continue"/>
            <w:noWrap/>
            <w:tcMar>
              <w:left w:w="0" w:type="dxa"/>
              <w:right w:w="0" w:type="dxa"/>
            </w:tcMar>
            <w:vAlign w:val="center"/>
          </w:tcPr>
          <w:p w14:paraId="7CD4F42E">
            <w:pPr>
              <w:adjustRightInd w:val="0"/>
              <w:snapToGrid w:val="0"/>
              <w:spacing w:after="31" w:afterLines="10" w:line="280" w:lineRule="exact"/>
              <w:ind w:left="105" w:leftChars="50" w:right="105" w:rightChars="50"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1275" w:type="dxa"/>
            <w:vMerge w:val="continue"/>
            <w:noWrap/>
            <w:tcMar>
              <w:left w:w="0" w:type="dxa"/>
              <w:right w:w="0" w:type="dxa"/>
            </w:tcMar>
            <w:vAlign w:val="center"/>
          </w:tcPr>
          <w:p w14:paraId="10A87BA7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left="105" w:leftChars="50" w:right="105" w:rightChars="5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4678" w:type="dxa"/>
            <w:noWrap/>
            <w:tcMar>
              <w:left w:w="0" w:type="dxa"/>
              <w:right w:w="0" w:type="dxa"/>
            </w:tcMar>
            <w:vAlign w:val="center"/>
          </w:tcPr>
          <w:p w14:paraId="2A9C81B9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left="105" w:leftChars="50" w:right="105" w:rightChars="50" w:firstLine="0" w:firstLineChars="0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不具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客观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危险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性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的行为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（包括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迷信犯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）：用“法水杀人”</w:t>
            </w:r>
          </w:p>
        </w:tc>
        <w:tc>
          <w:tcPr>
            <w:tcW w:w="2131" w:type="dxa"/>
            <w:noWrap/>
            <w:tcMar>
              <w:left w:w="0" w:type="dxa"/>
              <w:right w:w="0" w:type="dxa"/>
            </w:tcMar>
            <w:vAlign w:val="center"/>
          </w:tcPr>
          <w:p w14:paraId="512957B2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left="105" w:leftChars="50" w:right="105" w:rightChars="50" w:firstLine="0" w:firstLineChars="0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是不可罚的不能犯，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不以犯罪论处</w:t>
            </w:r>
          </w:p>
        </w:tc>
      </w:tr>
      <w:tr w14:paraId="7081770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8" w:hRule="atLeast"/>
          <w:jc w:val="center"/>
        </w:trPr>
        <w:tc>
          <w:tcPr>
            <w:tcW w:w="421" w:type="dxa"/>
            <w:vMerge w:val="continue"/>
            <w:noWrap/>
            <w:tcMar>
              <w:left w:w="0" w:type="dxa"/>
              <w:right w:w="0" w:type="dxa"/>
            </w:tcMar>
            <w:vAlign w:val="center"/>
          </w:tcPr>
          <w:p w14:paraId="7CA5F3D4">
            <w:pPr>
              <w:adjustRightInd w:val="0"/>
              <w:snapToGrid w:val="0"/>
              <w:spacing w:after="31" w:afterLines="10" w:line="280" w:lineRule="exact"/>
              <w:ind w:left="105" w:leftChars="50" w:right="105" w:rightChars="50" w:firstLine="0" w:firstLineChars="0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</w:p>
        </w:tc>
        <w:tc>
          <w:tcPr>
            <w:tcW w:w="1275" w:type="dxa"/>
            <w:noWrap/>
            <w:tcMar>
              <w:left w:w="0" w:type="dxa"/>
              <w:right w:w="0" w:type="dxa"/>
            </w:tcMar>
            <w:vAlign w:val="center"/>
          </w:tcPr>
          <w:p w14:paraId="39596F64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left="105" w:leftChars="50" w:right="105" w:rightChars="5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正当化事由认识错误</w:t>
            </w:r>
          </w:p>
        </w:tc>
        <w:tc>
          <w:tcPr>
            <w:tcW w:w="4678" w:type="dxa"/>
            <w:noWrap/>
            <w:tcMar>
              <w:left w:w="0" w:type="dxa"/>
              <w:right w:w="0" w:type="dxa"/>
            </w:tcMar>
            <w:vAlign w:val="center"/>
          </w:tcPr>
          <w:p w14:paraId="3713311C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left="105" w:leftChars="50" w:right="105" w:rightChars="5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假想防卫、假想避险</w:t>
            </w:r>
          </w:p>
        </w:tc>
        <w:tc>
          <w:tcPr>
            <w:tcW w:w="2131" w:type="dxa"/>
            <w:noWrap/>
            <w:tcMar>
              <w:left w:w="0" w:type="dxa"/>
              <w:right w:w="0" w:type="dxa"/>
            </w:tcMar>
            <w:vAlign w:val="center"/>
          </w:tcPr>
          <w:p w14:paraId="764FDA95">
            <w:pPr>
              <w:tabs>
                <w:tab w:val="left" w:pos="2912"/>
                <w:tab w:val="clear" w:pos="420"/>
              </w:tabs>
              <w:spacing w:after="31" w:afterLines="10" w:line="280" w:lineRule="exact"/>
              <w:ind w:left="105" w:leftChars="50" w:right="105" w:rightChars="50" w:firstLine="0" w:firstLineChars="0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不成立故意，成立过失或属意外事件</w:t>
            </w:r>
          </w:p>
        </w:tc>
      </w:tr>
    </w:tbl>
    <w:p w14:paraId="4E0544DD">
      <w:pPr>
        <w:pStyle w:val="4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 xml:space="preserve"> 区分对象错误与打击错误（方法错误）的方法（事实标准）：看行为人主观上有没有认错客观对象（判断时点：实行行为时）？</w:t>
      </w:r>
    </w:p>
    <w:p w14:paraId="3B2FA3A8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tbl>
      <w:tblPr>
        <w:tblStyle w:val="8"/>
        <w:tblW w:w="8505" w:type="dxa"/>
        <w:jc w:val="center"/>
        <w:tblBorders>
          <w:top w:val="single" w:color="FF0000" w:sz="4" w:space="0"/>
          <w:left w:val="single" w:color="FF0000" w:sz="4" w:space="0"/>
          <w:bottom w:val="single" w:color="FF0000" w:sz="4" w:space="0"/>
          <w:right w:val="single" w:color="FF0000" w:sz="4" w:space="0"/>
          <w:insideH w:val="single" w:color="FF0000" w:sz="4" w:space="0"/>
          <w:insideV w:val="single" w:color="FF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05"/>
      </w:tblGrid>
      <w:tr w14:paraId="53824633">
        <w:trPr>
          <w:jc w:val="center"/>
        </w:trPr>
        <w:tc>
          <w:tcPr>
            <w:tcW w:w="8505" w:type="dxa"/>
            <w:vAlign w:val="center"/>
          </w:tcPr>
          <w:p w14:paraId="2DA647E9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bookmarkStart w:id="28" w:name="_Hlk22807635"/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第一步，从行为人主观认识出发，先看行为人主观认为的对象是什么？</w:t>
            </w:r>
          </w:p>
          <w:p w14:paraId="5F21945A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第二步，再看客观，该对象实际是什么？</w:t>
            </w:r>
          </w:p>
          <w:p w14:paraId="26453150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第三步，判断主观认为的、客观实际对象是否相符（有无认错对象）。</w:t>
            </w:r>
          </w:p>
          <w:p w14:paraId="4781A420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认错对象的，是对象错误；没有认错对象、仅结果错误的，是打击错误。</w:t>
            </w:r>
          </w:p>
        </w:tc>
      </w:tr>
      <w:bookmarkEnd w:id="28"/>
    </w:tbl>
    <w:p w14:paraId="47CC05EB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51353902">
      <w:pPr>
        <w:pStyle w:val="3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二、事实认识错误的第二种分类方法（构成要件）：具体错误、抽象错误</w:t>
      </w:r>
    </w:p>
    <w:p w14:paraId="5121306B">
      <w:pPr>
        <w:pStyle w:val="4"/>
        <w:ind w:firstLine="420" w:firstLineChars="20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区分具体错误（=同一罪名之内的错误）与抽象错误（=不同罪名之间的错误）的标准和方法：看客观事实有无超出行为人主观罪名故意范围（判断时点：实行行为时）？</w:t>
      </w:r>
    </w:p>
    <w:p w14:paraId="5D471DE5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tbl>
      <w:tblPr>
        <w:tblStyle w:val="8"/>
        <w:tblW w:w="8505" w:type="dxa"/>
        <w:jc w:val="center"/>
        <w:tblBorders>
          <w:top w:val="single" w:color="FF0000" w:sz="4" w:space="0"/>
          <w:left w:val="single" w:color="FF0000" w:sz="4" w:space="0"/>
          <w:bottom w:val="single" w:color="FF0000" w:sz="4" w:space="0"/>
          <w:right w:val="single" w:color="FF0000" w:sz="4" w:space="0"/>
          <w:insideH w:val="single" w:color="FF0000" w:sz="4" w:space="0"/>
          <w:insideV w:val="single" w:color="FF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05"/>
      </w:tblGrid>
      <w:tr w14:paraId="30F86D5C">
        <w:trPr>
          <w:jc w:val="center"/>
        </w:trPr>
        <w:tc>
          <w:tcPr>
            <w:tcW w:w="8505" w:type="dxa"/>
            <w:vAlign w:val="center"/>
          </w:tcPr>
          <w:p w14:paraId="0C52BB27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第一步，从行为人主观认识出发，先看行为人主观上是何种罪名故意？</w:t>
            </w:r>
          </w:p>
          <w:p w14:paraId="5CE27C4A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第二步，再看客观，客观事实（对象、结果）实际是什么？</w:t>
            </w:r>
          </w:p>
          <w:p w14:paraId="77C71AC4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第三步，判断客观事实，是否在主观罪名故意范围之内？</w:t>
            </w:r>
          </w:p>
          <w:p w14:paraId="2C5AC305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在范围之内，是具体错误，对实际对象有故意；在范围之外，是抽象错误，一般系过失。</w:t>
            </w:r>
          </w:p>
        </w:tc>
      </w:tr>
    </w:tbl>
    <w:p w14:paraId="45883465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p w14:paraId="154ED598">
      <w:pPr>
        <w:pStyle w:val="3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三、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法定符合说与具体符合</w:t>
      </w: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说（仅打击错误+具体错误时：结果有区别）</w:t>
      </w:r>
    </w:p>
    <w:p w14:paraId="0C64E5F7">
      <w:pPr>
        <w:ind w:firstLine="420"/>
        <w:rPr>
          <w:rFonts w:hint="eastAsia" w:asciiTheme="minorEastAsia" w:hAnsiTheme="minorEastAsia" w:eastAsiaTheme="minorEastAsia" w:cstheme="minorEastAsia"/>
          <w:color w:val="auto"/>
          <w:kern w:val="0"/>
          <w:sz w:val="21"/>
          <w:szCs w:val="21"/>
        </w:rPr>
      </w:pPr>
    </w:p>
    <w:tbl>
      <w:tblPr>
        <w:tblStyle w:val="8"/>
        <w:tblW w:w="8505" w:type="dxa"/>
        <w:jc w:val="center"/>
        <w:tblBorders>
          <w:top w:val="single" w:color="FF0000" w:sz="4" w:space="0"/>
          <w:left w:val="single" w:color="FF0000" w:sz="4" w:space="0"/>
          <w:bottom w:val="single" w:color="FF0000" w:sz="4" w:space="0"/>
          <w:right w:val="single" w:color="FF0000" w:sz="4" w:space="0"/>
          <w:insideH w:val="single" w:color="FF0000" w:sz="4" w:space="0"/>
          <w:insideV w:val="single" w:color="FF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3"/>
        <w:gridCol w:w="1479"/>
        <w:gridCol w:w="1275"/>
        <w:gridCol w:w="3334"/>
        <w:gridCol w:w="1774"/>
      </w:tblGrid>
      <w:tr w14:paraId="5E638AA5">
        <w:trPr>
          <w:jc w:val="center"/>
        </w:trPr>
        <w:tc>
          <w:tcPr>
            <w:tcW w:w="643" w:type="dxa"/>
            <w:vAlign w:val="center"/>
          </w:tcPr>
          <w:p w14:paraId="15D6DB9F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firstLine="0" w:firstLineChars="0"/>
              <w:jc w:val="left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</w:p>
        </w:tc>
        <w:tc>
          <w:tcPr>
            <w:tcW w:w="2754" w:type="dxa"/>
            <w:gridSpan w:val="2"/>
            <w:vAlign w:val="center"/>
          </w:tcPr>
          <w:p w14:paraId="6EB420A6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法定符合说</w:t>
            </w:r>
          </w:p>
        </w:tc>
        <w:tc>
          <w:tcPr>
            <w:tcW w:w="5108" w:type="dxa"/>
            <w:gridSpan w:val="2"/>
            <w:vAlign w:val="center"/>
          </w:tcPr>
          <w:p w14:paraId="0F5581DC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具体符合说</w:t>
            </w:r>
          </w:p>
        </w:tc>
      </w:tr>
      <w:tr w14:paraId="53CABED7">
        <w:trPr>
          <w:jc w:val="center"/>
        </w:trPr>
        <w:tc>
          <w:tcPr>
            <w:tcW w:w="643" w:type="dxa"/>
            <w:vAlign w:val="center"/>
          </w:tcPr>
          <w:p w14:paraId="2BCABED9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含义</w:t>
            </w:r>
          </w:p>
        </w:tc>
        <w:tc>
          <w:tcPr>
            <w:tcW w:w="1479" w:type="dxa"/>
            <w:vAlign w:val="center"/>
          </w:tcPr>
          <w:p w14:paraId="1C085BAF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罪名故意</w:t>
            </w:r>
          </w:p>
        </w:tc>
        <w:tc>
          <w:tcPr>
            <w:tcW w:w="1275" w:type="dxa"/>
            <w:vAlign w:val="center"/>
          </w:tcPr>
          <w:p w14:paraId="07B1FBAE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实际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事实</w:t>
            </w:r>
          </w:p>
        </w:tc>
        <w:tc>
          <w:tcPr>
            <w:tcW w:w="3334" w:type="dxa"/>
            <w:vAlign w:val="center"/>
          </w:tcPr>
          <w:p w14:paraId="5210F10A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行为人具体预想（射程范围内）</w:t>
            </w:r>
          </w:p>
        </w:tc>
        <w:tc>
          <w:tcPr>
            <w:tcW w:w="1774" w:type="dxa"/>
            <w:vAlign w:val="center"/>
          </w:tcPr>
          <w:p w14:paraId="6EFBFAA0">
            <w:pPr>
              <w:tabs>
                <w:tab w:val="left" w:pos="2912"/>
                <w:tab w:val="clear" w:pos="420"/>
              </w:tabs>
              <w:spacing w:before="31" w:beforeLines="10" w:after="62" w:afterLines="20" w:line="280" w:lineRule="exact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实际</w:t>
            </w: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1"/>
                <w:szCs w:val="21"/>
              </w:rPr>
              <w:t>事实</w:t>
            </w:r>
          </w:p>
        </w:tc>
      </w:tr>
    </w:tbl>
    <w:p w14:paraId="3D987390">
      <w:pPr>
        <w:pStyle w:val="3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</w:p>
    <w:p w14:paraId="4F5E35ED">
      <w:pPr>
        <w:pStyle w:val="3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  <w:t>四、因果关系错误（客观+主观）</w:t>
      </w:r>
    </w:p>
    <w:p w14:paraId="0D6D2026">
      <w:pPr>
        <w:snapToGrid w:val="0"/>
        <w:spacing w:before="31" w:beforeLines="10" w:after="62" w:afterLines="20" w:line="280" w:lineRule="exact"/>
        <w:ind w:left="0" w:leftChars="0" w:right="420" w:rightChars="200" w:firstLine="0" w:firstLineChars="0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</w:p>
    <w:p w14:paraId="7E4744E0">
      <w:pPr>
        <w:snapToGrid w:val="0"/>
        <w:spacing w:before="31" w:beforeLines="10" w:after="62" w:afterLines="20" w:line="280" w:lineRule="exact"/>
        <w:ind w:left="0" w:leftChars="0" w:right="420" w:rightChars="200" w:firstLine="0" w:firstLineChars="0"/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  <w:lang w:val="en-US" w:eastAsia="zh-CN"/>
        </w:rPr>
        <w:t>总结：</w:t>
      </w:r>
    </w:p>
    <w:p w14:paraId="5693D37C">
      <w:pPr>
        <w:snapToGrid w:val="0"/>
        <w:spacing w:before="31" w:beforeLines="10" w:after="62" w:afterLines="20" w:line="280" w:lineRule="exact"/>
        <w:ind w:left="0" w:leftChars="0" w:right="420" w:rightChars="200" w:firstLine="0" w:firstLineChars="0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>认识错误类别：先主观后客观。具体错误有故意，抽象错误系过失。</w:t>
      </w:r>
    </w:p>
    <w:p w14:paraId="00251D28">
      <w:pPr>
        <w:snapToGrid w:val="0"/>
        <w:spacing w:before="31" w:beforeLines="10" w:after="62" w:afterLines="20" w:line="280" w:lineRule="exact"/>
        <w:ind w:left="0" w:leftChars="0" w:right="420" w:rightChars="200" w:firstLine="0" w:firstLineChars="0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1"/>
          <w:szCs w:val="21"/>
        </w:rPr>
        <w:t>罪名认定：分对象，先客观[实际对象+欲图对象]+后主观[故意、过失]。</w:t>
      </w:r>
    </w:p>
    <w:p w14:paraId="2ADC4A98">
      <w:pPr>
        <w:tabs>
          <w:tab w:val="left" w:pos="2912"/>
          <w:tab w:val="clear" w:pos="420"/>
        </w:tabs>
        <w:spacing w:before="31" w:beforeLines="10" w:after="62" w:afterLines="20" w:line="280" w:lineRule="exact"/>
        <w:ind w:left="0" w:leftChars="0" w:right="420" w:rightChars="200" w:firstLine="0" w:firstLineChars="0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1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．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对象错误与打击错误（方法错误）区分：</w:t>
      </w:r>
    </w:p>
    <w:p w14:paraId="60267280">
      <w:pPr>
        <w:tabs>
          <w:tab w:val="left" w:pos="2912"/>
          <w:tab w:val="clear" w:pos="420"/>
        </w:tabs>
        <w:spacing w:before="31" w:beforeLines="10" w:after="62" w:afterLines="20" w:line="280" w:lineRule="exact"/>
        <w:ind w:left="420" w:leftChars="200" w:right="420" w:rightChars="200" w:firstLine="0" w:firstLineChars="0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（1）先看行为人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主观认识对象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，再看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客观实际对象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。</w:t>
      </w:r>
    </w:p>
    <w:p w14:paraId="3E037317">
      <w:pPr>
        <w:tabs>
          <w:tab w:val="left" w:pos="2912"/>
          <w:tab w:val="clear" w:pos="420"/>
        </w:tabs>
        <w:spacing w:before="31" w:beforeLines="10" w:after="62" w:afterLines="20" w:line="280" w:lineRule="exact"/>
        <w:ind w:left="420" w:leftChars="200" w:right="420" w:rightChars="200" w:firstLine="0" w:firstLineChars="0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（2）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认错对象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是对象错误，没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认错对象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是打击错误。</w:t>
      </w:r>
    </w:p>
    <w:p w14:paraId="6796B8CC">
      <w:pPr>
        <w:tabs>
          <w:tab w:val="left" w:pos="2912"/>
          <w:tab w:val="clear" w:pos="420"/>
        </w:tabs>
        <w:spacing w:before="31" w:beforeLines="10" w:after="62" w:afterLines="20" w:line="280" w:lineRule="exact"/>
        <w:ind w:left="0" w:leftChars="0" w:right="420" w:rightChars="200" w:firstLine="0" w:firstLineChars="0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2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．具体认识错误（=同一罪名之内的错误）与抽象认识错误（=不同罪名之内的错误）的区分：</w:t>
      </w:r>
    </w:p>
    <w:p w14:paraId="629CB116">
      <w:pPr>
        <w:tabs>
          <w:tab w:val="left" w:pos="2912"/>
          <w:tab w:val="clear" w:pos="420"/>
        </w:tabs>
        <w:spacing w:before="31" w:beforeLines="10" w:after="62" w:afterLines="20" w:line="280" w:lineRule="exact"/>
        <w:ind w:left="420" w:leftChars="200" w:right="420" w:rightChars="200" w:firstLine="0" w:firstLineChars="0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（1）先看行为人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主观上罪名故意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，再看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客观实际事实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。</w:t>
      </w:r>
    </w:p>
    <w:p w14:paraId="30429154">
      <w:pPr>
        <w:tabs>
          <w:tab w:val="left" w:pos="2912"/>
          <w:tab w:val="clear" w:pos="420"/>
        </w:tabs>
        <w:spacing w:before="31" w:beforeLines="10" w:after="62" w:afterLines="20" w:line="280" w:lineRule="exact"/>
        <w:ind w:left="420" w:leftChars="200" w:right="420" w:rightChars="200" w:firstLine="0" w:firstLineChars="0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（2）客观事实在罪名故意内，是具体错误；不在罪名故意内，是抽象错误。</w:t>
      </w:r>
    </w:p>
    <w:p w14:paraId="04CE126B">
      <w:pPr>
        <w:tabs>
          <w:tab w:val="left" w:pos="2912"/>
          <w:tab w:val="clear" w:pos="420"/>
        </w:tabs>
        <w:spacing w:before="31" w:beforeLines="10" w:after="62" w:afterLines="20" w:line="280" w:lineRule="exact"/>
        <w:ind w:left="420" w:leftChars="200" w:right="420" w:rightChars="200" w:firstLine="0" w:firstLineChars="0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（3）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具体错误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，对实际结果有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故意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。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抽象错误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，对实际结果无故意，一般是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过失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。</w:t>
      </w:r>
    </w:p>
    <w:p w14:paraId="70A5509C">
      <w:pPr>
        <w:tabs>
          <w:tab w:val="left" w:pos="2912"/>
          <w:tab w:val="clear" w:pos="420"/>
        </w:tabs>
        <w:spacing w:before="31" w:beforeLines="10" w:after="62" w:afterLines="20" w:line="280" w:lineRule="exact"/>
        <w:ind w:left="0" w:leftChars="0" w:right="420" w:rightChars="200" w:firstLine="0" w:firstLineChars="0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3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．法定符合说与具体符合说</w:t>
      </w:r>
    </w:p>
    <w:p w14:paraId="1112644A">
      <w:pPr>
        <w:tabs>
          <w:tab w:val="left" w:pos="2912"/>
          <w:tab w:val="clear" w:pos="420"/>
        </w:tabs>
        <w:spacing w:before="31" w:beforeLines="10" w:after="62" w:afterLines="20" w:line="280" w:lineRule="exact"/>
        <w:ind w:left="420" w:leftChars="200" w:right="420" w:rightChars="200" w:firstLine="0" w:firstLineChars="0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（1）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仅当打击错误+具体错误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（甲开枪打乙误中丙）时：对于丙，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法定符合说故意；具体符合说过失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。</w:t>
      </w:r>
    </w:p>
    <w:p w14:paraId="099E28DA">
      <w:pPr>
        <w:tabs>
          <w:tab w:val="left" w:pos="2912"/>
          <w:tab w:val="clear" w:pos="420"/>
        </w:tabs>
        <w:spacing w:before="31" w:beforeLines="10" w:after="62" w:afterLines="20" w:line="280" w:lineRule="exact"/>
        <w:ind w:left="420" w:leftChars="200" w:right="420" w:rightChars="200" w:firstLine="0" w:firstLineChars="0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（2）其它情形，法定符合说、具体符合说，结论均相同。</w:t>
      </w:r>
    </w:p>
    <w:p w14:paraId="1391EEFE">
      <w:pPr>
        <w:tabs>
          <w:tab w:val="left" w:pos="2912"/>
          <w:tab w:val="clear" w:pos="420"/>
        </w:tabs>
        <w:spacing w:before="31" w:beforeLines="10" w:after="62" w:afterLines="20" w:line="280" w:lineRule="exact"/>
        <w:ind w:left="0" w:leftChars="0" w:right="420" w:rightChars="200" w:firstLine="0" w:firstLineChars="0"/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4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．因果关系错误分三类（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具体流程偏离、结果提前实现、事前故意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），通说观点均既遂，少数观点“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客观行为+行为时罪过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”搭配。</w:t>
      </w:r>
    </w:p>
    <w:p w14:paraId="69427F1D">
      <w:pPr>
        <w:spacing w:before="10" w:after="62" w:afterLines="20" w:line="280" w:lineRule="exact"/>
        <w:ind w:left="0" w:leftChars="0" w:right="420" w:rightChars="200" w:firstLine="0" w:firstLineChars="0"/>
        <w:rPr>
          <w:rFonts w:hint="eastAsia" w:asciiTheme="minorEastAsia" w:hAnsiTheme="minorEastAsia" w:eastAsiaTheme="minorEastAsia" w:cstheme="minorEastAsia"/>
          <w:color w:val="auto"/>
          <w:sz w:val="21"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5</w:t>
      </w:r>
      <w:r>
        <w:rPr>
          <w:rFonts w:hint="eastAsia" w:asciiTheme="minorEastAsia" w:hAnsiTheme="minorEastAsia" w:eastAsiaTheme="minorEastAsia" w:cstheme="minorEastAsia"/>
          <w:bCs/>
          <w:color w:val="auto"/>
          <w:sz w:val="21"/>
          <w:szCs w:val="21"/>
        </w:rPr>
        <w:t>．事实认识错误与违法性认误错误的区分：是认错事实要素，还是弄错法律定性。</w:t>
      </w:r>
      <w:bookmarkStart w:id="29" w:name="_GoBack"/>
      <w:bookmarkEnd w:id="29"/>
    </w:p>
    <w:sectPr>
      <w:footerReference r:id="rId5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6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iti SC Medium">
    <w:panose1 w:val="00000000000000000000"/>
    <w:charset w:val="86"/>
    <w:family w:val="auto"/>
    <w:pitch w:val="default"/>
    <w:sig w:usb0="8000002F" w:usb1="0800004A" w:usb2="00000000" w:usb3="00000000" w:csb0="203E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汉仪书宋二简">
    <w:altName w:val="华文宋体"/>
    <w:panose1 w:val="02010609000101010101"/>
    <w:charset w:val="86"/>
    <w:family w:val="modern"/>
    <w:pitch w:val="default"/>
    <w:sig w:usb0="00000000" w:usb1="00000000" w:usb2="00000012" w:usb3="00000000" w:csb0="00040000" w:csb1="00000000"/>
  </w:font>
  <w:font w:name="汉仪大宋简">
    <w:altName w:val="汉仪书宋二KW"/>
    <w:panose1 w:val="02010609000101010101"/>
    <w:charset w:val="86"/>
    <w:family w:val="modern"/>
    <w:pitch w:val="default"/>
    <w:sig w:usb0="00000000" w:usb1="00000000" w:usb2="00000012" w:usb3="00000000" w:csb0="00040000" w:csb1="00000000"/>
  </w:font>
  <w:font w:name="Calibri Light">
    <w:altName w:val="Helvetica Neue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">
    <w:altName w:val="汉仪楷体KW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汉仪中黑简">
    <w:altName w:val="汉仪中黑KW"/>
    <w:panose1 w:val="02010609000101010101"/>
    <w:charset w:val="86"/>
    <w:family w:val="modern"/>
    <w:pitch w:val="default"/>
    <w:sig w:usb0="00000000" w:usb1="00000000" w:usb2="00000012" w:usb3="00000000" w:csb0="00040000" w:csb1="00000000"/>
  </w:font>
  <w:font w:name="汉仪书宋一简">
    <w:altName w:val="华文宋体"/>
    <w:panose1 w:val="02010609000101010101"/>
    <w:charset w:val="86"/>
    <w:family w:val="modern"/>
    <w:pitch w:val="default"/>
    <w:sig w:usb0="00000000" w:usb1="00000000" w:usb2="00000012" w:usb3="00000000" w:csb0="00040000" w:csb1="00000000"/>
  </w:font>
  <w:font w:name="仿宋">
    <w:altName w:val="仿宋-简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汉仪粗黑简">
    <w:altName w:val="汉仪中黑KW"/>
    <w:panose1 w:val="02010609000101010101"/>
    <w:charset w:val="86"/>
    <w:family w:val="modern"/>
    <w:pitch w:val="default"/>
    <w:sig w:usb0="00000000" w:usb1="00000000" w:usb2="00000012" w:usb3="00000000" w:csb0="00040000" w:csb1="00000000"/>
  </w:font>
  <w:font w:name="等线">
    <w:altName w:val="汉仪中等线KW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华文宋体">
    <w:panose1 w:val="02010600040101010101"/>
    <w:charset w:val="86"/>
    <w:family w:val="auto"/>
    <w:pitch w:val="default"/>
    <w:sig w:usb0="80000287" w:usb1="280F3C52" w:usb2="00000016" w:usb3="00000000" w:csb0="0004001F" w:csb1="00000000"/>
  </w:font>
  <w:font w:name="汉仪楷体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汉仪中等线KW">
    <w:panose1 w:val="01010104010101010101"/>
    <w:charset w:val="86"/>
    <w:family w:val="auto"/>
    <w:pitch w:val="default"/>
    <w:sig w:usb0="800002BF" w:usb1="004F7CFA" w:usb2="00000000" w:usb3="00000000" w:csb0="00040001" w:csb1="00000000"/>
  </w:font>
  <w:font w:name="仿宋-简">
    <w:panose1 w:val="02010609060101010101"/>
    <w:charset w:val="86"/>
    <w:family w:val="auto"/>
    <w:pitch w:val="default"/>
    <w:sig w:usb0="A00002BF" w:usb1="3ACF7CFA" w:usb2="00000016" w:usb3="00000000" w:csb0="00040001" w:csb1="00000000"/>
  </w:font>
  <w:font w:name="Arial">
    <w:panose1 w:val="020B0704020202020204"/>
    <w:charset w:val="00"/>
    <w:family w:val="auto"/>
    <w:pitch w:val="default"/>
    <w:sig w:usb0="E0002AFF" w:usb1="C0007843" w:usb2="00000009" w:usb3="00000000" w:csb0="400001FF" w:csb1="FFFF0000"/>
  </w:font>
  <w:font w:name="宋体-简">
    <w:panose1 w:val="02010800040101010101"/>
    <w:charset w:val="86"/>
    <w:family w:val="auto"/>
    <w:pitch w:val="default"/>
    <w:sig w:usb0="00000001" w:usb1="080F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81A2C6B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DC38B59">
                          <w:pPr>
                            <w:pStyle w:val="5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DC38B59">
                    <w:pPr>
                      <w:pStyle w:val="5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420"/>
      </w:pPr>
      <w:r>
        <w:separator/>
      </w:r>
    </w:p>
  </w:footnote>
  <w:footnote w:type="continuationSeparator" w:id="1">
    <w:p>
      <w:pPr>
        <w:spacing w:line="240" w:lineRule="auto"/>
        <w:ind w:firstLine="42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BE74CD9"/>
    <w:multiLevelType w:val="singleLevel"/>
    <w:tmpl w:val="FBE74CD9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339A2E"/>
    <w:rsid w:val="12FFBA16"/>
    <w:rsid w:val="30AEEE17"/>
    <w:rsid w:val="37EF668F"/>
    <w:rsid w:val="37FA56FD"/>
    <w:rsid w:val="37FEA1E6"/>
    <w:rsid w:val="3AEF3B9E"/>
    <w:rsid w:val="3FDF9BA8"/>
    <w:rsid w:val="4A7E207A"/>
    <w:rsid w:val="4CEFFACF"/>
    <w:rsid w:val="51AE925D"/>
    <w:rsid w:val="58BE6AC7"/>
    <w:rsid w:val="5D7B4AA2"/>
    <w:rsid w:val="5EF70EF5"/>
    <w:rsid w:val="5FB36540"/>
    <w:rsid w:val="69DFBAAF"/>
    <w:rsid w:val="6FAFBAFD"/>
    <w:rsid w:val="71BC2F4C"/>
    <w:rsid w:val="737F7507"/>
    <w:rsid w:val="77339A2E"/>
    <w:rsid w:val="77FF10A3"/>
    <w:rsid w:val="78676340"/>
    <w:rsid w:val="79DFC7DB"/>
    <w:rsid w:val="79FDC846"/>
    <w:rsid w:val="7ACF8FBA"/>
    <w:rsid w:val="7BDDCD9D"/>
    <w:rsid w:val="7BE6591C"/>
    <w:rsid w:val="7CFFF1A7"/>
    <w:rsid w:val="7DFFDF68"/>
    <w:rsid w:val="7E5FD035"/>
    <w:rsid w:val="7E6D5B7D"/>
    <w:rsid w:val="7F1FB716"/>
    <w:rsid w:val="7F3D2D23"/>
    <w:rsid w:val="7FD5D879"/>
    <w:rsid w:val="7FFBA978"/>
    <w:rsid w:val="9DF5B7E3"/>
    <w:rsid w:val="9FF9E39A"/>
    <w:rsid w:val="AFAB0B4F"/>
    <w:rsid w:val="AFBDC518"/>
    <w:rsid w:val="B38E714A"/>
    <w:rsid w:val="B3EF03C9"/>
    <w:rsid w:val="BAB1A148"/>
    <w:rsid w:val="BB3E690C"/>
    <w:rsid w:val="BBDE3C67"/>
    <w:rsid w:val="BBFB7F16"/>
    <w:rsid w:val="BDB30C6C"/>
    <w:rsid w:val="BE6FC973"/>
    <w:rsid w:val="BE7F81C5"/>
    <w:rsid w:val="BF4F2B0A"/>
    <w:rsid w:val="BF7F914A"/>
    <w:rsid w:val="BFBF0603"/>
    <w:rsid w:val="C8D7AFCD"/>
    <w:rsid w:val="D7661A12"/>
    <w:rsid w:val="DDD0D7B4"/>
    <w:rsid w:val="DF9511F7"/>
    <w:rsid w:val="DF9D4978"/>
    <w:rsid w:val="DFD51C33"/>
    <w:rsid w:val="E52D087A"/>
    <w:rsid w:val="EBFFADB7"/>
    <w:rsid w:val="ED6F910D"/>
    <w:rsid w:val="EDE7E797"/>
    <w:rsid w:val="EEDF265E"/>
    <w:rsid w:val="EFBF8938"/>
    <w:rsid w:val="F7D61E6E"/>
    <w:rsid w:val="F9FFB754"/>
    <w:rsid w:val="FAE73FB5"/>
    <w:rsid w:val="FBFDA894"/>
    <w:rsid w:val="FBFFD74C"/>
    <w:rsid w:val="FDFEC64C"/>
    <w:rsid w:val="FE77461C"/>
    <w:rsid w:val="FEDFE38F"/>
    <w:rsid w:val="FF966F94"/>
    <w:rsid w:val="FFBF99A7"/>
    <w:rsid w:val="FFFFE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9" w:semiHidden="0" w:name="heading 3"/>
    <w:lsdException w:qFormat="1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tabs>
        <w:tab w:val="left" w:pos="420"/>
      </w:tabs>
      <w:spacing w:line="384" w:lineRule="exact"/>
      <w:ind w:firstLine="721" w:firstLineChars="200"/>
      <w:jc w:val="both"/>
    </w:pPr>
    <w:rPr>
      <w:rFonts w:ascii="宋体" w:hAnsi="宋体" w:eastAsia="汉仪书宋二简" w:cs="宋体"/>
      <w:color w:val="000000" w:themeColor="text1"/>
      <w:kern w:val="2"/>
      <w:sz w:val="21"/>
      <w:szCs w:val="21"/>
      <w:lang w:val="en-US" w:eastAsia="zh-CN" w:bidi="ar-SA"/>
      <w14:textFill>
        <w14:solidFill>
          <w14:schemeClr w14:val="tx1"/>
        </w14:solidFill>
      </w14:textFill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10"/>
      <w:ind w:firstLine="0" w:firstLineChars="0"/>
      <w:jc w:val="center"/>
      <w:outlineLvl w:val="0"/>
    </w:pPr>
    <w:rPr>
      <w:rFonts w:ascii="汉仪大宋简" w:hAnsi="汉仪大宋简" w:eastAsia="汉仪大宋简"/>
      <w:bCs/>
      <w:kern w:val="44"/>
      <w:sz w:val="44"/>
      <w:szCs w:val="44"/>
    </w:rPr>
  </w:style>
  <w:style w:type="paragraph" w:styleId="3">
    <w:name w:val="heading 3"/>
    <w:basedOn w:val="1"/>
    <w:next w:val="1"/>
    <w:unhideWhenUsed/>
    <w:qFormat/>
    <w:uiPriority w:val="9"/>
    <w:pPr>
      <w:keepNext/>
      <w:keepLines/>
      <w:ind w:firstLine="0" w:firstLineChars="0"/>
      <w:jc w:val="left"/>
      <w:outlineLvl w:val="2"/>
    </w:pPr>
    <w:rPr>
      <w:rFonts w:eastAsia="汉仪大宋简"/>
      <w:sz w:val="26"/>
    </w:rPr>
  </w:style>
  <w:style w:type="paragraph" w:styleId="4">
    <w:name w:val="heading 4"/>
    <w:basedOn w:val="1"/>
    <w:next w:val="1"/>
    <w:unhideWhenUsed/>
    <w:qFormat/>
    <w:uiPriority w:val="9"/>
    <w:pPr>
      <w:keepNext/>
      <w:keepLines/>
      <w:ind w:firstLine="0" w:firstLineChars="0"/>
      <w:jc w:val="left"/>
      <w:outlineLvl w:val="3"/>
    </w:pPr>
    <w:rPr>
      <w:rFonts w:eastAsia="汉仪大宋简" w:asciiTheme="majorHAnsi" w:hAnsiTheme="majorHAnsi" w:cstheme="majorBidi"/>
      <w:bCs/>
      <w:sz w:val="24"/>
      <w:szCs w:val="28"/>
    </w:rPr>
  </w:style>
  <w:style w:type="character" w:default="1" w:styleId="9">
    <w:name w:val="Default Paragraph Font"/>
    <w:semiHidden/>
    <w:uiPriority w:val="0"/>
  </w:style>
  <w:style w:type="table" w:default="1" w:styleId="8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uiPriority w:val="0"/>
    <w:pPr>
      <w:tabs>
        <w:tab w:val="center" w:pos="4153"/>
        <w:tab w:val="right" w:pos="8306"/>
        <w:tab w:val="clear" w:pos="420"/>
      </w:tabs>
      <w:snapToGrid w:val="0"/>
      <w:jc w:val="left"/>
    </w:pPr>
    <w:rPr>
      <w:sz w:val="18"/>
    </w:rPr>
  </w:style>
  <w:style w:type="paragraph" w:styleId="6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  <w:tab w:val="clear" w:pos="420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color w:val="auto"/>
      <w:kern w:val="0"/>
      <w:sz w:val="24"/>
      <w:szCs w:val="24"/>
    </w:rPr>
  </w:style>
  <w:style w:type="paragraph" w:customStyle="1" w:styleId="10">
    <w:name w:val="一级标题"/>
    <w:basedOn w:val="1"/>
    <w:uiPriority w:val="0"/>
    <w:pPr>
      <w:jc w:val="center"/>
    </w:pPr>
    <w:rPr>
      <w:rFonts w:ascii="Times New Roman" w:hAnsi="Times New Roman" w:eastAsia="Heiti SC Medium"/>
      <w:sz w:val="36"/>
    </w:rPr>
  </w:style>
  <w:style w:type="table" w:customStyle="1" w:styleId="11">
    <w:name w:val="网格型1"/>
    <w:basedOn w:val="8"/>
    <w:qFormat/>
    <w:uiPriority w:val="59"/>
    <w:rPr>
      <w:rFonts w:asciiTheme="minorHAnsi" w:hAnsiTheme="minorHAns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Office_12.1.25869.25869_F1E327BC-269C-435d-A152-05C5408002CA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2026-06-22T22:49:00Z</dcterms:created>
  <dc:creator>ANXIOUS  YZH</dc:creator>
  <cp:lastModifiedBy>ANXIOUS  YZH</cp:lastModifiedBy>
  <dcterms:modified xsi:type="dcterms:W3CDTF">2026-06-24T22:45:21Z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2052-12.1.25869.25869</vt:lpwstr>
  </property>
  <property fmtid="{D5CDD505-2E9C-101B-9397-08002B2CF9AE}" pid="3" name="ICV">
    <vt:lpwstr>E57A0822481A71485F4B396A97582F55_41</vt:lpwstr>
  </property>
</Properties>
</file>