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民法客观精华突破第二讲课堂笔记（考点8-15）</w:t>
      </w: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【考点8：物权的保护与占有保护】</w:t>
      </w:r>
    </w:p>
    <w:p w14:paraId="06B5CF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物权请求权</w:t>
      </w:r>
    </w:p>
    <w:p w14:paraId="437F4A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（一）返还原物请求权</w:t>
      </w:r>
    </w:p>
    <w:p w14:paraId="0DB693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1.构成要件</w:t>
      </w:r>
    </w:p>
    <w:p w14:paraId="230B88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（1）请求方是包含占有权能的物权人</w:t>
      </w:r>
      <w:r>
        <w:rPr>
          <w:rFonts w:hint="eastAsia" w:ascii="Times New Roman Regular" w:hAnsi="Times New Roman Regular" w:cs="Times New Roman Regular"/>
          <w:sz w:val="18"/>
          <w:szCs w:val="18"/>
          <w:u w:val="none"/>
          <w:lang w:val="en-US" w:eastAsia="zh-CN"/>
        </w:rPr>
        <w:t>。</w:t>
      </w:r>
    </w:p>
    <w:p w14:paraId="0A32E2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方是现在的无权占有人。对此需要注意两点：第一，相对方必须是现在的占有人；第二，相对方必须是无权占有人。如果相对方是有权占有人，则物权人不得主张返还原物请求权。相对方可能基于物权而有权占有，也可能基于债权而有权占有。</w:t>
      </w:r>
    </w:p>
    <w:p w14:paraId="2C381A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2.返还原物请求权的法律效果是：</w:t>
      </w:r>
    </w:p>
    <w:p w14:paraId="0DDAEB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（1）无权占有人须向物权人返还占有。对此需要注意，返还的客体是占有而非所有权；</w:t>
      </w:r>
    </w:p>
    <w:p w14:paraId="15453D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（2）返还占有的费用原则上由无权占有人承担；</w:t>
      </w:r>
    </w:p>
    <w:p w14:paraId="6AF1AE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（3）在返还占有的同时可能会同时附带产生一些债法问题，包括使用收益与孳息的返还、必要费用的求偿以及客体物毁损灭失的损害赔偿。</w:t>
      </w:r>
    </w:p>
    <w:p w14:paraId="5D7B56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【提示】不动产、需要登记的特殊动产的返还原物请求权不适用诉讼时效，普通动产的返还原物请求权适用诉讼时效。</w:t>
      </w:r>
    </w:p>
    <w:p w14:paraId="30E8C1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（二）排除妨害请求权</w:t>
      </w:r>
    </w:p>
    <w:p w14:paraId="70CACA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（三）消除危险请求权</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【提示】排除妨害请求权和消除危险请求权不适用诉讼时效。</w:t>
      </w:r>
    </w:p>
    <w:p w14:paraId="20D5D2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、占有的种类：有权占有和无权占有、直接占有和间接占有、善意占有和恶意占有（属于无权占有的进一步分类）</w:t>
      </w:r>
    </w:p>
    <w:p w14:paraId="21ABCC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、占有的保护</w:t>
      </w:r>
    </w:p>
    <w:p w14:paraId="767C10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最为重要的是占有物返还请求权（“返还原物”）</w:t>
      </w:r>
      <w:r>
        <w:rPr>
          <w:rFonts w:hint="eastAsia" w:ascii="Times New Roman Regular" w:hAnsi="Times New Roman Regular" w:cs="Times New Roman Regular"/>
          <w:sz w:val="18"/>
          <w:szCs w:val="18"/>
          <w:u w:val="none"/>
          <w:lang w:val="en-US" w:eastAsia="zh-CN"/>
        </w:rPr>
        <w:t>：</w:t>
      </w:r>
    </w:p>
    <w:p w14:paraId="0DAD0D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请求权的主体为占有人。此项请求权，只有占有人能够行使，而只要是占有人，无论其占有为直接占有还是间接占有，为自主占有还是他主占有，为有权占有还是无权占有，为善意占有还是恶意占有，原则上均有权主张此项请求权。</w:t>
      </w:r>
    </w:p>
    <w:p w14:paraId="158A5D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此项请求权所针对的是侵夺占有的行为，即违反占有人之意志以积极的不法行为剥夺占有人对占有物之管领力的行为，如窃取行为、抢夺行为等。占有人如因遗失而丧失对占有物的占有，则不得行使此项请求权，因为他人拾得遗失物的行为并非侵夺行为。此时，遗失物所有权人可依据所有权的效力要求拾得人返还原物。</w:t>
      </w:r>
    </w:p>
    <w:p w14:paraId="4EAA21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该请求权应向标的物的现在占有人提出。该请求权以回复对物的占有为其行使的目的，故应向物的现在占有人提出。若侵夺人已将占有移转于第三人，而该第三人知道前占有的瑕疵的，请求权人可向该第三人主张返还。如侵占人死亡，其继承人取得占有的，权利人也可向该继承人要求返还占有。</w:t>
      </w:r>
    </w:p>
    <w:p w14:paraId="521027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4．该请求权应自侵占发生之日起1年内行使，否则请求权即告消灭。</w:t>
      </w:r>
    </w:p>
    <w:p w14:paraId="2E7D66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三、占有人和返还请求权人之间的关系</w:t>
      </w:r>
    </w:p>
    <w:p w14:paraId="3884B3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占有物的孳息：根据《民法典》第460条的规定，不动产或者动产被占有人占有的，权利人可以请求返还原物及其孳息。该条关于孳息返还义务的规定，并未区分善意占有与恶意占有，因此，如对该条规范作字面的解释，则即便为善意占有人也必须返还孳息。</w:t>
      </w:r>
    </w:p>
    <w:p w14:paraId="637293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2.对占有物所支出费用的偿还：返还请求权人应当支付善意占有人因维护不动产或者动产支出的必要费用。</w:t>
      </w:r>
    </w:p>
    <w:p w14:paraId="491193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占有物毁损灭失的赔偿责任：善意占有人仅须向权利人返还因毁损、灭失取得的保险金、赔偿金或者补偿金等，损害未因此得到完全弥补的，善意占有人不负赔偿责任；如果占有为恶意，则占有人不能获得优待，须依侵权法的一般规则，对权利人因物的毁损、灭失所遭受的损害负完全赔偿责任。</w:t>
      </w:r>
    </w:p>
    <w:p w14:paraId="069C28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85B6C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【考点9:共有】</w:t>
      </w:r>
    </w:p>
    <w:p w14:paraId="33F345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一、共有的类型：按份共有和共同共有</w:t>
      </w:r>
    </w:p>
    <w:p w14:paraId="7873B4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共有类型界定实行“以按份共有为原则，以共同共有为例外”的规则。“除共有人具有家庭关系等外”，原则上都成立按份共有。</w:t>
      </w:r>
    </w:p>
    <w:p w14:paraId="287899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二、按份共有</w:t>
      </w:r>
    </w:p>
    <w:p w14:paraId="3F3D43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（一）份额的确定</w:t>
      </w:r>
    </w:p>
    <w:p w14:paraId="07AFA5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各共有人在按份共有中所享有的份额比例，依该共有关系发生的原因而定。</w:t>
      </w:r>
    </w:p>
    <w:p w14:paraId="14B373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（1）基于民事法律行为形成按份共有时，先看约定，如无约定或约定不明，按出资额确定份额比例，如果出资额无法确定，各共有人等额享有（《民法典》第309条）。</w:t>
      </w:r>
    </w:p>
    <w:p w14:paraId="18B96D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（2）基于法律规定而直接发生的按份共有（如添附），则依法定的标准确定各共有人的应有份额。</w:t>
      </w:r>
    </w:p>
    <w:p w14:paraId="70122E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（二）份额转让时的优先购买权</w:t>
      </w:r>
    </w:p>
    <w:p w14:paraId="3A243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1．优先购买权的权利性质</w:t>
      </w:r>
    </w:p>
    <w:p w14:paraId="619BBB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按目前通说，优先购买权属于形成权（简单形成权），其他按份共有人向份额出让人发出行使的通知即可。</w:t>
      </w:r>
    </w:p>
    <w:p w14:paraId="15E03E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2．优先购买权产生的前提</w:t>
      </w:r>
    </w:p>
    <w:p w14:paraId="69595C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优先购买权的产生有三个基本前提：对外、有偿、同等条件。</w:t>
      </w:r>
    </w:p>
    <w:p w14:paraId="35B2E5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3．行使优先购买权的法律效果</w:t>
      </w:r>
    </w:p>
    <w:p w14:paraId="0E1920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优先购买权行使的法律效果主要有以下两点：（1）在出让人与按份共有人之间按同等条件订立份额转让合同；（2）按份共有人优先取得所有权份额，优先购买权具有物权层面的绝对性。</w:t>
      </w:r>
    </w:p>
    <w:p w14:paraId="49604E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4．多个按份共有人行使优先购买权时的处理</w:t>
      </w:r>
    </w:p>
    <w:p w14:paraId="5846D1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个物上的按份共有人可能有多个，其中某个共有人对外转让共有份额时，其他按份共有人都享有优先购买权，此时可能存在多个按份共有人都行使优先购买权的情形，此时如何处理？《民法典》第306条第2款规定：“两个以上其他共有人主张行使优先购买权的，协商确定各自的购买比例；协商不成的，按照转让时各自的共有份额比例行使优先购买权。”</w:t>
      </w:r>
    </w:p>
    <w:p w14:paraId="3ECB06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（三）共有物的处分</w:t>
      </w:r>
    </w:p>
    <w:p w14:paraId="6E3818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我国《民法典》确立的是“多数决”的原则，即共有物的处分和修缮无须征得所有共有人的同意，而仅需占份额三分之二以上的共有人同意即可。如共有物的转让未获占份额三分之二以上共有人的同意，则共有物的处分行为应属效力待定，须经至少占份额三分之二以上共有人的同意才能发生效力。但是，如果受让人善意不知物为共有物，则其可依善意取得的规定取得标的物的所有权。</w:t>
      </w:r>
    </w:p>
    <w:p w14:paraId="58F1AC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三、共同共有</w:t>
      </w:r>
    </w:p>
    <w:p w14:paraId="60789E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（一）共同共有的类型</w:t>
      </w:r>
    </w:p>
    <w:p w14:paraId="4A1752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由于共有系以按份共有为原则以共同共有为例外，因此，应穷尽共同共有的类型。共同共有的类型包括：（1）夫妻财产的共同共有；（2）家庭财产的共同共有；（3）遗产的共同共有；（4）合伙财产的共同共有。</w:t>
      </w:r>
    </w:p>
    <w:p w14:paraId="12D691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（二）共同共有物的处分</w:t>
      </w:r>
    </w:p>
    <w:p w14:paraId="68C600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共同共有人处分共有物或对共有物作重大修缮的，须经全体共有人一致同意。</w:t>
      </w:r>
    </w:p>
    <w:p w14:paraId="7F19C3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四、共有物的分割</w:t>
      </w:r>
    </w:p>
    <w:p w14:paraId="590CBE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（一）按份共有</w:t>
      </w:r>
    </w:p>
    <w:p w14:paraId="51F189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按份共有人之间作出了不得分割的约定，应尊重之，原则上不得分割，只有存在重大理由时共有人才可以请求分割。如果共有人之间没有关于不得分割的约定，则共有人随时可以请求分割，以结束按份共有关系。</w:t>
      </w:r>
    </w:p>
    <w:p w14:paraId="73208B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（二）共同共有</w:t>
      </w:r>
    </w:p>
    <w:p w14:paraId="280C35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共同共有以共同关系为基础。原则上，在共同关系存续期间，共有人不得要求分割共有物。在共有基础丧失或有重大理由时，可以请求分割。以夫妻财产共有为例，基础丧失主要指离婚，重大理由主要是指：（1）一方有隐藏、转移、变卖、毁损、挥霍夫妻共同财产或者伪造夫妻共同债务等严重损害夫妻共同财产利益行为的；（2）一方负有法定扶养义务的人患重大疾病需要医治，另一方不同意支付相关医疗费用的（《民法典》第1066条）。</w:t>
      </w:r>
    </w:p>
    <w:p w14:paraId="6F582E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五、因共有物产生的债权债务关系</w:t>
      </w:r>
    </w:p>
    <w:p w14:paraId="61985A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（一）对外关系</w:t>
      </w:r>
    </w:p>
    <w:p w14:paraId="6D8528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在对外关系上，不区分按份共有与共同共有，共有人对因共有物而产生的债权债务关系享有连带债权、承担连带债务。</w:t>
      </w:r>
    </w:p>
    <w:p w14:paraId="50052A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（二）对内关系</w:t>
      </w:r>
    </w:p>
    <w:p w14:paraId="0EA2A1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在对内关系上，按份共有人原则上依其份额享有债权或承担债务。共同共有人则共同享有债权或承担债务。</w:t>
      </w:r>
    </w:p>
    <w:p w14:paraId="3CDC98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26A7F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【考点10:善意取得、拾得遗失物】</w:t>
      </w:r>
    </w:p>
    <w:p w14:paraId="3CA3E5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一、善意取得</w:t>
      </w:r>
    </w:p>
    <w:p w14:paraId="6B0C61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（一）善意取得的构成要件</w:t>
      </w:r>
    </w:p>
    <w:p w14:paraId="541A5D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1．出让人须是无处分权人</w:t>
      </w:r>
    </w:p>
    <w:p w14:paraId="64D0A6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2．须出让人与受让人有转移所有权的合意</w:t>
      </w:r>
    </w:p>
    <w:p w14:paraId="00ACF5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3．受让人须为善意</w:t>
      </w:r>
    </w:p>
    <w:p w14:paraId="1A71C3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4．所有权移转需要登记的，已完成登记；无须登记的，已完成交付</w:t>
      </w:r>
    </w:p>
    <w:p w14:paraId="4AAA37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5．受让人须以合理的价格有偿受让（一般是不能低于市场价格的70%）</w:t>
      </w:r>
    </w:p>
    <w:p w14:paraId="24B171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（二）善意取得的扩张</w:t>
      </w:r>
    </w:p>
    <w:p w14:paraId="00F402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《民法典》第311条第3款规定：“当事人善意取得其他物权的，参照前两款规定。”善意取得所有权以外的物权，其最典型（也是法考最可能涉及）的情形是质权的善意取得。</w:t>
      </w:r>
    </w:p>
    <w:p w14:paraId="4CBA63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（三）遗失物善意取得的特殊规则</w:t>
      </w:r>
    </w:p>
    <w:p w14:paraId="2BA33F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1．遗失物、盗赃物等占有脱离物适用善意取得制度时需要受到限制</w:t>
      </w:r>
    </w:p>
    <w:p w14:paraId="7E4D79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2．遗失人可以自知道或者应当知道受让人之日起2年内向受让人请求返还原物，这2年期间内不发生善意取得</w:t>
      </w:r>
    </w:p>
    <w:p w14:paraId="189DF0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【注意】如果题干中未明确的时间信息，直接认定2年期间未经过</w:t>
      </w:r>
    </w:p>
    <w:p w14:paraId="5A9BD5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3．如果受让人系通过拍卖或者向具有经营资格的经营者购得该遗失物，所有权人等权利人在向其请求返还原物时应当支付其在受让标的物时所付的费用</w:t>
      </w:r>
    </w:p>
    <w:p w14:paraId="29DB88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（四）善意取得的法律效果</w:t>
      </w:r>
    </w:p>
    <w:p w14:paraId="6531E4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1．受让人取得所有权，原权利人的所有权消灭</w:t>
      </w:r>
    </w:p>
    <w:p w14:paraId="0B4B32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2．物上原有权利负担原则上消灭，但善意受让人在受让时知道或者应当知道的除外</w:t>
      </w:r>
    </w:p>
    <w:p w14:paraId="052D4C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3．原权利人可向无权处分者主张债法层面的救济（违约、侵权等）</w:t>
      </w:r>
    </w:p>
    <w:p w14:paraId="1B9B5C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二、拾得遗失物</w:t>
      </w:r>
    </w:p>
    <w:p w14:paraId="40DDCF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（一）拾得人的权利</w:t>
      </w:r>
    </w:p>
    <w:p w14:paraId="060753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1．必要费用偿还请求权</w:t>
      </w:r>
    </w:p>
    <w:p w14:paraId="097B84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【注意】必要费用以实际支出为前提，性质上不属于报酬请求权</w:t>
      </w:r>
    </w:p>
    <w:p w14:paraId="5C3B93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2．基于悬赏广告的报酬请求权</w:t>
      </w:r>
    </w:p>
    <w:p w14:paraId="7884DA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【注意1】拾得人不享有一般性的报酬请求权</w:t>
      </w:r>
    </w:p>
    <w:p w14:paraId="30ACD0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【注意2】如果拾得人侵占遗失物，不享有上述两项权利</w:t>
      </w:r>
    </w:p>
    <w:p w14:paraId="630B05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（二）遗失物的归属</w:t>
      </w:r>
    </w:p>
    <w:p w14:paraId="4C52C9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1．原则上物归原主，原权利人有权请求返还</w:t>
      </w:r>
    </w:p>
    <w:p w14:paraId="7F0AA6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2．遗失物自发布招领公告之日起1年内无人认领的，归国家所有</w:t>
      </w:r>
    </w:p>
    <w:p w14:paraId="1F706A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9F3B9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【考点11:用益物权】</w:t>
      </w:r>
    </w:p>
    <w:p w14:paraId="788BEA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一、土地承包经营权</w:t>
      </w:r>
    </w:p>
    <w:p w14:paraId="073C3E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1.设立时点：土地承包经营权合同生效时</w:t>
      </w:r>
    </w:p>
    <w:p w14:paraId="4BA511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2.转让与互换：转让、互换合同生效时土地承包经营权移转，未登记不得对抗善意第三人</w:t>
      </w:r>
    </w:p>
    <w:p w14:paraId="59629C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3.两类设立时点：（1）流转期限5年以下的，类似于租赁权，合同生效时土地经营权设立；（2）流转期限5年以上的，类似于用益物权，合同生效时土地经营权设立，未经登记不得对抗善意第三人</w:t>
      </w:r>
    </w:p>
    <w:p w14:paraId="2C6480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二、地役权</w:t>
      </w:r>
    </w:p>
    <w:p w14:paraId="0ECA04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（一）地役权的从属性</w:t>
      </w:r>
    </w:p>
    <w:p w14:paraId="646914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地役权的从属性，指的是地役权从属于需役地的所有权或其他权利（土地经营权、建设用地使用权等）而存在，并与该主权利同其命运。在功能上，地役权因为需役地利用之便利而存在，因此地役权不能脱离权利人对需役地之权利而独立创设和存续。在创设地役权后，该权利也不得与其所附属的主权利分离而让与，或成为其他权利的标的物。从备考的角度，掌握以下两个具体规则即可：（1）土地承包经营权、建设用地使用权等主权利转让的，地役权原则上一并转让（《民法典》第380条）；（2）土地承包经营权、建设用地使用权等主权利抵押时，在实现抵押权时，地役权一并转让（《民法典》第381条）。</w:t>
      </w:r>
    </w:p>
    <w:p w14:paraId="1423B4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（二）地役权的设立</w:t>
      </w:r>
    </w:p>
    <w:p w14:paraId="4206A0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地役权自地役权合同生效时设立，未登记不得对抗善意第三人（主要是指不得对抗供役地的买受人）。</w:t>
      </w:r>
    </w:p>
    <w:p w14:paraId="7EEE26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居住权</w:t>
      </w:r>
    </w:p>
    <w:p w14:paraId="669835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（一）居住权的特征</w:t>
      </w:r>
    </w:p>
    <w:p w14:paraId="6AA9CB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1.独立的用益物权</w:t>
      </w:r>
    </w:p>
    <w:p w14:paraId="533B5F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2.意定用益物权，一般通过合同或遗嘱设立</w:t>
      </w:r>
    </w:p>
    <w:p w14:paraId="08DF3C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3.人役权属性，专属于居住权人（不得转让、继承）</w:t>
      </w:r>
    </w:p>
    <w:p w14:paraId="3886F6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4.客体是他人的住宅</w:t>
      </w:r>
    </w:p>
    <w:p w14:paraId="46D8FA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（二）权利内容：满足生活居住需要的占有与使用，原则上不包括收益</w:t>
      </w:r>
    </w:p>
    <w:p w14:paraId="45999E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（三）设立</w:t>
      </w:r>
    </w:p>
    <w:p w14:paraId="52E066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1.签订居住权合同的，自登记时设立</w:t>
      </w:r>
    </w:p>
    <w:p w14:paraId="402010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2.基于遗嘱设立，现行法并未规定设立时点，考试时可按继承开始时作答</w:t>
      </w:r>
    </w:p>
    <w:p w14:paraId="6C90DF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（四）流转</w:t>
      </w:r>
    </w:p>
    <w:p w14:paraId="385F9C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1.居住权不得转让、抵押、继承</w:t>
      </w:r>
    </w:p>
    <w:p w14:paraId="6616ED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2.居住权人不得出租该住宅，但当事人另有约定的除外</w:t>
      </w:r>
    </w:p>
    <w:p w14:paraId="5D1872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（五）消灭</w:t>
      </w:r>
    </w:p>
    <w:p w14:paraId="55EFC2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1.期限届满</w:t>
      </w:r>
    </w:p>
    <w:p w14:paraId="45E2A0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2.居住权人死亡</w:t>
      </w:r>
    </w:p>
    <w:p w14:paraId="01B955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76E4D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【考点12：抵押权】</w:t>
      </w:r>
    </w:p>
    <w:p w14:paraId="4F9C42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一、担保物权的特征</w:t>
      </w:r>
    </w:p>
    <w:p w14:paraId="54F66B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（一）从属性</w:t>
      </w:r>
    </w:p>
    <w:p w14:paraId="7FFBC2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（1）担保物权之外的其他担保权，如保证债权，也具有从属性，从属于主债权；</w:t>
      </w:r>
    </w:p>
    <w:p w14:paraId="01618D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（2）担保合同是主债权债务合同的从合同，如果主合同无效，则从合同也随之无效（《民法典》第388条）；</w:t>
      </w:r>
    </w:p>
    <w:p w14:paraId="3BD8B8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（3）基于担保物权的从属性，除金融机构出具独立保函外，其他担保合同，如当事人约定主合同无效而担保合同有效的，则该约定无效（《民法典担保制度解释》第2条）；</w:t>
      </w:r>
    </w:p>
    <w:p w14:paraId="1EE9D6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担保人的担保责任范围不得超过债务人所应承担的责任范围。如果因担保人与债权人就担保本身约定违约责任等，导致担保人承担担保责任的范围超过债务人的债务的，则担保人仅须在债务人债务范围内承担担保责任（《民法典担保制度解释》第3条）。</w:t>
      </w:r>
    </w:p>
    <w:p w14:paraId="60313C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（二）不可分性</w:t>
      </w:r>
    </w:p>
    <w:p w14:paraId="06F7B2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其所担保的债权未受全部清偿前，担保物权人可以就担保物的全部行使权利，这就是担保物权的不可分性。也就是说，担保的债权即便发生部分让与、部分清偿或消灭，担保物权仍为担保所有各部分债权或余存的债权而存在。担保物权存续期间，即便担保物被分割或部分灭失，分割后的各部分或余存的部分仍为担保全部债权而存在。</w:t>
      </w:r>
    </w:p>
    <w:p w14:paraId="42154A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（三）物上代位性</w:t>
      </w:r>
    </w:p>
    <w:p w14:paraId="6E5A14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1.对于担保财产毁损、灭失或者被征收之后所取得的保险金、赔偿金或者补偿金等替代物，担保物权人仍享有优先受偿的法律地位，且顺位与原来相同（《民法典担保制度解释》第42条第1款）；</w:t>
      </w:r>
    </w:p>
    <w:p w14:paraId="50E226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金、赔偿金或者补偿金等替代物产生以后，如果给付义务人接到抵押权人要求向其给付的通知，则给付义务人不得向担保人支付，而只能向担保物权人支付或提存。如果在通知之前给付义务人就向担保人支付了，该支付有效。</w:t>
      </w:r>
    </w:p>
    <w:p w14:paraId="514049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、抵押财产</w:t>
      </w:r>
    </w:p>
    <w:p w14:paraId="3D59ED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（一）抵押财产的范围</w:t>
      </w:r>
    </w:p>
    <w:p w14:paraId="51415B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关于可抵押财产的范围，《民法典》第395条作出了规定，包括：建筑物和其他土地附着物；建设用地使用权；海域使用权；生产设备、原材料、半成品、产品；正在建造的建筑物、船舶、航空器；交通运输工具；法律、行政法规未禁止抵押的其他财产。由该条规定可知，我国物权法规定的抵押权标的范围十分广泛，它不仅包括不动产（但是土地所有权由于不具有流通性而不得作为抵押标的），而且也包括一般动产以及建设用地使用权、海域使用权等不动产上的用益物权。总体来看，抵押财产可一分为二：不动产或不动产权利；动产。</w:t>
      </w:r>
    </w:p>
    <w:p w14:paraId="10CA27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399条还明确规定了不得抵押的财产，其中重要的包括：土地所有权；宅基地等集体土地的使用权；学校、幼儿园、医院等以公益为目的的事业单位、社会团体的教育设施、医疗卫生设施和其他社会公益设施；依法被查封、扣押、监管的财产等。不过，以第399条所列财产抵押的，抵押权也可能得以设立，对此，请参考《民法典担保制度解释》第37条之规定。</w:t>
      </w:r>
    </w:p>
    <w:p w14:paraId="4A7D2F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（二）房地一体</w:t>
      </w:r>
    </w:p>
    <w:p w14:paraId="3A64EF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土地与其地上建筑物之间具有密切的关系。依我国法律，土地所有权与地上建筑物的所有权可以发生分离，而归属于不同的法律主体。但是，地上建筑物的所有权以对该土地的建设用地使用权为基础，原则上二者不可分割。因此，根据《民法典》的规定，以建筑物抵押的，该建筑物占用范围内的建设用地使用权一并抵押（“地随房走”）；以建设用地使用权抵押的，该土地上的建筑物一并抵押（“房随地走”）。但是，建设用地使用权抵押后，该土地上新增的建筑物不属于抵押财产。就该建设用地使用权实现抵押权时，应当将该土地上新增的建筑物与建设用地使用权一并处分，但新增建筑物所得的价款，抵押权人无权优先受偿。</w:t>
      </w:r>
    </w:p>
    <w:p w14:paraId="78C9D8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、抵押权的设立</w:t>
      </w:r>
    </w:p>
    <w:p w14:paraId="15FAC6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不动产抵押权登记时设立。</w:t>
      </w:r>
      <w:r>
        <w:rPr>
          <w:rFonts w:hint="default" w:ascii="Times New Roman Regular" w:hAnsi="Times New Roman Regular" w:cs="Times New Roman Regular"/>
          <w:sz w:val="18"/>
          <w:szCs w:val="18"/>
          <w:u w:val="none"/>
          <w:lang w:val="en-US" w:eastAsia="zh-CN"/>
        </w:rPr>
        <w:t>关于动产抵押权的登记对抗主义，应当注意以下问题：</w:t>
      </w:r>
    </w:p>
    <w:p w14:paraId="70A32C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由于抵押权的设立不转移标的物的占有，同时此类抵押权又无需以登记为其要件，因此，抵押合同一经有效订立，即可发生抵押权设定的效果。</w:t>
      </w:r>
    </w:p>
    <w:p w14:paraId="0F382C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未办理抵押登记的，尽管不影响抵押权在当事人之间的存在，但是，抵押权人不得以此权利对抗善意第三人。依据《民法典担保制度解释》第54条，这里的“善意第三人”包括以下四类：①已经占有的善意买受人；②已经取得占有的善意承租人；③抵押人的保全或执行债权人；④抵押人的破产债权人。</w:t>
      </w:r>
    </w:p>
    <w:p w14:paraId="33F962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、正常经营活动买受人规则</w:t>
      </w:r>
    </w:p>
    <w:p w14:paraId="45D097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404条是《民法典》针对动产抵押设置的新规则。根据该条的规定，动产抵押即使经过登记，仍不得对抗该条中规定的抵押财产的买受人。该条中抵押权人不能对抗之人必须同时满足以下几项条件：（1）必须是抵押财产的买受人；（2）该买受人必须是在正常经营活动中购买抵押财产，例如，汽车经销商将机动车抵押给银行后，又进行售卖，而买车人在4S店内购买了车辆。该项规定的立法理由在于，对于在正常经营活动中的买受人而言，法律不要求其考察标的物是否已被抵押；（3）买受人已支付合理价款；（4）买受人已经取得抵押财产的占有和所有权。所谓“不得对抗”，意味着：即使动产上已经设定了抵押权，并经过登记，对于满足本条规定条件的买受人而言，该抵押权视为不存在，后者仍可取得无权利负担的动产所有权，抵押权人不得向抵押财产的买受人主张抵押权。</w:t>
      </w:r>
    </w:p>
    <w:p w14:paraId="184AE0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六、抵押权的顺位</w:t>
      </w:r>
    </w:p>
    <w:p w14:paraId="4F83EA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（一）一般规则：注意，不考虑当事人的主观善意恶意</w:t>
      </w:r>
    </w:p>
    <w:p w14:paraId="14D469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（二）价款抵押权的超级优先性（purchase money security interest，主要是针对动产浮动抵押）</w:t>
      </w:r>
    </w:p>
    <w:p w14:paraId="09EBF8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动产作为抵押财产时，抵押人可与债权人自由约定抵押权所担保的债权。在一般情况下，此种抵押权的设立及效力适用《民法典》第403、404条的规定。而在第416条，动产抵押所担保的主债权恰恰是抵押物的价款。</w:t>
      </w:r>
    </w:p>
    <w:p w14:paraId="42DC08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2．前述抵押权要想具有超级优先的效力，尚需确保在交付后十日内完成抵押登记。未在交付后十日内完成登记的，不具有本条规定的特别优先效力。</w:t>
      </w:r>
    </w:p>
    <w:p w14:paraId="0184F7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3．前述动产抵押权在交付后十日内登记的，优先于除留置权以外的针对买受人所有该动产之上的其他担保物权。</w:t>
      </w:r>
    </w:p>
    <w:p w14:paraId="48817D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E797C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【考点13:动产质权与权利质权】</w:t>
      </w:r>
    </w:p>
    <w:p w14:paraId="03EA5F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一、质权的设立</w:t>
      </w:r>
    </w:p>
    <w:p w14:paraId="59650B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（一）质押财产的交付</w:t>
      </w:r>
    </w:p>
    <w:p w14:paraId="5EDB7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动产质权自质押财产交付时设立，但不包括占有改定。</w:t>
      </w:r>
    </w:p>
    <w:p w14:paraId="6EF72F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（二）质权可以善意取得</w:t>
      </w:r>
    </w:p>
    <w:p w14:paraId="6D55CB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二、质权人的孳息收取权</w:t>
      </w:r>
    </w:p>
    <w:p w14:paraId="292A1D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430条规定，除质权合同另有约定外，质权人有权收取质物所产生的孳息。不过，此孳息并不由质权人无偿取得，而是应先充抵收取孳息的费用（《民法典》第430条第2款），然后再充抵原债权的利息，最后充抵原债权。由此可见，孳息的实际利益还是归属于其所有权人（即出质人）。</w:t>
      </w:r>
    </w:p>
    <w:p w14:paraId="2AAC81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三、质权人的义务：应当及时行使质权，否则出质人有权请求行使，没有及时行使给出质人造成损害的还应当赔偿。</w:t>
      </w:r>
    </w:p>
    <w:p w14:paraId="7011A5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四、权利质权</w:t>
      </w:r>
    </w:p>
    <w:p w14:paraId="70EFAB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（一）可质押的权利范围</w:t>
      </w:r>
    </w:p>
    <w:p w14:paraId="16C512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汇票、支票、本票；2.债券、存款单；3.仓单、提单；4.可以转让的基金份额、股权；5.可以转让的注册商标专用权、专利权、著作权等知识产权中的财产权；6.现有的以及将来的应收账款；7.法律、行政法规规定可以出质的其他财产权利。</w:t>
      </w:r>
    </w:p>
    <w:p w14:paraId="3F04EF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（二）权利质权的设立：有权利凭证的交付时设立，没有权利凭证的登记时设立。</w:t>
      </w:r>
    </w:p>
    <w:p w14:paraId="5F3FC0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156F9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【考点14:留置权】</w:t>
      </w:r>
    </w:p>
    <w:p w14:paraId="4032EE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一、留置权的构成要件</w:t>
      </w:r>
    </w:p>
    <w:p w14:paraId="4AE1E8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（一）须债权人合法占有属于债务人移交的动产</w:t>
      </w:r>
    </w:p>
    <w:p w14:paraId="10F8DF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应将“债务人的动产”解释为“债务人移交的动产等”，质言之，在不属于债务人所有的动产之上，也可以成立留置权。</w:t>
      </w:r>
    </w:p>
    <w:p w14:paraId="0811F5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（二）留置的动产与债权属于同一法律关系</w:t>
      </w:r>
    </w:p>
    <w:p w14:paraId="36103E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民法典》第448条的规定，债权人留置的动产，应当与债权属于“同一法律关系”。对于留置物与债权须属于同一法律关系的一般规则，《民法典》第448条设有一个例外规定，即企业之间留置的无须要求留置物与债权属于同一法律关系。此乃商事留置权的特别规定，但该债权必须是持续经营中发生的债权。另外要注意，商事留置权留置的标的物必须是债务人自己的。</w:t>
      </w:r>
    </w:p>
    <w:p w14:paraId="4E4A82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三、留置权的消灭</w:t>
      </w:r>
    </w:p>
    <w:p w14:paraId="18F054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除了担保物权一般的消灭事由，《民法典》第457条还规定了两种留置权的消灭事由</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（1）留置权人对留置财产丧失占有（不包括被盗，因为被盗可以请求返还）；（2）留置权人接受债务人另行提供的担保。</w:t>
      </w:r>
    </w:p>
    <w:p w14:paraId="47B411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96AE8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【考点15:共同担保、担保竞存】</w:t>
      </w:r>
    </w:p>
    <w:p w14:paraId="01DFBA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一、混合共同担保</w:t>
      </w:r>
    </w:p>
    <w:p w14:paraId="54533A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物保和人保均由第三人提供的情况下，在物保人或保证人承担了担保责任后，当然可向债务人追偿。但是，其是否可要求其他共同担保人分担，依据《民法典担保制度解释》第13条，担保人之间原则上不能互相追偿，除非存在以下法定情形之一：（1）担保人之间约定了互相追偿；（2）担保人约定承担连带共同担保；（3）各担保人在同一份合同书上签字、盖章或者按指印。</w:t>
      </w:r>
    </w:p>
    <w:p w14:paraId="127D8A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二、担保物权的竞合</w:t>
      </w:r>
    </w:p>
    <w:p w14:paraId="1A7577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1．凡发生留置权的，留置权一定最优先。</w:t>
      </w:r>
    </w:p>
    <w:p w14:paraId="61817D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果一物之上先后设立了抵押权和质权：（1）如该抵押权经过登记的，由于登记使抵押权具有了对抗效力，故设立在先的抵押权当然优先于设立在后的质权；（2）如该抵押权未经登记，则一方面，未经登记的抵押权不得对抗善意第三人，另一方面，此时物在质权人的占有之下，因此，后设立的质权优先于先设立的抵押权。如果抵押权设立时未经登记，然后设立了质权并交付了物，再然后当事人进行了抵押登记，则仍以交付在先的质权为优先。</w:t>
      </w:r>
    </w:p>
    <w:p w14:paraId="2703D8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3A6220B"/>
    <w:rsid w:val="09FF37FE"/>
    <w:rsid w:val="0D9A55A2"/>
    <w:rsid w:val="13EF1752"/>
    <w:rsid w:val="16EFD392"/>
    <w:rsid w:val="177DA370"/>
    <w:rsid w:val="17DFFA75"/>
    <w:rsid w:val="18BFC09B"/>
    <w:rsid w:val="1BC8E4F3"/>
    <w:rsid w:val="1BEF9C01"/>
    <w:rsid w:val="1BFB8A79"/>
    <w:rsid w:val="1FFDE82A"/>
    <w:rsid w:val="1FFE3DC8"/>
    <w:rsid w:val="25E4E361"/>
    <w:rsid w:val="2FF57ABD"/>
    <w:rsid w:val="37F9300F"/>
    <w:rsid w:val="39CD9E08"/>
    <w:rsid w:val="3AA211B0"/>
    <w:rsid w:val="3D680BC6"/>
    <w:rsid w:val="3DDD8785"/>
    <w:rsid w:val="3EFF2196"/>
    <w:rsid w:val="3EFFCDE3"/>
    <w:rsid w:val="3F7D6D90"/>
    <w:rsid w:val="3FDF38B5"/>
    <w:rsid w:val="3FF373A0"/>
    <w:rsid w:val="4D7AF3B1"/>
    <w:rsid w:val="4EFF6AA8"/>
    <w:rsid w:val="4F7E5D39"/>
    <w:rsid w:val="4FAD7741"/>
    <w:rsid w:val="4FEF7A7F"/>
    <w:rsid w:val="4FF62111"/>
    <w:rsid w:val="55B6EECE"/>
    <w:rsid w:val="577DF98B"/>
    <w:rsid w:val="57FDC1B1"/>
    <w:rsid w:val="5BB7B3D0"/>
    <w:rsid w:val="5BF630B3"/>
    <w:rsid w:val="5D1E5E35"/>
    <w:rsid w:val="5D2F548A"/>
    <w:rsid w:val="5D9CC53C"/>
    <w:rsid w:val="5DBFD756"/>
    <w:rsid w:val="5DDF2929"/>
    <w:rsid w:val="5EF589B3"/>
    <w:rsid w:val="5F2FB4C6"/>
    <w:rsid w:val="5F67BE34"/>
    <w:rsid w:val="5F9DEE1A"/>
    <w:rsid w:val="5F9FED60"/>
    <w:rsid w:val="5FDFC522"/>
    <w:rsid w:val="63F79634"/>
    <w:rsid w:val="676B1FCF"/>
    <w:rsid w:val="67F71FFA"/>
    <w:rsid w:val="6BBF548D"/>
    <w:rsid w:val="6BEE3C17"/>
    <w:rsid w:val="6CFC5835"/>
    <w:rsid w:val="6DD90F6A"/>
    <w:rsid w:val="6EBFFE06"/>
    <w:rsid w:val="6EDC6954"/>
    <w:rsid w:val="6F7FD66B"/>
    <w:rsid w:val="6FC75035"/>
    <w:rsid w:val="6FE9DFA5"/>
    <w:rsid w:val="6FF6B73E"/>
    <w:rsid w:val="6FF7B5C8"/>
    <w:rsid w:val="6FF7C38D"/>
    <w:rsid w:val="72B16660"/>
    <w:rsid w:val="72FEDFAF"/>
    <w:rsid w:val="74EF0DAF"/>
    <w:rsid w:val="75FFDC8C"/>
    <w:rsid w:val="76576194"/>
    <w:rsid w:val="78FF9F1C"/>
    <w:rsid w:val="795BB6EC"/>
    <w:rsid w:val="79B72732"/>
    <w:rsid w:val="7A8FECFA"/>
    <w:rsid w:val="7B6D3C00"/>
    <w:rsid w:val="7B77E946"/>
    <w:rsid w:val="7BAF28C8"/>
    <w:rsid w:val="7BFFD2F7"/>
    <w:rsid w:val="7C7DDD51"/>
    <w:rsid w:val="7C9D61C3"/>
    <w:rsid w:val="7D473A11"/>
    <w:rsid w:val="7D7FD33D"/>
    <w:rsid w:val="7DBDD90E"/>
    <w:rsid w:val="7DBFEFAD"/>
    <w:rsid w:val="7DE7821D"/>
    <w:rsid w:val="7DF9200D"/>
    <w:rsid w:val="7E3F6002"/>
    <w:rsid w:val="7EED7FF8"/>
    <w:rsid w:val="7EFFC158"/>
    <w:rsid w:val="7F3B9F4C"/>
    <w:rsid w:val="7F3C3286"/>
    <w:rsid w:val="7F695405"/>
    <w:rsid w:val="7F6B748A"/>
    <w:rsid w:val="7FB49696"/>
    <w:rsid w:val="7FB797CE"/>
    <w:rsid w:val="7FBF0F91"/>
    <w:rsid w:val="7FE6F2CC"/>
    <w:rsid w:val="7FE7235C"/>
    <w:rsid w:val="7FFCE884"/>
    <w:rsid w:val="8ABEE47C"/>
    <w:rsid w:val="A3C7B59A"/>
    <w:rsid w:val="AEAF67DC"/>
    <w:rsid w:val="AECFAD74"/>
    <w:rsid w:val="AED07A5A"/>
    <w:rsid w:val="AEFFF231"/>
    <w:rsid w:val="AF7349BF"/>
    <w:rsid w:val="AFFF1BA4"/>
    <w:rsid w:val="B1FDE468"/>
    <w:rsid w:val="B3FEA9EF"/>
    <w:rsid w:val="B7FEF551"/>
    <w:rsid w:val="B9FFBA7D"/>
    <w:rsid w:val="BBBF8B80"/>
    <w:rsid w:val="BBD68691"/>
    <w:rsid w:val="BDDFCC9E"/>
    <w:rsid w:val="BFD7C2A8"/>
    <w:rsid w:val="BFDF45C5"/>
    <w:rsid w:val="BFDF5E9D"/>
    <w:rsid w:val="BFFFC478"/>
    <w:rsid w:val="C2FF7057"/>
    <w:rsid w:val="CBDA46FA"/>
    <w:rsid w:val="CDF9AD73"/>
    <w:rsid w:val="CEAF22DB"/>
    <w:rsid w:val="CFABA3EB"/>
    <w:rsid w:val="CFBDAEF9"/>
    <w:rsid w:val="CFFF1593"/>
    <w:rsid w:val="D7F8DDAE"/>
    <w:rsid w:val="D99D7B6E"/>
    <w:rsid w:val="DBF64670"/>
    <w:rsid w:val="DE5EFF5E"/>
    <w:rsid w:val="DFCCB69C"/>
    <w:rsid w:val="DFDD6831"/>
    <w:rsid w:val="E5718167"/>
    <w:rsid w:val="E59B90E9"/>
    <w:rsid w:val="E5AB3AAB"/>
    <w:rsid w:val="E5DD9418"/>
    <w:rsid w:val="E787CCF8"/>
    <w:rsid w:val="E7BFCB01"/>
    <w:rsid w:val="EA3CD53D"/>
    <w:rsid w:val="EB6E8309"/>
    <w:rsid w:val="EBD730EB"/>
    <w:rsid w:val="EC2D9E1A"/>
    <w:rsid w:val="EECA7655"/>
    <w:rsid w:val="EF06E542"/>
    <w:rsid w:val="EF3B5A75"/>
    <w:rsid w:val="EF73E6F1"/>
    <w:rsid w:val="EF7FB042"/>
    <w:rsid w:val="EF99980E"/>
    <w:rsid w:val="EFB7ADF2"/>
    <w:rsid w:val="EFCFFD3A"/>
    <w:rsid w:val="EFDF470A"/>
    <w:rsid w:val="EFDFF3E6"/>
    <w:rsid w:val="EFE712E6"/>
    <w:rsid w:val="EFF7C6A6"/>
    <w:rsid w:val="EFF7EEAE"/>
    <w:rsid w:val="F0D7EC59"/>
    <w:rsid w:val="F0DE3C2E"/>
    <w:rsid w:val="F1B927A4"/>
    <w:rsid w:val="F3FBF516"/>
    <w:rsid w:val="F3FF92B4"/>
    <w:rsid w:val="F54E1163"/>
    <w:rsid w:val="F56E2A6E"/>
    <w:rsid w:val="F5EEDA60"/>
    <w:rsid w:val="F5EFB180"/>
    <w:rsid w:val="F5F7E282"/>
    <w:rsid w:val="F6CFF3E3"/>
    <w:rsid w:val="F6DFFC0C"/>
    <w:rsid w:val="F735CF42"/>
    <w:rsid w:val="F73F225B"/>
    <w:rsid w:val="FABE4737"/>
    <w:rsid w:val="FB3760F9"/>
    <w:rsid w:val="FBDF91EB"/>
    <w:rsid w:val="FBFF7EF4"/>
    <w:rsid w:val="FCEF4E65"/>
    <w:rsid w:val="FD375179"/>
    <w:rsid w:val="FD6C9E97"/>
    <w:rsid w:val="FD6EB3EE"/>
    <w:rsid w:val="FDBDD900"/>
    <w:rsid w:val="FDF59568"/>
    <w:rsid w:val="FE7F0F70"/>
    <w:rsid w:val="FEA64923"/>
    <w:rsid w:val="FEAF2B22"/>
    <w:rsid w:val="FED769C8"/>
    <w:rsid w:val="FEEF9E93"/>
    <w:rsid w:val="FF3362C6"/>
    <w:rsid w:val="FF6F6FFE"/>
    <w:rsid w:val="FF7BF13D"/>
    <w:rsid w:val="FF943FE1"/>
    <w:rsid w:val="FF9F8E8F"/>
    <w:rsid w:val="FFBEC6FF"/>
    <w:rsid w:val="FFEB886A"/>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Arthur (Xiao) Dong</cp:lastModifiedBy>
  <dcterms:modified xsi:type="dcterms:W3CDTF">2026-06-20T10:42:03Z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