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4C7D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sz w:val="22"/>
          <w:szCs w:val="22"/>
          <w:lang w:val="en-US" w:eastAsia="zh-CN"/>
        </w:rPr>
      </w:pPr>
      <w:r>
        <w:rPr>
          <w:rFonts w:hint="eastAsia"/>
          <w:b/>
          <w:bCs/>
          <w:sz w:val="22"/>
          <w:szCs w:val="22"/>
          <w:lang w:val="en-US" w:eastAsia="zh-CN"/>
        </w:rPr>
        <w:t>民法客观精华突破第一讲课堂笔记（考点1-7）</w:t>
      </w:r>
    </w:p>
    <w:p w14:paraId="4904F42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lang w:val="en-US" w:eastAsia="zh-CN"/>
        </w:rPr>
      </w:pPr>
      <w:r>
        <w:rPr>
          <w:rFonts w:hint="eastAsia" w:ascii="Times New Roman Regular" w:hAnsi="Times New Roman Regular" w:cs="Times New Roman Regular"/>
          <w:b/>
          <w:bCs/>
          <w:sz w:val="18"/>
          <w:szCs w:val="18"/>
          <w:lang w:val="en-US" w:eastAsia="zh-CN"/>
        </w:rPr>
        <w:t>【考点1：民法概述】</w:t>
      </w:r>
    </w:p>
    <w:p w14:paraId="691D63B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一、民法的基本原则</w:t>
      </w:r>
    </w:p>
    <w:p w14:paraId="3040C28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（一）民法基本原则的含义与违反例证</w:t>
      </w:r>
    </w:p>
    <w:p w14:paraId="740284E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1.</w:t>
      </w:r>
      <w:r>
        <w:rPr>
          <w:rFonts w:hint="default" w:ascii="Times New Roman Regular" w:hAnsi="Times New Roman Regular" w:cs="Times New Roman Regular"/>
          <w:sz w:val="18"/>
          <w:szCs w:val="18"/>
          <w:u w:val="none"/>
          <w:lang w:val="en-US" w:eastAsia="zh-CN"/>
        </w:rPr>
        <w:t>自愿原则</w:t>
      </w:r>
      <w:r>
        <w:rPr>
          <w:rFonts w:hint="eastAsia" w:ascii="Times New Roman Regular" w:hAnsi="Times New Roman Regular" w:cs="Times New Roman Regular"/>
          <w:sz w:val="18"/>
          <w:szCs w:val="18"/>
          <w:u w:val="none"/>
          <w:lang w:val="en-US" w:eastAsia="zh-CN"/>
        </w:rPr>
        <w:t>：</w:t>
      </w:r>
      <w:r>
        <w:rPr>
          <w:rFonts w:hint="default" w:ascii="Times New Roman Regular" w:hAnsi="Times New Roman Regular" w:cs="Times New Roman Regular"/>
          <w:sz w:val="18"/>
          <w:szCs w:val="18"/>
          <w:u w:val="none"/>
          <w:lang w:val="en-US" w:eastAsia="zh-CN"/>
        </w:rPr>
        <w:t>民事主体从事民事活动时按照自己的意思设立、变更、终止民事法律关系</w:t>
      </w:r>
      <w:r>
        <w:rPr>
          <w:rFonts w:hint="eastAsia" w:ascii="Times New Roman Regular" w:hAnsi="Times New Roman Regular" w:cs="Times New Roman Regular"/>
          <w:sz w:val="18"/>
          <w:szCs w:val="18"/>
          <w:u w:val="none"/>
          <w:lang w:val="en-US" w:eastAsia="zh-CN"/>
        </w:rPr>
        <w:t>。违反例证包括</w:t>
      </w:r>
      <w:r>
        <w:rPr>
          <w:rFonts w:hint="default" w:ascii="Times New Roman Regular" w:hAnsi="Times New Roman Regular" w:cs="Times New Roman Regular"/>
          <w:sz w:val="18"/>
          <w:szCs w:val="18"/>
          <w:u w:val="none"/>
          <w:lang w:val="en-US" w:eastAsia="zh-CN"/>
        </w:rPr>
        <w:t>重大误解、欺诈、胁迫、重大误解</w:t>
      </w:r>
    </w:p>
    <w:p w14:paraId="49DC52E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2.</w:t>
      </w:r>
      <w:r>
        <w:rPr>
          <w:rFonts w:hint="default" w:ascii="Times New Roman Regular" w:hAnsi="Times New Roman Regular" w:cs="Times New Roman Regular"/>
          <w:sz w:val="18"/>
          <w:szCs w:val="18"/>
          <w:u w:val="none"/>
          <w:lang w:val="en-US" w:eastAsia="zh-CN"/>
        </w:rPr>
        <w:t>诚信原则</w:t>
      </w:r>
      <w:r>
        <w:rPr>
          <w:rFonts w:hint="eastAsia" w:ascii="Times New Roman Regular" w:hAnsi="Times New Roman Regular" w:cs="Times New Roman Regular"/>
          <w:sz w:val="18"/>
          <w:szCs w:val="18"/>
          <w:u w:val="none"/>
          <w:lang w:val="en-US" w:eastAsia="zh-CN"/>
        </w:rPr>
        <w:t>：</w:t>
      </w:r>
      <w:r>
        <w:rPr>
          <w:rFonts w:hint="default" w:ascii="Times New Roman Regular" w:hAnsi="Times New Roman Regular" w:cs="Times New Roman Regular"/>
          <w:sz w:val="18"/>
          <w:szCs w:val="18"/>
          <w:u w:val="none"/>
          <w:lang w:val="en-US" w:eastAsia="zh-CN"/>
        </w:rPr>
        <w:t>民事主体从事民事活动时应当秉持诚实，恪守承诺</w:t>
      </w:r>
      <w:r>
        <w:rPr>
          <w:rFonts w:hint="eastAsia" w:ascii="Times New Roman Regular" w:hAnsi="Times New Roman Regular" w:cs="Times New Roman Regular"/>
          <w:sz w:val="18"/>
          <w:szCs w:val="18"/>
          <w:u w:val="none"/>
          <w:lang w:val="en-US" w:eastAsia="zh-CN"/>
        </w:rPr>
        <w:t>。违反例证包括</w:t>
      </w:r>
      <w:r>
        <w:rPr>
          <w:rFonts w:hint="default" w:ascii="Times New Roman Regular" w:hAnsi="Times New Roman Regular" w:cs="Times New Roman Regular"/>
          <w:sz w:val="18"/>
          <w:szCs w:val="18"/>
          <w:u w:val="none"/>
          <w:lang w:val="en-US" w:eastAsia="zh-CN"/>
        </w:rPr>
        <w:t>违反先合同义务、附随义务、后合同义务；权利滥用</w:t>
      </w:r>
    </w:p>
    <w:p w14:paraId="5836DA8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3.</w:t>
      </w:r>
      <w:r>
        <w:rPr>
          <w:rFonts w:hint="default" w:ascii="Times New Roman Regular" w:hAnsi="Times New Roman Regular" w:cs="Times New Roman Regular"/>
          <w:sz w:val="18"/>
          <w:szCs w:val="18"/>
          <w:u w:val="none"/>
          <w:lang w:val="en-US" w:eastAsia="zh-CN"/>
        </w:rPr>
        <w:t>公序良俗原则</w:t>
      </w:r>
      <w:r>
        <w:rPr>
          <w:rFonts w:hint="eastAsia" w:ascii="Times New Roman Regular" w:hAnsi="Times New Roman Regular" w:cs="Times New Roman Regular"/>
          <w:sz w:val="18"/>
          <w:szCs w:val="18"/>
          <w:u w:val="none"/>
          <w:lang w:val="en-US" w:eastAsia="zh-CN"/>
        </w:rPr>
        <w:t>：</w:t>
      </w:r>
      <w:r>
        <w:rPr>
          <w:rFonts w:hint="default" w:ascii="Times New Roman Regular" w:hAnsi="Times New Roman Regular" w:cs="Times New Roman Regular"/>
          <w:sz w:val="18"/>
          <w:szCs w:val="18"/>
          <w:u w:val="none"/>
          <w:lang w:val="en-US" w:eastAsia="zh-CN"/>
        </w:rPr>
        <w:t>民事主体从事民事活动不得违反公序良俗</w:t>
      </w:r>
      <w:r>
        <w:rPr>
          <w:rFonts w:hint="eastAsia" w:ascii="Times New Roman Regular" w:hAnsi="Times New Roman Regular" w:cs="Times New Roman Regular"/>
          <w:sz w:val="18"/>
          <w:szCs w:val="18"/>
          <w:u w:val="none"/>
          <w:lang w:val="en-US" w:eastAsia="zh-CN"/>
        </w:rPr>
        <w:t>。违反例证包括</w:t>
      </w:r>
      <w:r>
        <w:rPr>
          <w:rFonts w:hint="default" w:ascii="Times New Roman Regular" w:hAnsi="Times New Roman Regular" w:cs="Times New Roman Regular"/>
          <w:sz w:val="18"/>
          <w:szCs w:val="18"/>
          <w:u w:val="none"/>
          <w:lang w:val="en-US" w:eastAsia="zh-CN"/>
        </w:rPr>
        <w:t>卖淫合同、为维持不正当男女关系进行婚外赠与</w:t>
      </w:r>
    </w:p>
    <w:p w14:paraId="14F9719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（二）禁止权利滥用</w:t>
      </w:r>
    </w:p>
    <w:p w14:paraId="2E2DC2B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1．滥用行为不发生相应的法律效力</w:t>
      </w:r>
    </w:p>
    <w:p w14:paraId="049171B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2．滥用民事权利造成损害的，需要承担相应的侵权责任</w:t>
      </w:r>
    </w:p>
    <w:p w14:paraId="7840EC1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二、民事权利的私力救济</w:t>
      </w:r>
    </w:p>
    <w:p w14:paraId="1654EB4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正当防卫</w:t>
      </w:r>
    </w:p>
    <w:p w14:paraId="24DC86D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1．阻却违法性，因正当防卫造成的损害，防卫人免责</w:t>
      </w:r>
    </w:p>
    <w:p w14:paraId="3B77541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2．防卫过当时，过当部分具有违法性，防卫人不能免责，需要赔偿过当部分的损害（并非全赔！）</w:t>
      </w:r>
    </w:p>
    <w:p w14:paraId="658B9BC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紧急避险</w:t>
      </w:r>
    </w:p>
    <w:p w14:paraId="17D0B55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1．危险由人为原因引起：紧急避险人免责，由引起险情的人承担</w:t>
      </w:r>
    </w:p>
    <w:p w14:paraId="0A3744B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2．危险由自然原因引起：紧急避险人免责，可以（而非必须！）给予适当补偿（而非赔偿！）</w:t>
      </w:r>
    </w:p>
    <w:p w14:paraId="2268CCA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3．避险过度时，不能阻却违法性，紧急避险人赔偿不应有的损害部分（并非全赔！）</w:t>
      </w:r>
    </w:p>
    <w:p w14:paraId="29A74FA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自助行为</w:t>
      </w:r>
    </w:p>
    <w:p w14:paraId="2177CC8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1．免责</w:t>
      </w:r>
    </w:p>
    <w:p w14:paraId="0F242C2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2．如果权利人采取的措施不合理或者没有及时地请求有关国家机关处理，那就不能阻却其行为的违法性，如果造成义务人的人身财产损害，需承担相应的侵权责任</w:t>
      </w:r>
    </w:p>
    <w:p w14:paraId="3AB4E06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10DCCF9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【考点2:自然人】</w:t>
      </w:r>
    </w:p>
    <w:p w14:paraId="6ED5A32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一、胎儿利益的保护</w:t>
      </w:r>
    </w:p>
    <w:p w14:paraId="2EB5B7D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胎儿利益特殊保护的前提条件：（1）涉及的事项与胎儿的利益保护相关，如遗产继承、接受赠与以及遭受人身损害等；（2）胎儿出生时为活体。出生后随即夭折不影响胎儿利益的特殊保护。但出生时若为死体，则不得主张特殊保护。</w:t>
      </w:r>
    </w:p>
    <w:p w14:paraId="2386135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二、民事行为能力</w:t>
      </w:r>
    </w:p>
    <w:p w14:paraId="1D6E7F6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完全民事行为能力人</w:t>
      </w:r>
    </w:p>
    <w:p w14:paraId="52C2895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1．成年人</w:t>
      </w:r>
    </w:p>
    <w:p w14:paraId="555AA31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2．16周岁以上，以自己的劳动收入为主要生活来源的未成年人</w:t>
      </w:r>
      <w:r>
        <w:rPr>
          <w:rFonts w:hint="default" w:ascii="Times New Roman Regular" w:hAnsi="Times New Roman Regular" w:cs="Times New Roman Regular"/>
          <w:sz w:val="18"/>
          <w:szCs w:val="18"/>
          <w:u w:val="none"/>
          <w:lang w:val="en-US" w:eastAsia="zh-CN"/>
        </w:rPr>
        <w:tab/>
      </w:r>
      <w:r>
        <w:rPr>
          <w:rFonts w:hint="default" w:ascii="Times New Roman Regular" w:hAnsi="Times New Roman Regular" w:cs="Times New Roman Regular"/>
          <w:sz w:val="18"/>
          <w:szCs w:val="18"/>
          <w:u w:val="none"/>
          <w:lang w:val="en-US" w:eastAsia="zh-CN"/>
        </w:rPr>
        <w:t>如无其他效力瑕疵，均有效</w:t>
      </w:r>
    </w:p>
    <w:p w14:paraId="40C7E8B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限制民事行为能力人</w:t>
      </w:r>
    </w:p>
    <w:p w14:paraId="1FDE2CB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1．8周岁以上的未成年人</w:t>
      </w:r>
    </w:p>
    <w:p w14:paraId="3FD14DA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2．不能完全辨认自己行为的成年人</w:t>
      </w:r>
    </w:p>
    <w:p w14:paraId="5A3F663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无民事行为能力人</w:t>
      </w:r>
    </w:p>
    <w:p w14:paraId="7A22D50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1．不满8周岁的未成年人</w:t>
      </w:r>
    </w:p>
    <w:p w14:paraId="554DCC7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2．不能辨认自己行为的成年人和八周岁以上的未成年人</w:t>
      </w:r>
    </w:p>
    <w:p w14:paraId="5C92353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三、监护</w:t>
      </w:r>
    </w:p>
    <w:p w14:paraId="33EDD3F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（一）法定监护</w:t>
      </w:r>
    </w:p>
    <w:p w14:paraId="74AE4CA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父母是未成年子女的当然的、第一位的法定监护人：（1）父母作为监护人具有法定性与强制性，不得约定免除监护职责；（2）父母离婚不影响监护关系的存续；（3）涉及亲子关系的异议时，亲子关系异议之诉判决生效之前，监护关系不受影响。</w:t>
      </w:r>
    </w:p>
    <w:p w14:paraId="6B97CAE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（二）协议监护</w:t>
      </w:r>
    </w:p>
    <w:p w14:paraId="327A0F6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在尊重被监护人意愿的前提下，父母以外的有监护资格的主体之间可以通过协议的方式确定监护人，不同顺位的主体之间也可以订立此种协议。协议监护时不受顺位的限制，可以约定不同顺序的人共同担任监护人，也可以约定由顺序在后的人担任监护人。</w:t>
      </w:r>
    </w:p>
    <w:p w14:paraId="7CEF8AC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（三）指定监护</w:t>
      </w:r>
    </w:p>
    <w:p w14:paraId="66E1C91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1.有权指定的组织或机关。依据《民法典》第31条第1款，有权指定的组织或机关包括被监护人住所地的居民委员会、村民委员会、民政部门以及人民法院。需要注意的是，当事人可以直接请求人民法院指定。</w:t>
      </w:r>
    </w:p>
    <w:p w14:paraId="7DC2A1C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2.指定的法律效果。监护人被指定后，就会成立监护关系，被指定人不得擅自变更，擅自变更的，不免除其监护人责任。</w:t>
      </w:r>
    </w:p>
    <w:p w14:paraId="09BD41C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（四）遗嘱监护</w:t>
      </w:r>
    </w:p>
    <w:p w14:paraId="4897C3B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遗嘱监护是指被监护人的父母担任监护人时通过遗嘱指定某人在其死后担任子女的监护人（《民法典》第29条）。对于遗嘱监护规则需要注意以下几点：</w:t>
      </w:r>
    </w:p>
    <w:p w14:paraId="0AD7DF2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1.遗嘱人的范围：被监护人的父母+担任监护人（缺一不可）；</w:t>
      </w:r>
    </w:p>
    <w:p w14:paraId="775C24D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2.被指定人的范围：不必限于有法定监护资格的主体；</w:t>
      </w:r>
    </w:p>
    <w:p w14:paraId="64967E7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3.遗嘱人死亡时监护人的确定：①配偶健在且有监护能力：配偶为监护人；②配偶已死亡或无监护能力：如果被指定人同意则被指定人担任监护人；如果被指定人不同意则按法定监护确定监护人。</w:t>
      </w:r>
    </w:p>
    <w:p w14:paraId="290B939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（五）成年人意定监护</w:t>
      </w:r>
    </w:p>
    <w:p w14:paraId="67C944B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具有完全民事行为能力的成年人，可以与其近亲属、其他愿意担任监护人的个人或者组织事先协商，以书面形式确定自己的监护人，在自己丧失或者部分丧失民事行为能力时，由该监护人履行监护职责。对于意定监护协议，在未来的被监护人丧失或部分丧失民事行为能力之前，双方都享有任意解除权。</w:t>
      </w:r>
    </w:p>
    <w:p w14:paraId="2F35FC0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（六）委托监护</w:t>
      </w:r>
    </w:p>
    <w:p w14:paraId="5A2F22A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在委托监护的情形下，受托人并非监护人，仍以委托人为监护人，即委托监护不改变原有的监护关系</w:t>
      </w:r>
    </w:p>
    <w:p w14:paraId="0C5900F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（七）监护人的职责</w:t>
      </w:r>
    </w:p>
    <w:p w14:paraId="76B5BA8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1.关键理解：“监护”拆解开来就是“监督”和“保护”，因此监护人的职责就是监督被监护人，并对被监护人的合法权益进行保护。</w:t>
      </w:r>
    </w:p>
    <w:p w14:paraId="0E11FDE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2.监护人履行监护职责应奉行两个原则：（1）最有利于被监护人原则；（2）尊重被监护人真实意愿原则。</w:t>
      </w:r>
    </w:p>
    <w:p w14:paraId="41F93DE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3.财产处分：监护人除为维护被监护人利益外，不得处分被监护人的财产（监护人如果不是为了维护被监护人的利益，而处分被监护人的财产，则构成无权处分）。</w:t>
      </w:r>
    </w:p>
    <w:p w14:paraId="3FF4440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特殊规则：夫妻双方用夫妻共同财产购买房屋并登记在未成年子女名下后，又处分该房屋的，不得以不符合被监护人利益为由主张该民事法律行为无效（《民法典婚姻家庭编解释二》第15条）</w:t>
      </w:r>
    </w:p>
    <w:p w14:paraId="714D4BC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4.侵权责任：监护人不履行监护职责或者侵害被监护人合法权益的，应当承担侵权损害赔偿责任</w:t>
      </w:r>
    </w:p>
    <w:p w14:paraId="5A0FD5B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（八）监护资格的撤销与恢复</w:t>
      </w:r>
    </w:p>
    <w:p w14:paraId="41E91E6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撤销事由：（1）监护人实施严重损害被监护人身心健康的行为（如虐待被监护人）；（2）监护人怠于履行监护职责，或者无法履行监护职责且拒绝将监护职责部分或者全部委托给他人，导致被监护人处于危困状态（如遗弃被监护人）；（3）监护人实施严重侵害被监护人合法权益的其他行为（重点是前两种）</w:t>
      </w:r>
    </w:p>
    <w:p w14:paraId="2ED5563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2.有权申请撤销的主体：非常广泛，沾边即可</w:t>
      </w:r>
    </w:p>
    <w:p w14:paraId="7AF1529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3.有权撤销的机关：只有人民法院有权撤销监护人的监护资格</w:t>
      </w:r>
    </w:p>
    <w:p w14:paraId="3EB89FA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4.撤销监护资格的法律效果：监护人需要被更换，原监护人如果有扶养义务的，该义务不受影响</w:t>
      </w:r>
    </w:p>
    <w:p w14:paraId="2386E1A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5.监护资格的恢复条件：（1）被撤销监护资格的人是被监护人的父母或子女，；（2）被撤销监护资格之人有悔改表现；（3）被撤销监护资格之人未对被监护人实施故意犯罪。</w:t>
      </w:r>
    </w:p>
    <w:p w14:paraId="6E166FC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四、宣告失踪与宣告死亡</w:t>
      </w:r>
    </w:p>
    <w:p w14:paraId="08E3647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1.宣告失踪的条件：（1）自然人下落不明满2年；（2）利害关系人（近亲属、继承人、债权人、债务人、合伙人）申请；（3）人民法院公告三个月后作出判决</w:t>
      </w:r>
    </w:p>
    <w:p w14:paraId="52FC2C4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2.指定财产代管人：失踪人的财产由其配偶、成年子女、父母或者其他愿意担任财产代管人的人代管</w:t>
      </w:r>
    </w:p>
    <w:p w14:paraId="27747DB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3.财产代管人的职责：</w:t>
      </w:r>
    </w:p>
    <w:p w14:paraId="526BE10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（1）财产代管人因故意或者重大过失造成失踪人财产损失的，应当承担赔偿责任；</w:t>
      </w:r>
    </w:p>
    <w:p w14:paraId="591CAB5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关联民诉法：失踪人的财产代管人向失踪人的债务人请求偿还债务时，应将财产代管人列为原告。债权人提起诉讼，请求失踪人的财产代管人支付失踪人所欠的债务和其他费用时，应当将财产代管人列为被告。</w:t>
      </w:r>
    </w:p>
    <w:p w14:paraId="262E77D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4.宣告死亡的条件</w:t>
      </w:r>
    </w:p>
    <w:p w14:paraId="51EDC0A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（1）自然人下落不明满四年，或者因意外事件，下落不明满二年。因意外事件下落不明，经有关机关证明该自然人不可能生存的，申请宣告死亡不受二年时间的限制</w:t>
      </w:r>
    </w:p>
    <w:p w14:paraId="3706962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（2）利害关系人申请：虽然和宣告失踪有所不同，但不用专门记忆，和宣告失踪作类似把握即可</w:t>
      </w:r>
    </w:p>
    <w:p w14:paraId="3E38D39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（3）人民法院判决</w:t>
      </w:r>
    </w:p>
    <w:p w14:paraId="5B0E7E3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5.宣告死亡和宣告失踪的关系：宣告死亡不以宣告失踪为条件，有人申请宣告死亡有人申请宣告失踪的，只要符合宣告死亡的条件，就应当宣告死亡</w:t>
      </w:r>
    </w:p>
    <w:p w14:paraId="0007CD1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6.宣告死亡的法律效果</w:t>
      </w:r>
    </w:p>
    <w:p w14:paraId="594D123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推定下落不明人死亡：原则上以法院宣告死亡判决作出之日视为其死亡日期，因意外事件下落不明宣告死亡的，意外事件发生之日视为其死亡日期（关联保险法考点：宣告死亡日期在保险期间内的，死亡险也应当赔偿）。如果被宣告死亡之人实际上并未死亡，那么宣告死亡判决不影响其在被宣告死亡期间实施的民事法律行为的效力（即民事权利能力的消灭原因仅限于自然死亡）</w:t>
      </w:r>
    </w:p>
    <w:p w14:paraId="44C6225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（2）婚姻关系：被宣告死亡的人的婚姻关系，自死亡宣告之日起消除，配偶可以再婚</w:t>
      </w:r>
    </w:p>
    <w:p w14:paraId="11DEDED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（3）父母子女关系：被宣告死亡的人的子女可以不经同意而被他人收养</w:t>
      </w:r>
    </w:p>
    <w:p w14:paraId="4C6410B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（4）财产关系：发生遗产继承</w:t>
      </w:r>
    </w:p>
    <w:p w14:paraId="3E441CE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7.死亡宣告的撤销：“亡者归来”</w:t>
      </w:r>
    </w:p>
    <w:p w14:paraId="25B0E99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财产关系：继承人应当返还财产，无法返还的，应当给予适当补偿。如果财产已经被第三人合法取得，第三人原则上不负有返还义务。利害关系人隐瞒真实情况，致使他人被宣告死亡而取得其财产的，除应当返还财产外，还应当对由此造成的损失承担赔偿责任</w:t>
      </w:r>
    </w:p>
    <w:p w14:paraId="7C85058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（2）婚姻关系：死亡宣告被撤销的，夫妻关系自撤销死亡宣告之日起自动恢复，但其配偶再婚（包括再婚后又离婚的）或向婚姻登记机关书面声明不愿意恢复的除外</w:t>
      </w:r>
    </w:p>
    <w:p w14:paraId="0562230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（3）父母子女关系：被宣告死亡的人在被宣告死亡期间，其子女被他人依法收养，即使死亡宣告被撤销，收养也依然有效</w:t>
      </w:r>
    </w:p>
    <w:p w14:paraId="16C236A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1189E4C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【考点3:法人和非法人组织】</w:t>
      </w:r>
    </w:p>
    <w:p w14:paraId="56590A0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一、法人的独立性：法人的人格独立于其成员，对其财产有独立的所有权，法人自己承担无限责任，出资人原则上承担有限责任</w:t>
      </w:r>
    </w:p>
    <w:p w14:paraId="58F7737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二、法人的分类：重点掌握社团法人和财团法人、营利法人和非营利法人</w:t>
      </w:r>
    </w:p>
    <w:p w14:paraId="360B666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1.社团法人和财团法人：财团法人对应捐助法人，社团法人不等于社会团体</w:t>
      </w:r>
    </w:p>
    <w:p w14:paraId="1679102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2.营利法人和非营利法人的区别不在于是否盈利，而在于是否分配利润</w:t>
      </w:r>
    </w:p>
    <w:p w14:paraId="523E63F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三、法人的机关</w:t>
      </w:r>
    </w:p>
    <w:p w14:paraId="5D0C189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1.社团法人的机关：意思机关、执行机关、监督机关、法定代表人</w:t>
      </w:r>
    </w:p>
    <w:p w14:paraId="2040708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2.财团法人的机关：执行机关、监督机关、法定代表人</w:t>
      </w:r>
    </w:p>
    <w:p w14:paraId="0898986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四、法定代表人</w:t>
      </w:r>
    </w:p>
    <w:p w14:paraId="16EAF84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主要是掌握表见代表制度：法人章程或者法人权力机构对法定代表人代表权的限制，不得对抗善意相对人。（即相对人不知道也不应当知道这一限制的，则代表行为有效）</w:t>
      </w:r>
    </w:p>
    <w:p w14:paraId="720DB0F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五、法人的分支机构</w:t>
      </w:r>
    </w:p>
    <w:p w14:paraId="4CC10F8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1.法人的分支机构（如分公司）不具有法人资格，同时也不构成法人机关，是法人的一部分（类似于法人的一个部门）。不过，分支机构可以作为市场主体办理登记。</w:t>
      </w:r>
    </w:p>
    <w:p w14:paraId="0D33BAF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2.人分支机构所产生的责任，由法人承担。法人分支机构的责任由法人承担，并不是说法人与分支机构之间承担连带责任，而是法人自己承担自己的责任（单独责任）</w:t>
      </w:r>
    </w:p>
    <w:p w14:paraId="58213B3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六、设立中法人的责任</w:t>
      </w:r>
    </w:p>
    <w:p w14:paraId="2637BD6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为设立法人以法人名义实施法律行为的，法人成立的法人承担，法人未成立的设立人承担连带责任；为设立法人以自己名义实施法律行为的，法人成立的第三人可以选择法人或者设立人承担，法人未成立的由设立人承担责任。</w:t>
      </w:r>
    </w:p>
    <w:p w14:paraId="7BABBC2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七、非法人组织的责任承担</w:t>
      </w:r>
    </w:p>
    <w:p w14:paraId="47BDA73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先用非法人组织自己的财产清偿，不足以清偿的，出资人或者设立人承担无限连带责任。</w:t>
      </w:r>
    </w:p>
    <w:p w14:paraId="4C9B005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35A0A7E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【考点4:民事法律行为】</w:t>
      </w:r>
    </w:p>
    <w:p w14:paraId="08D5345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、意思表示</w:t>
      </w:r>
    </w:p>
    <w:p w14:paraId="499552C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（一）意思表示的构成</w:t>
      </w:r>
    </w:p>
    <w:p w14:paraId="5A9137E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不需要从理论层面掌握意思表示的构成，只需要了解：如果不存在意思表示，则法律行为是不成立；如果存在意思表示，但意思表示不真实，则法律行为可能是无效或者可撤销。</w:t>
      </w:r>
    </w:p>
    <w:p w14:paraId="53C3C82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（二）意思表示的生效</w:t>
      </w:r>
    </w:p>
    <w:p w14:paraId="09E10C5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无相对人的意思表示：完成时</w:t>
      </w:r>
    </w:p>
    <w:p w14:paraId="490AF1A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有相对人的意思表示：对话自相对人知道时；非对话自到达相对人时；公告自公告发布时</w:t>
      </w:r>
    </w:p>
    <w:p w14:paraId="4B10257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（三）意思表示的形式</w:t>
      </w:r>
    </w:p>
    <w:p w14:paraId="5E21728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包括明示、默示和沉默，沉默只有在法律规定、当事人约定或者存在交易习惯的情况下才构成意思表示。</w:t>
      </w:r>
    </w:p>
    <w:p w14:paraId="4C141C5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待批准生效的合同</w:t>
      </w:r>
    </w:p>
    <w:p w14:paraId="19FFF05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1．批准生效合同批准前的效力状态</w:t>
      </w:r>
    </w:p>
    <w:p w14:paraId="1435A8C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（1）合同中履行报批等义务条款以及相关条款的效力在合同成立时就独立生效了。这一安排旨在推动报批义务的履行；</w:t>
      </w:r>
    </w:p>
    <w:p w14:paraId="27635D3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（2）合同中的其他条款处于已经成立但尚未生效的状态。</w:t>
      </w:r>
    </w:p>
    <w:p w14:paraId="3B098C0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2．报批义务不履行时的法律救济</w:t>
      </w:r>
    </w:p>
    <w:p w14:paraId="2C2899A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如果报批义务人不履行报批义务，此时相对方可选择以下救济方式：（1）请求继续履行报批义务；（2）请求解除合同，并主张损害赔偿（《民法典合同编解释》第12条第1款）。</w:t>
      </w:r>
    </w:p>
    <w:p w14:paraId="53DA7F0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3．法院支持报批义务的继续履行后报批义务人仍不履行时的法律后果</w:t>
      </w:r>
    </w:p>
    <w:p w14:paraId="65879D0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判决作出后如果报批义务人仍不履行报批义务，依据《民法典合同编通则解释》第12条第2款，对方可以主张解除合同并参照违反合同的违约责任请求其承担赔偿责任，之所以此时参照违约责任，是因为其过错更重。</w:t>
      </w:r>
    </w:p>
    <w:p w14:paraId="00FB79A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4．批准前当事人一方请求履行合同主要义务时的法院处理</w:t>
      </w:r>
    </w:p>
    <w:p w14:paraId="50FB530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如果在批准前合同一方起诉请求对方履行合同的主要义务，可以驳回其诉讼请求。驳回后当事人仍可另行提起诉讼，请求报批义务人履行报批义务，并不会违反一事不再理的原则。</w:t>
      </w:r>
    </w:p>
    <w:p w14:paraId="5632B75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5．批准机关不予批准时的法律后果</w:t>
      </w:r>
    </w:p>
    <w:p w14:paraId="10F2EF3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在批准机关不予批准时，原则上报批义务人无需在批准机关不予批准后承担损害赔偿责任，因为批准机关不予批准的原因是多元的，通常而言不可归责于报批义务方。不过也存在例外，即不予批准的原因可以归责于报批义务方时，此时报批义务方需要就对方因此遭受的损失</w:t>
      </w:r>
      <w:r>
        <w:rPr>
          <w:rFonts w:hint="eastAsia" w:ascii="Times New Roman Regular" w:hAnsi="Times New Roman Regular" w:cs="Times New Roman Regular"/>
          <w:sz w:val="18"/>
          <w:szCs w:val="18"/>
          <w:u w:val="none"/>
          <w:lang w:val="en-US" w:eastAsia="zh-CN"/>
        </w:rPr>
        <w:t>。</w:t>
      </w:r>
    </w:p>
    <w:p w14:paraId="3D7B1D4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、民事法律行为的效力瑕疵有三种：无效、可撤销和效力待定</w:t>
      </w:r>
    </w:p>
    <w:p w14:paraId="78C122C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四</w:t>
      </w:r>
      <w:r>
        <w:rPr>
          <w:rFonts w:hint="default" w:ascii="Times New Roman Regular" w:hAnsi="Times New Roman Regular" w:cs="Times New Roman Regular"/>
          <w:sz w:val="18"/>
          <w:szCs w:val="18"/>
          <w:u w:val="none"/>
          <w:lang w:val="en-US" w:eastAsia="zh-CN"/>
        </w:rPr>
        <w:t>、民事法律行为无效的事由</w:t>
      </w:r>
    </w:p>
    <w:p w14:paraId="38E7F79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（一）无民事行为能力人</w:t>
      </w:r>
    </w:p>
    <w:p w14:paraId="55176A8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（二）虚假通谋行为</w:t>
      </w:r>
    </w:p>
    <w:p w14:paraId="2B56522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1．表面行为的效力</w:t>
      </w:r>
    </w:p>
    <w:p w14:paraId="7817FEB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当事人实施虚假通谋行为时，其表面行为是无效的（《民法典》第146条第1款）。</w:t>
      </w:r>
    </w:p>
    <w:p w14:paraId="15BEAA3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2．隐藏行为的效力</w:t>
      </w:r>
    </w:p>
    <w:p w14:paraId="6C8F7F9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对于隐藏行为的效力，应单独评价，如果不存在效力瑕疵事由，则隐藏行为有效</w:t>
      </w:r>
      <w:r>
        <w:rPr>
          <w:rFonts w:hint="eastAsia" w:ascii="Times New Roman Regular" w:hAnsi="Times New Roman Regular" w:cs="Times New Roman Regular"/>
          <w:sz w:val="18"/>
          <w:szCs w:val="18"/>
          <w:u w:val="none"/>
          <w:lang w:val="en-US" w:eastAsia="zh-CN"/>
        </w:rPr>
        <w:t>。</w:t>
      </w:r>
    </w:p>
    <w:p w14:paraId="54CA24F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（三）违反法律、行政法规的强制性规定</w:t>
      </w:r>
    </w:p>
    <w:p w14:paraId="3C472E7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（四）违背公序良俗</w:t>
      </w:r>
    </w:p>
    <w:p w14:paraId="1DD6B2E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（五）恶意串通</w:t>
      </w:r>
    </w:p>
    <w:p w14:paraId="6A95E32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五</w:t>
      </w:r>
      <w:r>
        <w:rPr>
          <w:rFonts w:hint="default" w:ascii="Times New Roman Regular" w:hAnsi="Times New Roman Regular" w:cs="Times New Roman Regular"/>
          <w:sz w:val="18"/>
          <w:szCs w:val="18"/>
          <w:u w:val="none"/>
          <w:lang w:val="en-US" w:eastAsia="zh-CN"/>
        </w:rPr>
        <w:t>、可撤销的民事法律行为</w:t>
      </w:r>
    </w:p>
    <w:p w14:paraId="43D1F21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（一）事由</w:t>
      </w:r>
    </w:p>
    <w:p w14:paraId="63CA778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1．重大误解</w:t>
      </w:r>
    </w:p>
    <w:p w14:paraId="6190B87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意思表示内容（当事人、标的、法律行为的性质）的错误及表示本身的错误（口误、笔误）可以撤销，而单纯的动机错误通常不能撤销（交易上重要的性质错误除外）。</w:t>
      </w:r>
    </w:p>
    <w:p w14:paraId="43F65F3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2．欺诈</w:t>
      </w:r>
    </w:p>
    <w:p w14:paraId="34BCF76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（1）相对人欺诈</w:t>
      </w:r>
    </w:p>
    <w:p w14:paraId="3E1200A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均可撤销。</w:t>
      </w:r>
    </w:p>
    <w:p w14:paraId="2BE7943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（2）第三人欺诈</w:t>
      </w:r>
    </w:p>
    <w:p w14:paraId="37E6369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《民法典》第149条采取的方法是区分相对人的善恶意，只有相对人恶意（知道或者应当知道该欺诈行为）时，受欺诈方才能撤销民事法律行为。</w:t>
      </w:r>
    </w:p>
    <w:p w14:paraId="317568B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3．胁迫</w:t>
      </w:r>
    </w:p>
    <w:p w14:paraId="21730B6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不论是相对人胁迫还是第三人胁迫，受胁迫方都有权撤销民事法律行为。</w:t>
      </w:r>
    </w:p>
    <w:p w14:paraId="42E964C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4．显失公平</w:t>
      </w:r>
    </w:p>
    <w:p w14:paraId="0AA724E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依据《民法典》第151条，显失公平的民事法律行为是可撤销的。显失公平的构成需要满足两个要件（缺一不可）：（1）主观要件，即一方利用对方处于危困状态、缺乏判断能力等情形；（2）客观要件，即致使民事法律行为成立时显失公平（《民法典》第151条）。</w:t>
      </w:r>
    </w:p>
    <w:p w14:paraId="3AB3A27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（二）撤销权的除斥期间</w:t>
      </w:r>
    </w:p>
    <w:p w14:paraId="2FEE765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1.欺诈和显失公平的法律行为除斥期间是一年。从权利人知道或者应当知道撤销事由时起算时间。</w:t>
      </w:r>
    </w:p>
    <w:p w14:paraId="7F0EA5C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2.重大误解的法律行为撤销权除斥期间是九十日，从撤销权知道或者应当知道撤销事由之日起计算。</w:t>
      </w:r>
    </w:p>
    <w:p w14:paraId="5E500AF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3.受胁迫的法律行为除斥期间为一年，从胁迫行为终止之日起算时间。</w:t>
      </w:r>
    </w:p>
    <w:p w14:paraId="1FE3D12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4.最长保护期：从法律行为发生之日起五年。</w:t>
      </w:r>
    </w:p>
    <w:p w14:paraId="3C21A37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六</w:t>
      </w:r>
      <w:r>
        <w:rPr>
          <w:rFonts w:hint="default" w:ascii="Times New Roman Regular" w:hAnsi="Times New Roman Regular" w:cs="Times New Roman Regular"/>
          <w:sz w:val="18"/>
          <w:szCs w:val="18"/>
          <w:u w:val="none"/>
          <w:lang w:val="en-US" w:eastAsia="zh-CN"/>
        </w:rPr>
        <w:t>、效力待定的民事法律行为</w:t>
      </w:r>
    </w:p>
    <w:p w14:paraId="0BD5B80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效力待定的民事法律行为主要有以下情形：（1）限制民事行为能力人实施超越其民事行为能力的民事法律行为；（2）无权处分行为；（3）狭义无权代理行为。</w:t>
      </w:r>
    </w:p>
    <w:p w14:paraId="3F92A1E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无权处分行为中，负担行为有效，处分行为的效力待定。</w:t>
      </w:r>
    </w:p>
    <w:p w14:paraId="12D731C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七</w:t>
      </w:r>
      <w:r>
        <w:rPr>
          <w:rFonts w:hint="default" w:ascii="Times New Roman Regular" w:hAnsi="Times New Roman Regular" w:cs="Times New Roman Regular"/>
          <w:sz w:val="18"/>
          <w:szCs w:val="18"/>
          <w:u w:val="none"/>
          <w:lang w:val="en-US" w:eastAsia="zh-CN"/>
        </w:rPr>
        <w:t>、民事法律行为不成立、无效、被撤销或者确定不发生效力的法律效果</w:t>
      </w:r>
    </w:p>
    <w:p w14:paraId="1474267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1．返还财产</w:t>
      </w:r>
    </w:p>
    <w:p w14:paraId="665234A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2．折价补偿</w:t>
      </w:r>
    </w:p>
    <w:p w14:paraId="4451546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折价补偿适用于“不能返还或者没有必要返还的”情形</w:t>
      </w:r>
      <w:r>
        <w:rPr>
          <w:rFonts w:hint="eastAsia" w:ascii="Times New Roman Regular" w:hAnsi="Times New Roman Regular" w:cs="Times New Roman Regular"/>
          <w:sz w:val="18"/>
          <w:szCs w:val="18"/>
          <w:u w:val="none"/>
          <w:lang w:val="en-US" w:eastAsia="zh-CN"/>
        </w:rPr>
        <w:t>。</w:t>
      </w:r>
    </w:p>
    <w:p w14:paraId="2383BC1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3．损害赔偿</w:t>
      </w:r>
    </w:p>
    <w:p w14:paraId="4593EB4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《民法典》第157条所提及的损害赔偿，在性质上属于缔约过失责任（与《民法典》第500条相同）</w:t>
      </w:r>
      <w:r>
        <w:rPr>
          <w:rFonts w:hint="eastAsia" w:ascii="Times New Roman Regular" w:hAnsi="Times New Roman Regular" w:cs="Times New Roman Regular"/>
          <w:sz w:val="18"/>
          <w:szCs w:val="18"/>
          <w:u w:val="none"/>
          <w:lang w:val="en-US" w:eastAsia="zh-CN"/>
        </w:rPr>
        <w:t>。</w:t>
      </w:r>
    </w:p>
    <w:p w14:paraId="07A0423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8"/>
          <w:szCs w:val="18"/>
          <w:u w:val="none"/>
          <w:lang w:val="en-US" w:eastAsia="zh-CN"/>
        </w:rPr>
      </w:pPr>
    </w:p>
    <w:p w14:paraId="4779844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【考点5:代理】</w:t>
      </w:r>
    </w:p>
    <w:p w14:paraId="546F7EF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一、有权代理的法律效果</w:t>
      </w:r>
    </w:p>
    <w:p w14:paraId="7087C6B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代理行为的权利义务由被代理人承受</w:t>
      </w:r>
      <w:r>
        <w:rPr>
          <w:rFonts w:hint="eastAsia" w:ascii="Times New Roman Regular" w:hAnsi="Times New Roman Regular" w:cs="Times New Roman Regular"/>
          <w:sz w:val="18"/>
          <w:szCs w:val="18"/>
          <w:u w:val="none"/>
          <w:lang w:val="en-US" w:eastAsia="zh-CN"/>
        </w:rPr>
        <w:t>。</w:t>
      </w:r>
    </w:p>
    <w:p w14:paraId="6EAA065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二、无权代理：表见代理和狭义的无权代理都是无权代理</w:t>
      </w:r>
    </w:p>
    <w:p w14:paraId="6AACA4C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（一）表见代理</w:t>
      </w:r>
    </w:p>
    <w:p w14:paraId="397A762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1．表见代理的构成要件</w:t>
      </w:r>
    </w:p>
    <w:p w14:paraId="3734A91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（1）代理人欠缺代理权。</w:t>
      </w:r>
    </w:p>
    <w:p w14:paraId="65D6A0E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（2）存在代理权外观。</w:t>
      </w:r>
    </w:p>
    <w:p w14:paraId="6501ED8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（3）代理权外观可归责于被代理人。</w:t>
      </w:r>
    </w:p>
    <w:p w14:paraId="41B580F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（4）相对方善意且无过失</w:t>
      </w:r>
    </w:p>
    <w:p w14:paraId="1A4D142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2．表见代理的法律效果</w:t>
      </w:r>
    </w:p>
    <w:p w14:paraId="59148A7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（1）被代理人与相对方之间缔结有效的民事法律行为关系，发生相当于有权代理的法律效果；</w:t>
      </w:r>
    </w:p>
    <w:p w14:paraId="7B3A79A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（2）在代理人与第三人之间不发生法律关系；</w:t>
      </w:r>
    </w:p>
    <w:p w14:paraId="6913A92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（3）被代理人可能因表见代理而受到损害，对于该损害，被代理人视情况有权向代理人主张违约责任或者侵权损害赔偿等救济。</w:t>
      </w:r>
    </w:p>
    <w:p w14:paraId="4D1EE1F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（二）狭义的无权代理</w:t>
      </w:r>
    </w:p>
    <w:p w14:paraId="3E5F7DB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无权代理行为，若不构成表见代理，则构成狭义的无权代理。结合《民法典》第171条，狭义的无权代理发生以下法律效果：</w:t>
      </w:r>
    </w:p>
    <w:p w14:paraId="77502FD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1．代理行为效力待定：其最终效力取决于被代理人是否追认。</w:t>
      </w:r>
    </w:p>
    <w:p w14:paraId="14F5B1D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2．相对方的催告权：《民法典》第171条第2款赋予相对人催告权（不论善恶意），其有权催告被代理人在30日内追认。如果被代理人在这30日的期间内仍然保持沉默，此时解释为拒绝追认，代理行为确定不生效。</w:t>
      </w:r>
    </w:p>
    <w:p w14:paraId="743ECFA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善意相对人的撤销权：如果相对人是善意的，完全由被代理人一人决定代理行为的效力，并不合理，应当赋予善意相对人从代理行为中解脱出来的权利。基于这一考虑，《民法典》第171条第2款还赋予了善意相对人的撤销权，其有权在被代理人追认之前以通知的方式撤销。</w:t>
      </w:r>
    </w:p>
    <w:p w14:paraId="3088111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代理行为未被追认时相对人的救济。如果被代理人拒绝追认狭义无权代理行为，此时代理行为就确定不生效了，相对人的权益受损，尤其如果相对人是善意的，此时就更值得救济。《民法典》第171条第3款与第4款区分相对人善意与恶意，配置了不同的救济规则：</w:t>
      </w:r>
    </w:p>
    <w:p w14:paraId="66C696C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（1）善意相对人的救济方式。依据《民法典》第171条第3款，善意相对人有权请求无权代理人履行债务或者就其受到的损害请求行为人赔偿，不过，赔偿的范围不能超过被代理人追认时相对人所能获得的利益；</w:t>
      </w:r>
    </w:p>
    <w:p w14:paraId="3FDE783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（2）相对人恶意时的救济。相对人恶意时，其救济的正当性相对较小，其只能请求无权代理人承担损害赔偿责任，即按照双方的过错承担赔偿责任。</w:t>
      </w:r>
    </w:p>
    <w:p w14:paraId="2155618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4614876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【考点6:诉讼时效】</w:t>
      </w:r>
    </w:p>
    <w:p w14:paraId="65783AF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一、诉讼时效的强制性</w:t>
      </w:r>
    </w:p>
    <w:p w14:paraId="67E519E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诉讼时效具有法定性，相关规范具有强制性，当事人不得约定排除，诉讼时效利益也不得预先放弃。</w:t>
      </w:r>
    </w:p>
    <w:p w14:paraId="078ACFB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二、诉讼时效的适用范围</w:t>
      </w:r>
    </w:p>
    <w:p w14:paraId="1C6ACF0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1．停止侵害、排除妨碍与消除危险请求权（民196）</w:t>
      </w:r>
    </w:p>
    <w:p w14:paraId="51EA714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2．不动产与登记动产的返还原物请求权（民196）</w:t>
      </w:r>
    </w:p>
    <w:p w14:paraId="1C4363D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【注意】未登记动产的返还原物请求权适用诉讼时效</w:t>
      </w:r>
    </w:p>
    <w:p w14:paraId="7C28C33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3．抚养费、赡养费与扶养费请求权（民196）</w:t>
      </w:r>
    </w:p>
    <w:p w14:paraId="74928C2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4．侵害人格权的受害人停止侵害、排除妨碍、消除危险、消除影响、恢复名誉、赔礼道歉请求权（民995）</w:t>
      </w:r>
    </w:p>
    <w:p w14:paraId="5CB409A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5．存款本金及利息债权（诉讼时效规定1）</w:t>
      </w:r>
    </w:p>
    <w:p w14:paraId="05B5F69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6．国债、金融债券、向不特定对象发行的企业债券本息债权（诉讼时效规定1）</w:t>
      </w:r>
    </w:p>
    <w:p w14:paraId="7A940BD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7．基于投资关系产生的缴付出资债权（诉讼时效规定1）</w:t>
      </w:r>
    </w:p>
    <w:p w14:paraId="61A21CB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8．请求业主缴纳专项维修资金的债权（最高法院指导性案例第65号）</w:t>
      </w:r>
    </w:p>
    <w:p w14:paraId="316D698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三、诉讼时效的长度：3年，最长期限为20年</w:t>
      </w:r>
    </w:p>
    <w:p w14:paraId="5D6B248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四、诉讼时效的起算：本质上就是看权利是否可以开始行使</w:t>
      </w:r>
    </w:p>
    <w:p w14:paraId="3AF7157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（一）一般起算点</w:t>
      </w:r>
    </w:p>
    <w:p w14:paraId="26B9D70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权利人知道或者应当知道权利受到损害以及义务人之日（民188）</w:t>
      </w:r>
    </w:p>
    <w:p w14:paraId="223DBF4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（二）特殊起算点</w:t>
      </w:r>
    </w:p>
    <w:p w14:paraId="00CDA9C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1．无民事行为能力人或限制民事行为能力人的权利受到损害：其法定代理人知道或应当知道权利受到损害以及义务人之日（民法典总则编解释36）</w:t>
      </w:r>
    </w:p>
    <w:p w14:paraId="49087DF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2．同一债务分期履行：最后一期履行期限届满之日（民189）</w:t>
      </w:r>
    </w:p>
    <w:p w14:paraId="1F46C65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【注意】租金不属于同一债务分期履行</w:t>
      </w:r>
    </w:p>
    <w:p w14:paraId="242ED20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3．无民事行为能力人或限制民事行为能力人对其法定代理人的请求权：法定代理终止之日（民190）</w:t>
      </w:r>
    </w:p>
    <w:p w14:paraId="49503F5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【注意】法定代理终止不等于成年，因为可能更换监护人。</w:t>
      </w:r>
    </w:p>
    <w:p w14:paraId="3FED83D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4．未成年人遭受性侵害的损害赔偿请求权：受害人年满18周岁之日（民191）</w:t>
      </w:r>
    </w:p>
    <w:p w14:paraId="42776E0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五、诉讼时效的中止：本质是权利行使遇到客观障碍</w:t>
      </w:r>
    </w:p>
    <w:p w14:paraId="44353CB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1．不可抗力，如因自然灾害引起交通、通讯中断</w:t>
      </w:r>
    </w:p>
    <w:p w14:paraId="45CC8D9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2．权利被侵害的无民事行为能力人、限制民事行为能力人没有法定代理人，或者法定代理人死亡、丧失代理权、丧失行为能力</w:t>
      </w:r>
    </w:p>
    <w:p w14:paraId="19A36EE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3．继承开始后未确定继承人或者遗产管理人</w:t>
      </w:r>
    </w:p>
    <w:p w14:paraId="5757D96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4．权利人被义务人或者其他人控制而无法主张权利</w:t>
      </w:r>
    </w:p>
    <w:p w14:paraId="22B749F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5．其他导致权利人不能行使请求权的障碍，如权利人因患传染病被隔离</w:t>
      </w:r>
    </w:p>
    <w:p w14:paraId="40296C0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【注意】债务人失踪并非中止事由</w:t>
      </w:r>
    </w:p>
    <w:p w14:paraId="5D13B78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六、诉讼时效的中断：本质是权利人没有躺在权利上睡觉，而是积极行使了权利</w:t>
      </w:r>
    </w:p>
    <w:p w14:paraId="1B03159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（一）事由</w:t>
      </w:r>
    </w:p>
    <w:p w14:paraId="5FC04F4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1．权利人向义务人提出履行请求</w:t>
      </w:r>
    </w:p>
    <w:p w14:paraId="1EFD759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2．义务人同意履行</w:t>
      </w:r>
    </w:p>
    <w:p w14:paraId="01515F8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3．权利人提起诉讼或者申请仲裁</w:t>
      </w:r>
    </w:p>
    <w:p w14:paraId="370E2E9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4．与提起诉讼或者申请仲裁具有同等效力的其他情形</w:t>
      </w:r>
    </w:p>
    <w:p w14:paraId="335753E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5．其他事由：债权转让的，应当认定诉讼时效从债权转让通知到达债务人之日起中断。债务承担情形下，构成原债务人对债务承认的，应当认定诉讼时效从债务承担意思表示到达债权人之日起中断。</w:t>
      </w:r>
    </w:p>
    <w:p w14:paraId="5E1FC52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（二）法律后果</w:t>
      </w:r>
    </w:p>
    <w:p w14:paraId="187BB3F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1．已经经过的诉讼时效归于无效，诉讼时效期间重新起算。需要注意：诉讼时效的中断并无次数限制，理论上可以反复无限次中断。</w:t>
      </w:r>
    </w:p>
    <w:p w14:paraId="47E8C6E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对于连带债权人中的一人发生诉讼时效中断效力的事由，应当认定对其他连带债权人也发生诉讼时效中断的效力。对于连带债务人中的一人发生诉讼时效中断效力的事由，应当认定对其他连带债务人也发生诉讼时效中断的效力。</w:t>
      </w:r>
    </w:p>
    <w:p w14:paraId="561014C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七、诉讼时效届满的效力</w:t>
      </w:r>
    </w:p>
    <w:p w14:paraId="505A24C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（一）义务人可以主张诉讼时效届满的抗辩权</w:t>
      </w:r>
    </w:p>
    <w:p w14:paraId="1B34398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（二）时效届满的抗辩权是否主张，由当事人自行决定，法院不得依职权主动地适用诉讼时效</w:t>
      </w:r>
    </w:p>
    <w:p w14:paraId="12066EF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（三）诉讼时效期间届满后，如果义务人履行了债务，履行的部分不构成不当得利，不得请求返还；如果义务人作出了同意履行的表示，应解释为放弃诉讼时效抗辩权，此后不得再主张诉讼时效届满的抗辩权</w:t>
      </w:r>
    </w:p>
    <w:p w14:paraId="5357D63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1EA91B8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【考点7:物权变动】</w:t>
      </w:r>
    </w:p>
    <w:p w14:paraId="3C4B053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、不动产登记</w:t>
      </w:r>
    </w:p>
    <w:p w14:paraId="4B45507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（一）登记的原则和例外</w:t>
      </w:r>
    </w:p>
    <w:p w14:paraId="68DE0B1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原则上不动产物权的变动都需要登记，但是有以下例外：（1）土地承包经营权自土地承包经营权合同生效时设立，登记不是土地承包经营权设立的要件；（2）土地承包经营权设立后的转让和互换，自合同生效时移转，未登记不得对抗善意第三人；（3）宅基地使用权的物权变动不以登记为其要件；（4）地役权自地役权合同生效时设立，未登记不得对抗善意第三人，而非生效要件。</w:t>
      </w:r>
    </w:p>
    <w:p w14:paraId="3053B27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（二）更正登记</w:t>
      </w:r>
    </w:p>
    <w:p w14:paraId="5B56EAD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1.权利人发现登记簿记载错误，并在申请更正登记时提供证据加以证明的，不动产登记机构应予以更正；</w:t>
      </w:r>
    </w:p>
    <w:p w14:paraId="59529A0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2.如系登记簿记载的权利人以外的利害关系人（例如主张自己才是不动产真正的所有权人之人）提出更正登记，则只有在不动产登记簿记载的权利人书面同意之时，登记机构才能予以更正。</w:t>
      </w:r>
    </w:p>
    <w:p w14:paraId="4E24FAC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（三）异议登记</w:t>
      </w:r>
    </w:p>
    <w:p w14:paraId="1A7ADD6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异议登记将使记载于登记簿上的物权失去公信力，从而使第三人无从主张根据登记的公信力善意取得不动产物权。</w:t>
      </w:r>
    </w:p>
    <w:p w14:paraId="3B943A6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异议登记是一种临时性保护措施。登记机构在进行异议登记之后，申请人应在异议登记之日起15日内向人民法院提起诉讼，要求确认自己在不动产上的物权。逾期不起诉的，异议登记失去效力。</w:t>
      </w:r>
    </w:p>
    <w:p w14:paraId="085F34F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（四）预告登记</w:t>
      </w:r>
    </w:p>
    <w:p w14:paraId="2FD9A4A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1.一般的预告登记：在进行预告登记后，未经登记权利人的同意，房屋出卖人不得另行处分该房屋；实施处分行为的，该处分不发生物权的效力。但是，处分不动产的合同效力不受影响。</w:t>
      </w:r>
    </w:p>
    <w:p w14:paraId="5DA0588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【注意】预告登记后，债权消灭或者自能够进行不动产登记之日起三个月内未申请登记的，预告登记失效。例如，在期房买卖中，房子建好后三个月内如果不办理本登记，则预告登记失效。</w:t>
      </w:r>
    </w:p>
    <w:p w14:paraId="305A855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2.抵押预告登记</w:t>
      </w:r>
    </w:p>
    <w:p w14:paraId="3D5A5F8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民法典担保制度解释》第52条：当事人办理抵押预告登记后，预告登记权利人请求就抵押财产优先受偿，经审查存在尚未办理建筑物所有权首次登记、预告登记的财产与办理建筑物所有权首次登记时的财产不一致、抵押预告登记已经失效等情形，导致不具备办理抵押登记条件的，人民法院不予支持；经审查已经办理建筑物所有权首次登记，且不存在预告登记失效等情形的，人民法院应予支持，并应当认定抵押权自预告登记之日起设立。</w:t>
      </w:r>
    </w:p>
    <w:p w14:paraId="2F351E2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当事人办理了抵押预告登记，抵押人破产，经审查抵押财产属于破产财产，预告登记权利人主张就抵押财产优先受偿的，人民法院应当在受理破产申请时抵押财产的价值范围内予以支持，但是在人民法院受理破产申请前一年内，债务人对没有财产担保的债务设立抵押预告登记的除外。</w:t>
      </w:r>
    </w:p>
    <w:p w14:paraId="183F280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、动产交付</w:t>
      </w:r>
    </w:p>
    <w:p w14:paraId="4D99FB2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所谓“动产物权的设立和转让”，包括两种具体情形：（1）动产所有权转移，即普通动产依法律行为而转移所有权的，自出让人交付动产于受让人时发生移转效果；（2）质权设立（《民法典》第429条），即通过质权合同创立质权的，该质权自出质人交付质物于质权人时发生效力。</w:t>
      </w:r>
    </w:p>
    <w:p w14:paraId="52F5890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（一）交付的方式：包括现实交付、简易交付、指示交付和占有改定（后三种统称为观念交付，需要重点掌握）</w:t>
      </w:r>
    </w:p>
    <w:p w14:paraId="3EA4068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1.简易交付：在当事人实施动产物权变动行为之前，权利的受让人已经由于某种原因占有了该动产，此时，实际交付当然就不再需要。</w:t>
      </w:r>
    </w:p>
    <w:p w14:paraId="495B429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2.指示交付：从占有的角度，指示交付意味着出让人将自己的间接占有移转给受让人。</w:t>
      </w:r>
    </w:p>
    <w:p w14:paraId="5CB2E34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3.占有改定：在占有改定中，物权变动的时点是占有媒介关系生效时。</w:t>
      </w:r>
    </w:p>
    <w:p w14:paraId="1BDC8DE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【注意】善意取得和质权设定不能通过占有改定进行。</w:t>
      </w:r>
    </w:p>
    <w:p w14:paraId="3036275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（二）特殊动产（机动车、船舶、航空器）</w:t>
      </w:r>
    </w:p>
    <w:p w14:paraId="762F580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特殊动产的物权变动规则可归结为“交付变动、登记对抗”。</w:t>
      </w:r>
    </w:p>
    <w:p w14:paraId="019C3ED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、非基于法律行为的物权变动</w:t>
      </w:r>
    </w:p>
    <w:p w14:paraId="1E327F4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（一）依裁判文书等发生物权变动</w:t>
      </w:r>
    </w:p>
    <w:p w14:paraId="53083A5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具体包括以下两类：（1）法院、仲裁机构作出的改变原有物权关系的判决书、裁决书、调解书，即形成性法律</w:t>
      </w:r>
      <w:bookmarkStart w:id="0" w:name="_GoBack"/>
      <w:bookmarkEnd w:id="0"/>
      <w:r>
        <w:rPr>
          <w:rFonts w:hint="default" w:ascii="Times New Roman Regular" w:hAnsi="Times New Roman Regular" w:cs="Times New Roman Regular"/>
          <w:sz w:val="18"/>
          <w:szCs w:val="18"/>
          <w:u w:val="none"/>
          <w:lang w:val="en-US" w:eastAsia="zh-CN"/>
        </w:rPr>
        <w:t>文书。形成性法律文书对应民法上的形成诉权；（2）法院在执行程序中作出的拍卖成交裁定书、变卖成交裁定书、以物抵债裁定书。</w:t>
      </w:r>
    </w:p>
    <w:p w14:paraId="717CBED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（二）因继承发生物权变动</w:t>
      </w:r>
    </w:p>
    <w:p w14:paraId="77BD698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在因继承引起物权变动的情形，无论是法定继承还是遗嘱继承，物权变动的效果均自继承开始之时（即被继承人死亡之时）发生。被继承人死亡时，其主体资格消灭从而也就丧失了其生前所享有的物权，此时，应在这一时点上确认继承人取得物权，否则将会产生财产无主的问题。</w:t>
      </w:r>
    </w:p>
    <w:p w14:paraId="4296A2E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（三）因事实行为发生物权变动</w:t>
      </w:r>
    </w:p>
    <w:p w14:paraId="1F86801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合法建造、拆除行为属于事实行为，不要求行为人具有民事行为能力，自事实行为成就时就发生物权变动的效力。《民法典》230条使用了“合法建造”这一措辞，这意味着，只有合法建筑才能取得所有权。对于违法建筑，需要注意：（1）违法建筑指未取得建设工程规划许可证或者未按照建设工程规划许可证的规定建设的建筑物；（2）违法建筑的买卖、租赁或抵押，相应的买卖合同、租赁合同与抵押合同都是无效的。</w:t>
      </w:r>
    </w:p>
    <w:p w14:paraId="12E6510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（四）后续登记的问题（也叫宣示登记）</w:t>
      </w:r>
    </w:p>
    <w:p w14:paraId="11BE5FE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尽管取得不动产物权的时候不需要登记，但如果要进一步处分不动产物权，依照法律规定需要办理登记的，未经登记，不发生物权效力。</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汉仪书宋二简">
    <w:altName w:val="华文宋体"/>
    <w:panose1 w:val="02010600000101010101"/>
    <w:charset w:val="86"/>
    <w:family w:val="modern"/>
    <w:pitch w:val="default"/>
    <w:sig w:usb0="00000000" w:usb1="00000000" w:usb2="00000002" w:usb3="00000000" w:csb0="00040000" w:csb1="00000000"/>
  </w:font>
  <w:font w:name="华文宋体">
    <w:panose1 w:val="02010600040101010101"/>
    <w:charset w:val="86"/>
    <w:family w:val="auto"/>
    <w:pitch w:val="default"/>
    <w:sig w:usb0="80000287" w:usb1="280F3C52" w:usb2="00000016" w:usb3="00000000" w:csb0="0004001F" w:csb1="00000000"/>
  </w:font>
  <w:font w:name="Times New Roman Regular">
    <w:panose1 w:val="02020503050405090304"/>
    <w:charset w:val="00"/>
    <w:family w:val="auto"/>
    <w:pitch w:val="default"/>
    <w:sig w:usb0="E0000AFF" w:usb1="00007843" w:usb2="00000001" w:usb3="00000000" w:csb0="400001BF" w:csb1="DFF7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CFBDAEF9"/>
    <w:rsid w:val="09FF37FE"/>
    <w:rsid w:val="0D9A55A2"/>
    <w:rsid w:val="13EF1752"/>
    <w:rsid w:val="16EFD392"/>
    <w:rsid w:val="177DA370"/>
    <w:rsid w:val="17DFFA75"/>
    <w:rsid w:val="18BFC09B"/>
    <w:rsid w:val="1BC8E4F3"/>
    <w:rsid w:val="1BEF9C01"/>
    <w:rsid w:val="1BFB8A79"/>
    <w:rsid w:val="1FFDE82A"/>
    <w:rsid w:val="1FFE3DC8"/>
    <w:rsid w:val="25E4E361"/>
    <w:rsid w:val="2FF57ABD"/>
    <w:rsid w:val="37F9300F"/>
    <w:rsid w:val="39CD9E08"/>
    <w:rsid w:val="3AA211B0"/>
    <w:rsid w:val="3D680BC6"/>
    <w:rsid w:val="3DDD8785"/>
    <w:rsid w:val="3EFF2196"/>
    <w:rsid w:val="3EFFCDE3"/>
    <w:rsid w:val="3F7D6D90"/>
    <w:rsid w:val="3FDF38B5"/>
    <w:rsid w:val="3FF373A0"/>
    <w:rsid w:val="4D7AF3B1"/>
    <w:rsid w:val="4EFF6AA8"/>
    <w:rsid w:val="4F7E5D39"/>
    <w:rsid w:val="4FAD7741"/>
    <w:rsid w:val="4FEF7A7F"/>
    <w:rsid w:val="4FF62111"/>
    <w:rsid w:val="577DF98B"/>
    <w:rsid w:val="57FDC1B1"/>
    <w:rsid w:val="5BB7B3D0"/>
    <w:rsid w:val="5BF630B3"/>
    <w:rsid w:val="5D1E5E35"/>
    <w:rsid w:val="5D2F548A"/>
    <w:rsid w:val="5D9CC53C"/>
    <w:rsid w:val="5DBFD756"/>
    <w:rsid w:val="5DDF2929"/>
    <w:rsid w:val="5EF589B3"/>
    <w:rsid w:val="5F2FB4C6"/>
    <w:rsid w:val="5F67BE34"/>
    <w:rsid w:val="5F9FED60"/>
    <w:rsid w:val="5FDFC522"/>
    <w:rsid w:val="63F79634"/>
    <w:rsid w:val="676B1FCF"/>
    <w:rsid w:val="67F71FFA"/>
    <w:rsid w:val="6BBF548D"/>
    <w:rsid w:val="6BEE3C17"/>
    <w:rsid w:val="6CFC5835"/>
    <w:rsid w:val="6DD90F6A"/>
    <w:rsid w:val="6EBFFE06"/>
    <w:rsid w:val="6EDC6954"/>
    <w:rsid w:val="6F7FD66B"/>
    <w:rsid w:val="6FC75035"/>
    <w:rsid w:val="6FE9DFA5"/>
    <w:rsid w:val="6FF6B73E"/>
    <w:rsid w:val="6FF7B5C8"/>
    <w:rsid w:val="6FF7C38D"/>
    <w:rsid w:val="72B16660"/>
    <w:rsid w:val="72FEDFAF"/>
    <w:rsid w:val="74EF0DAF"/>
    <w:rsid w:val="75FFDC8C"/>
    <w:rsid w:val="76576194"/>
    <w:rsid w:val="78FF9F1C"/>
    <w:rsid w:val="795BB6EC"/>
    <w:rsid w:val="79B72732"/>
    <w:rsid w:val="7A8FECFA"/>
    <w:rsid w:val="7B6D3C00"/>
    <w:rsid w:val="7B77E946"/>
    <w:rsid w:val="7BAF28C8"/>
    <w:rsid w:val="7BFFD2F7"/>
    <w:rsid w:val="7C7DDD51"/>
    <w:rsid w:val="7C9D61C3"/>
    <w:rsid w:val="7D473A11"/>
    <w:rsid w:val="7D7FD33D"/>
    <w:rsid w:val="7DBDD90E"/>
    <w:rsid w:val="7DBFEFAD"/>
    <w:rsid w:val="7DE7821D"/>
    <w:rsid w:val="7DF9200D"/>
    <w:rsid w:val="7E3F6002"/>
    <w:rsid w:val="7EED7FF8"/>
    <w:rsid w:val="7EFFC158"/>
    <w:rsid w:val="7F3B9F4C"/>
    <w:rsid w:val="7F3C3286"/>
    <w:rsid w:val="7F695405"/>
    <w:rsid w:val="7F6B748A"/>
    <w:rsid w:val="7FB49696"/>
    <w:rsid w:val="7FB797CE"/>
    <w:rsid w:val="7FBF0F91"/>
    <w:rsid w:val="7FE6F2CC"/>
    <w:rsid w:val="7FE7235C"/>
    <w:rsid w:val="7FFCE884"/>
    <w:rsid w:val="8ABEE47C"/>
    <w:rsid w:val="A3C7B59A"/>
    <w:rsid w:val="AEAF67DC"/>
    <w:rsid w:val="AECFAD74"/>
    <w:rsid w:val="AED07A5A"/>
    <w:rsid w:val="AEFFF231"/>
    <w:rsid w:val="AF7349BF"/>
    <w:rsid w:val="AFFF1BA4"/>
    <w:rsid w:val="B1FDE468"/>
    <w:rsid w:val="B3FEA9EF"/>
    <w:rsid w:val="B7FEF551"/>
    <w:rsid w:val="B9FFBA7D"/>
    <w:rsid w:val="BBBF8B80"/>
    <w:rsid w:val="BBD68691"/>
    <w:rsid w:val="BFD7C2A8"/>
    <w:rsid w:val="BFDF45C5"/>
    <w:rsid w:val="BFDF5E9D"/>
    <w:rsid w:val="BFFFC478"/>
    <w:rsid w:val="C2FF7057"/>
    <w:rsid w:val="CBDA46FA"/>
    <w:rsid w:val="CDF9AD73"/>
    <w:rsid w:val="CEAF22DB"/>
    <w:rsid w:val="CFABA3EB"/>
    <w:rsid w:val="CFBDAEF9"/>
    <w:rsid w:val="CFFF1593"/>
    <w:rsid w:val="D7F8DDAE"/>
    <w:rsid w:val="D99D7B6E"/>
    <w:rsid w:val="DBF64670"/>
    <w:rsid w:val="DE5EFF5E"/>
    <w:rsid w:val="DFCCB69C"/>
    <w:rsid w:val="DFDD6831"/>
    <w:rsid w:val="E5718167"/>
    <w:rsid w:val="E59B90E9"/>
    <w:rsid w:val="E5AB3AAB"/>
    <w:rsid w:val="E5DD9418"/>
    <w:rsid w:val="E787CCF8"/>
    <w:rsid w:val="E7BFCB01"/>
    <w:rsid w:val="EA3CD53D"/>
    <w:rsid w:val="EB6E8309"/>
    <w:rsid w:val="EBD730EB"/>
    <w:rsid w:val="EC2D9E1A"/>
    <w:rsid w:val="EECA7655"/>
    <w:rsid w:val="EF06E542"/>
    <w:rsid w:val="EF3B5A75"/>
    <w:rsid w:val="EF73E6F1"/>
    <w:rsid w:val="EF7FB042"/>
    <w:rsid w:val="EFB7ADF2"/>
    <w:rsid w:val="EFCFFD3A"/>
    <w:rsid w:val="EFDF470A"/>
    <w:rsid w:val="EFDFF3E6"/>
    <w:rsid w:val="EFE712E6"/>
    <w:rsid w:val="EFF7C6A6"/>
    <w:rsid w:val="EFF7EEAE"/>
    <w:rsid w:val="F0D7EC59"/>
    <w:rsid w:val="F0DE3C2E"/>
    <w:rsid w:val="F1B927A4"/>
    <w:rsid w:val="F3FBF516"/>
    <w:rsid w:val="F3FF92B4"/>
    <w:rsid w:val="F54E1163"/>
    <w:rsid w:val="F56E2A6E"/>
    <w:rsid w:val="F5EEDA60"/>
    <w:rsid w:val="F5EFB180"/>
    <w:rsid w:val="F6CFF3E3"/>
    <w:rsid w:val="F6DFFC0C"/>
    <w:rsid w:val="F735CF42"/>
    <w:rsid w:val="F73F225B"/>
    <w:rsid w:val="F9FE70C6"/>
    <w:rsid w:val="FABE4737"/>
    <w:rsid w:val="FB3760F9"/>
    <w:rsid w:val="FBDF91EB"/>
    <w:rsid w:val="FBFF7EF4"/>
    <w:rsid w:val="FCEF4E65"/>
    <w:rsid w:val="FD375179"/>
    <w:rsid w:val="FD6C9E97"/>
    <w:rsid w:val="FD6EB3EE"/>
    <w:rsid w:val="FDBDD900"/>
    <w:rsid w:val="FDF59568"/>
    <w:rsid w:val="FE7F0F70"/>
    <w:rsid w:val="FEA64923"/>
    <w:rsid w:val="FED769C8"/>
    <w:rsid w:val="FEEF9E93"/>
    <w:rsid w:val="FF3362C6"/>
    <w:rsid w:val="FF6F6FFE"/>
    <w:rsid w:val="FF7BF13D"/>
    <w:rsid w:val="FF943FE1"/>
    <w:rsid w:val="FF9F8E8F"/>
    <w:rsid w:val="FFBEC6FF"/>
    <w:rsid w:val="FFEB886A"/>
    <w:rsid w:val="FFEFF665"/>
    <w:rsid w:val="FFF72BE1"/>
    <w:rsid w:val="FFFBE5A1"/>
    <w:rsid w:val="FFFF283E"/>
    <w:rsid w:val="FFFF3C31"/>
    <w:rsid w:val="FFFF8129"/>
    <w:rsid w:val="FFFF91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unhideWhenUsed/>
    <w:qFormat/>
    <w:uiPriority w:val="99"/>
    <w:pPr>
      <w:widowControl/>
      <w:spacing w:before="100" w:beforeAutospacing="1" w:after="100" w:afterAutospacing="1" w:line="384" w:lineRule="exact"/>
      <w:ind w:firstLine="721" w:firstLineChars="200"/>
      <w:jc w:val="left"/>
    </w:pPr>
    <w:rPr>
      <w:rFonts w:ascii="宋体" w:hAnsi="宋体" w:eastAsia="汉仪书宋二简" w:cs="宋体"/>
      <w:color w:val="auto"/>
      <w:kern w:val="0"/>
      <w:sz w:val="24"/>
      <w:szCs w:val="24"/>
      <w:lang w:val="en-US" w:eastAsia="zh-CN" w:bidi="ar-SA"/>
    </w:rPr>
  </w:style>
  <w:style w:type="table" w:styleId="4">
    <w:name w:val="Table Gri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9</TotalTime>
  <ScaleCrop>false</ScaleCrop>
  <LinksUpToDate>false</LinksUpToDate>
  <CharactersWithSpaces>0</CharactersWithSpaces>
  <Application>WPS Office_12.1.25895.25895_F1E327BC-269C-435d-A152-05C5408002CA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2026-02-08T08:22:00Z</dcterms:created>
  <dc:creator>Arthur (Xiao) Dong</dc:creator>
  <cp:lastModifiedBy>Arthur (Xiao) Dong</cp:lastModifiedBy>
  <dcterms:modified xsi:type="dcterms:W3CDTF">2026-06-21T11:50:57Z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2052-12.1.25895.25895</vt:lpwstr>
  </property>
  <property fmtid="{D5CDD505-2E9C-101B-9397-08002B2CF9AE}" pid="3" name="ICV">
    <vt:lpwstr>3A31E5C62E8666FD53247769E1688135_41</vt:lpwstr>
  </property>
</Properties>
</file>