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B4C7D75">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default"/>
          <w:sz w:val="22"/>
          <w:szCs w:val="22"/>
          <w:lang w:val="en-US" w:eastAsia="zh-CN"/>
        </w:rPr>
      </w:pPr>
      <w:r>
        <w:rPr>
          <w:rFonts w:hint="eastAsia"/>
          <w:b/>
          <w:bCs/>
          <w:sz w:val="22"/>
          <w:szCs w:val="22"/>
          <w:lang w:val="en-US" w:eastAsia="zh-CN"/>
        </w:rPr>
        <w:t>民诉客观精华突破第三讲课堂笔记（考点33-47）</w:t>
      </w:r>
    </w:p>
    <w:p w14:paraId="4904F4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lang w:val="en-US" w:eastAsia="zh-CN"/>
        </w:rPr>
      </w:pPr>
      <w:r>
        <w:rPr>
          <w:rFonts w:hint="eastAsia" w:ascii="Times New Roman Regular" w:hAnsi="Times New Roman Regular" w:cs="Times New Roman Regular"/>
          <w:b/>
          <w:bCs/>
          <w:sz w:val="18"/>
          <w:szCs w:val="18"/>
          <w:lang w:val="en-US" w:eastAsia="zh-CN"/>
        </w:rPr>
        <w:t>【考点33:民事公益诉讼】</w:t>
      </w:r>
    </w:p>
    <w:p w14:paraId="50B2B6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一、普通民事公益诉讼的程序设置</w:t>
      </w:r>
    </w:p>
    <w:p w14:paraId="642A93A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（一）案件类型及起诉主体</w:t>
      </w:r>
    </w:p>
    <w:p w14:paraId="398CC0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环境公益诉讼</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依法在设区的市级以上人民政府民政部门登记、专门从事环境保护公益活动连续五年以上且无违法记录的社会组织</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前述社会组织未起诉，检察院可以提起公益诉讼；上述社会组织已起诉，检察院可以支持起诉</w:t>
      </w:r>
    </w:p>
    <w:p w14:paraId="00AEE7E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消费者公益诉讼</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中国消费者协会以及在省、自治区、直辖市设立的消费者协会</w:t>
      </w:r>
      <w:r>
        <w:rPr>
          <w:rFonts w:hint="eastAsia" w:ascii="Times New Roman Regular" w:hAnsi="Times New Roman Regular" w:cs="Times New Roman Regular"/>
          <w:sz w:val="18"/>
          <w:szCs w:val="18"/>
          <w:u w:val="none"/>
          <w:lang w:val="en-US" w:eastAsia="zh-CN"/>
        </w:rPr>
        <w:t>。</w:t>
      </w:r>
    </w:p>
    <w:p w14:paraId="13C3459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（二）起诉和受理条件</w:t>
      </w:r>
    </w:p>
    <w:p w14:paraId="29F4D7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1．法院受理民事公益诉讼，应当公告案件受理情况；</w:t>
      </w:r>
    </w:p>
    <w:p w14:paraId="61EFB59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2．环境民事公益诉讼案件，中级法院可以报请高级法院批准，裁定将其管辖的案件交由基层法院审理。（检察民事公益诉讼除外）</w:t>
      </w:r>
    </w:p>
    <w:p w14:paraId="2D0741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（三）审理程序</w:t>
      </w:r>
    </w:p>
    <w:p w14:paraId="2A7810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1．法院应将其他有权提起公益诉讼的机关和组织列为共同原告，而非合并审理。</w:t>
      </w:r>
    </w:p>
    <w:p w14:paraId="5DB258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2．形成和解或调解协议后，法院应当先公告，再审查。公告期30日</w:t>
      </w:r>
      <w:r>
        <w:rPr>
          <w:rFonts w:hint="eastAsia" w:ascii="Times New Roman Regular" w:hAnsi="Times New Roman Regular" w:cs="Times New Roman Regular"/>
          <w:sz w:val="18"/>
          <w:szCs w:val="18"/>
          <w:u w:val="none"/>
          <w:lang w:val="en-US" w:eastAsia="zh-CN"/>
        </w:rPr>
        <w:t>以上</w:t>
      </w:r>
      <w:r>
        <w:rPr>
          <w:rFonts w:hint="default" w:ascii="Times New Roman Regular" w:hAnsi="Times New Roman Regular" w:cs="Times New Roman Regular"/>
          <w:sz w:val="18"/>
          <w:szCs w:val="18"/>
          <w:u w:val="none"/>
          <w:lang w:val="en-US" w:eastAsia="zh-CN"/>
        </w:rPr>
        <w:t>。</w:t>
      </w:r>
    </w:p>
    <w:p w14:paraId="7C1C8E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3．原告应在法庭辩论终结前申请撤诉（普通民事诉讼则是判决宣告前）。</w:t>
      </w:r>
    </w:p>
    <w:p w14:paraId="31A1E8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4．不允许被告反诉。</w:t>
      </w:r>
    </w:p>
    <w:p w14:paraId="681772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（四）裁判效力</w:t>
      </w:r>
    </w:p>
    <w:p w14:paraId="366450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1．公益诉讼案件的裁判发生法律效力后，不能另行提起公益诉讼。</w:t>
      </w:r>
    </w:p>
    <w:p w14:paraId="5DDB6C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2．民事公益诉讼案件不影响提起普通民事诉讼。</w:t>
      </w:r>
    </w:p>
    <w:p w14:paraId="6C4DFE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3．法院可以向原告释明变更或者增加停止侵害等诉讼请求。</w:t>
      </w:r>
    </w:p>
    <w:p w14:paraId="06C40F4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二、民事检察公益诉讼的程序设置</w:t>
      </w:r>
    </w:p>
    <w:p w14:paraId="6F6F19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）诉前公告</w:t>
      </w:r>
    </w:p>
    <w:p w14:paraId="73F65CE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1．检察院拟提起公益诉讼应当依法公告，公告期为30日；</w:t>
      </w:r>
    </w:p>
    <w:p w14:paraId="6852E7C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2．检察院办理侵害英雄烈士等的姓名、肖像、名誉、荣誉的民事公益诉讼案件，可以直接征询英雄烈士等的近亲属的意见。（无须公告）</w:t>
      </w:r>
    </w:p>
    <w:p w14:paraId="36CECD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w:t>
      </w: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）当事人地位</w:t>
      </w:r>
    </w:p>
    <w:p w14:paraId="480C01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检察机关在公益诉讼中一审的诉讼地位是公益诉讼起诉人，而非原告；检察院在二审中的地位为上诉人，而非抗诉人。</w:t>
      </w:r>
    </w:p>
    <w:p w14:paraId="176575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w:t>
      </w:r>
      <w:r>
        <w:rPr>
          <w:rFonts w:hint="eastAsia" w:ascii="Times New Roman Regular" w:hAnsi="Times New Roman Regular" w:cs="Times New Roman Regular"/>
          <w:sz w:val="18"/>
          <w:szCs w:val="18"/>
          <w:u w:val="none"/>
          <w:lang w:val="en-US" w:eastAsia="zh-CN"/>
        </w:rPr>
        <w:t>三</w:t>
      </w:r>
      <w:r>
        <w:rPr>
          <w:rFonts w:hint="default" w:ascii="Times New Roman Regular" w:hAnsi="Times New Roman Regular" w:cs="Times New Roman Regular"/>
          <w:sz w:val="18"/>
          <w:szCs w:val="18"/>
          <w:u w:val="none"/>
          <w:lang w:val="en-US" w:eastAsia="zh-CN"/>
        </w:rPr>
        <w:t>）特殊程序规则</w:t>
      </w:r>
    </w:p>
    <w:p w14:paraId="4C53C5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1．检察院已履行诉前公告程序的，法院立案后不再进行公告。</w:t>
      </w:r>
    </w:p>
    <w:p w14:paraId="22ABB3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2．检察院提起的民事公益诉讼案件中，被告以反诉方式提出诉讼请求的，法院不予受理。</w:t>
      </w:r>
    </w:p>
    <w:p w14:paraId="523CC4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3．法院认为检察院提出的诉讼请求不足以保护社会公共利益的，可以向其释明变更或者增加停止侵害、恢复原状等诉讼请求。</w:t>
      </w:r>
    </w:p>
    <w:p w14:paraId="56F6E4D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4．民事公益诉讼案件审理过程中，检察院诉讼请求全部实现而撤回起诉的，法院应予准许。</w:t>
      </w:r>
    </w:p>
    <w:p w14:paraId="25466B8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3AB28D6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【考点34:第三人撤销之诉】</w:t>
      </w:r>
    </w:p>
    <w:p w14:paraId="214EA5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一、第三人撤销之诉的适用条件</w:t>
      </w:r>
    </w:p>
    <w:p w14:paraId="6D30ED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1．提起主体只能是有独立请求权第三人或者无独立请求权第三人；</w:t>
      </w:r>
    </w:p>
    <w:p w14:paraId="1F91BC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2．因不可归责于本人的事由未参加诉讼；</w:t>
      </w:r>
    </w:p>
    <w:p w14:paraId="268031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（1）不知道诉讼而未参加；</w:t>
      </w:r>
    </w:p>
    <w:p w14:paraId="7EAD8F2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（2）申请参加未获准许；</w:t>
      </w:r>
    </w:p>
    <w:p w14:paraId="173C84C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（3）知道诉讼，但因客观原因无法参加；</w:t>
      </w:r>
    </w:p>
    <w:p w14:paraId="44CC9A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（4）因其他不能归责于本人的事由未参加诉讼。</w:t>
      </w:r>
    </w:p>
    <w:p w14:paraId="334397C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3．发生法律效力的判决、裁定、调解书的结果全部或者部分内容错误；</w:t>
      </w:r>
    </w:p>
    <w:p w14:paraId="243A4E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4．发生法律效力的判决、裁定、调解书内容错误损害其民事权益；</w:t>
      </w:r>
    </w:p>
    <w:p w14:paraId="657E7A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5．自知道或者应当知道其民事权益受到损害之日起6个月内提出；</w:t>
      </w:r>
    </w:p>
    <w:p w14:paraId="647CC8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6．应当向作出生效判决、裁定、调解书的法院起诉。（属于专属管辖）</w:t>
      </w:r>
    </w:p>
    <w:p w14:paraId="204547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三、第三人撤销之诉的程序设置</w:t>
      </w:r>
    </w:p>
    <w:p w14:paraId="336B9A3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（一）当事人确定</w:t>
      </w:r>
    </w:p>
    <w:p w14:paraId="60F5EF0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原告</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提起撤销之诉的第三人</w:t>
      </w:r>
    </w:p>
    <w:p w14:paraId="0EEB12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被告</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生效判决、裁定、调解书的当事人</w:t>
      </w:r>
    </w:p>
    <w:p w14:paraId="058C58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第三人</w:t>
      </w:r>
      <w:r>
        <w:rPr>
          <w:rFonts w:hint="eastAsia" w:ascii="Times New Roman Regular" w:hAnsi="Times New Roman Regular" w:cs="Times New Roman Regular"/>
          <w:sz w:val="18"/>
          <w:szCs w:val="18"/>
          <w:u w:val="none"/>
          <w:lang w:val="en-US" w:eastAsia="zh-CN"/>
        </w:rPr>
        <w:t>：</w:t>
      </w:r>
      <w:r>
        <w:rPr>
          <w:rFonts w:hint="default" w:ascii="Times New Roman Regular" w:hAnsi="Times New Roman Regular" w:cs="Times New Roman Regular"/>
          <w:sz w:val="18"/>
          <w:szCs w:val="18"/>
          <w:u w:val="none"/>
          <w:lang w:val="en-US" w:eastAsia="zh-CN"/>
        </w:rPr>
        <w:t>生效判决、裁定、调解书中未承担责任的无独立请求权第三人</w:t>
      </w:r>
    </w:p>
    <w:p w14:paraId="6AF3024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（二）法院不受理第三人撤销之诉的情形</w:t>
      </w:r>
    </w:p>
    <w:p w14:paraId="7085BC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1．对非讼程序、公益诉讼、涉及身份关系的裁判，都不能提起三撤；</w:t>
      </w:r>
    </w:p>
    <w:p w14:paraId="30A045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2．对财产保全、管辖权异议、准许撤诉等程序性裁定不能提起三撤；</w:t>
      </w:r>
    </w:p>
    <w:p w14:paraId="3034FC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原案当事人系法人、非法人组织，其分支机构、出资人、股东、成员，由合伙负责人或者执行人实施诉讼的全体合伙人、著作权集体管理组织实施诉讼的著作权人、业主委员会基于业主大会的决定实施诉讼的业主等任意诉讼被担当人，均无权提起三撤。</w:t>
      </w:r>
    </w:p>
    <w:p w14:paraId="638BC8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（三）审理方式</w:t>
      </w:r>
    </w:p>
    <w:p w14:paraId="2838E7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法院对第三人撤销之诉案件，应当适用普通程序组成合议庭开庭审理。</w:t>
      </w:r>
    </w:p>
    <w:p w14:paraId="0C14F2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（四）裁判的作出</w:t>
      </w:r>
    </w:p>
    <w:p w14:paraId="1795F46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1．请求成立且确认其民事权利的主张全部或部分成立，改变原判决、裁定、调解书内容的错误部分；</w:t>
      </w:r>
    </w:p>
    <w:p w14:paraId="02E1FB0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2．请求成立，但确认其全部或部分民事权利的主张不成立，或者未提出确认其民事权利请求，撤销原判决、裁定、调解书内容的错误部分；</w:t>
      </w:r>
    </w:p>
    <w:p w14:paraId="1D7CEB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3．请求不成立的，驳回诉讼请求。</w:t>
      </w:r>
    </w:p>
    <w:p w14:paraId="53FD1A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对法院裁判结果不服，当事人可以上诉。</w:t>
      </w:r>
    </w:p>
    <w:p w14:paraId="35A2C7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（五）与执行程序的关系</w:t>
      </w:r>
    </w:p>
    <w:p w14:paraId="346A21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提起第三人撤销之诉，不影响执行。中止执行的方法：（1）原告向受诉法院提供相应担保；（2）向执行法院提出执行标的异议。</w:t>
      </w:r>
    </w:p>
    <w:p w14:paraId="377A23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2DD367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【考点35:特别程序】</w:t>
      </w:r>
    </w:p>
    <w:p w14:paraId="63835E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、指定遗产管理人案件</w:t>
      </w:r>
    </w:p>
    <w:p w14:paraId="72C9C18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1．利害关系人或者有关组织向法院提出书面申请。</w:t>
      </w:r>
    </w:p>
    <w:p w14:paraId="547A46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2．被继承人死亡时住所地或者主要遗产所在地基层法院管辖。</w:t>
      </w:r>
    </w:p>
    <w:p w14:paraId="5E8237B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3．应当以判决形式指定遗产管理人。</w:t>
      </w:r>
    </w:p>
    <w:p w14:paraId="6E4C37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4．法院可以根据利害关系人或者本人的申请另行指定遗产管理人。</w:t>
      </w:r>
    </w:p>
    <w:p w14:paraId="01E966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5．法院可以根据利害关系人的申请，撤销其遗产管理人资格，并依法指定新的遗产管理人。</w:t>
      </w:r>
    </w:p>
    <w:p w14:paraId="6CA288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r>
        <w:rPr>
          <w:rFonts w:hint="default" w:ascii="Times New Roman Regular" w:hAnsi="Times New Roman Regular" w:cs="Times New Roman Regular"/>
          <w:sz w:val="18"/>
          <w:szCs w:val="18"/>
          <w:u w:val="none"/>
          <w:lang w:val="en-US" w:eastAsia="zh-CN"/>
        </w:rPr>
        <w:t>、确认调解协议案件的审理</w:t>
      </w:r>
    </w:p>
    <w:p w14:paraId="158240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（一）申请条件</w:t>
      </w:r>
    </w:p>
    <w:p w14:paraId="5AF530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1．双方当事人提出申请。</w:t>
      </w:r>
    </w:p>
    <w:p w14:paraId="434E01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2．在法定期限内提出申请。自调解协议生效之日起30日内提出申请。</w:t>
      </w:r>
    </w:p>
    <w:p w14:paraId="69F0582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3．以书面或口头形式提出申请。</w:t>
      </w:r>
    </w:p>
    <w:p w14:paraId="74A11F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（二）管辖法院</w:t>
      </w:r>
    </w:p>
    <w:p w14:paraId="79EEB7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1．调解组织自行开展调解：向当事人住所地、标的物所在地、调解组织所在地的基层法院提出；调解协议所涉纠纷应当由中级法院管辖的，向相应的中级法院提出。</w:t>
      </w:r>
    </w:p>
    <w:p w14:paraId="542B86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2．法院邀请调解组织先行调解：向作出邀请的法院提出。</w:t>
      </w:r>
    </w:p>
    <w:p w14:paraId="03B672D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（三）审理与裁判</w:t>
      </w:r>
    </w:p>
    <w:p w14:paraId="2E85BDF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1．审判组织：审判员独任审理</w:t>
      </w:r>
    </w:p>
    <w:p w14:paraId="44B666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2．处理结果：</w:t>
      </w:r>
    </w:p>
    <w:p w14:paraId="7C6A9C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（1）作出确认调解协议有效的裁定（有强制执行效力）；</w:t>
      </w:r>
    </w:p>
    <w:p w14:paraId="132F0F1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（2）裁定驳回申请。</w:t>
      </w:r>
    </w:p>
    <w:p w14:paraId="2224C3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3．救济方式：当事人对裁定不服的，应当自收到裁定之日起15日内提出异议；利害关系人对裁定不服的，应当自知道或者应当知道权益受损之日起6个月内提出异议。</w:t>
      </w:r>
    </w:p>
    <w:p w14:paraId="46CEA4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w:t>
      </w:r>
      <w:r>
        <w:rPr>
          <w:rFonts w:hint="default" w:ascii="Times New Roman Regular" w:hAnsi="Times New Roman Regular" w:cs="Times New Roman Regular"/>
          <w:sz w:val="18"/>
          <w:szCs w:val="18"/>
          <w:u w:val="none"/>
          <w:lang w:val="en-US" w:eastAsia="zh-CN"/>
        </w:rPr>
        <w:t>、实现担保物权案件的审理</w:t>
      </w:r>
    </w:p>
    <w:p w14:paraId="3C154E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（一）申请条件</w:t>
      </w:r>
    </w:p>
    <w:p w14:paraId="4FF77E3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1．申请主体包括抵押权人、质权人、留置权人、抵押人、出质人、财产被留置的债务人或者所有权人。</w:t>
      </w:r>
    </w:p>
    <w:p w14:paraId="3A2D7A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2．向担保财产所在地或者担保物权登记地基层法院提出书面申请。</w:t>
      </w:r>
    </w:p>
    <w:p w14:paraId="69A2DC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（二）审判组织</w:t>
      </w:r>
    </w:p>
    <w:p w14:paraId="7A13D7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由审判员一人独任审查，但担保财产标的额超过基层法院管辖范围的，应当组成合议庭进行审查。</w:t>
      </w:r>
    </w:p>
    <w:p w14:paraId="45733B4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（三）处理方式</w:t>
      </w:r>
    </w:p>
    <w:p w14:paraId="2D58BA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1．当事人有实质性争议，裁定驳回申请，并告知申请人向法院起诉；</w:t>
      </w:r>
    </w:p>
    <w:p w14:paraId="2E01615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2．对于准许拍卖、变卖担保财产的裁定，当事人可以根据该裁定申请法院强制执行；</w:t>
      </w:r>
    </w:p>
    <w:p w14:paraId="6A9BAB6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3．当事人有异议，应当自收到裁定之日起15日内提出异议；利害关系人对裁定不服，自知道或者应当知道权益受损之日起6个月内提出异议。</w:t>
      </w:r>
    </w:p>
    <w:p w14:paraId="54C8DB9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4．仲裁排斥诉讼，但不排斥非讼程序。若有实质性争议，裁定终结实现担保物权程序，告知其申请仲裁。</w:t>
      </w:r>
    </w:p>
    <w:p w14:paraId="1774A8D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76CE099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【考点36:督促程序】</w:t>
      </w:r>
    </w:p>
    <w:p w14:paraId="3182E1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w:t>
      </w:r>
      <w:r>
        <w:rPr>
          <w:rFonts w:hint="default" w:ascii="Times New Roman Regular" w:hAnsi="Times New Roman Regular" w:cs="Times New Roman Regular"/>
          <w:sz w:val="18"/>
          <w:szCs w:val="18"/>
          <w:u w:val="none"/>
          <w:lang w:val="en-US" w:eastAsia="zh-CN"/>
        </w:rPr>
        <w:t>、支付令的申请、发出</w:t>
      </w:r>
    </w:p>
    <w:p w14:paraId="6DD06A2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（一）申请支付令的条件</w:t>
      </w:r>
    </w:p>
    <w:p w14:paraId="58278D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1．债权人请求债务人给付的标的必须是金钱和有价证券；</w:t>
      </w:r>
    </w:p>
    <w:p w14:paraId="3E3898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2．请求给付的金钱或有价证券已到期且数额确定；</w:t>
      </w:r>
    </w:p>
    <w:p w14:paraId="5790CD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3．债权人与债务人之间不存在对待给付义务；</w:t>
      </w:r>
    </w:p>
    <w:p w14:paraId="1FB4CC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4．债务人在我国境内且未下落不明，支付令能够送达债务人；</w:t>
      </w:r>
    </w:p>
    <w:p w14:paraId="4D5A2B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5．债权人未向法院申请诉前保全。</w:t>
      </w:r>
    </w:p>
    <w:p w14:paraId="7386775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（二）支付令的送达方式</w:t>
      </w:r>
    </w:p>
    <w:p w14:paraId="3B2AB6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支付令应向债务人本人直接送达，债务人拒绝接收，法院可以留置送达。</w:t>
      </w:r>
    </w:p>
    <w:p w14:paraId="1503147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（三）支付令送达的法律后果</w:t>
      </w:r>
    </w:p>
    <w:p w14:paraId="79E68A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1．债务人应当自收到支付令之日起15日内清偿债务，或者向法院提出书面异议；</w:t>
      </w:r>
    </w:p>
    <w:p w14:paraId="260A06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2．债务人在法定期间内既不提出异议又不履行支付令，债权人可以向法院申请强制执行。</w:t>
      </w:r>
    </w:p>
    <w:p w14:paraId="5E8BE0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（四）支付令效力的拘束对象</w:t>
      </w:r>
    </w:p>
    <w:p w14:paraId="09EF1F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对设有担保的债务的主债务人发出的支付令，对担保人没有拘束力。</w:t>
      </w:r>
    </w:p>
    <w:p w14:paraId="7B29F45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债权人就担保关系单独提起诉讼的，支付令自法院受理案件之日起失效。</w:t>
      </w:r>
    </w:p>
    <w:p w14:paraId="3F146C0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w:t>
      </w:r>
      <w:bookmarkStart w:id="0" w:name="_GoBack"/>
      <w:bookmarkEnd w:id="0"/>
      <w:r>
        <w:rPr>
          <w:rFonts w:hint="default" w:ascii="Times New Roman Regular" w:hAnsi="Times New Roman Regular" w:cs="Times New Roman Regular"/>
          <w:sz w:val="18"/>
          <w:szCs w:val="18"/>
          <w:u w:val="none"/>
          <w:lang w:val="en-US" w:eastAsia="zh-CN"/>
        </w:rPr>
        <w:t>、对支付令的异议</w:t>
      </w:r>
    </w:p>
    <w:p w14:paraId="6B4A0D8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（一）支付令异议的条件</w:t>
      </w:r>
    </w:p>
    <w:p w14:paraId="0C315A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1．债务人应在15日内提出异议的，自债务人收到支付令之日起计算；</w:t>
      </w:r>
    </w:p>
    <w:p w14:paraId="124F2B4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2．债务人必须以书面形式提出异议。</w:t>
      </w:r>
    </w:p>
    <w:p w14:paraId="3496523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法院对债务人在法定期间提出的书面异议，只进行形式审查，无须审查异议是否属实。</w:t>
      </w:r>
    </w:p>
    <w:p w14:paraId="317FD6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（二）债务人无效异议的情形</w:t>
      </w:r>
    </w:p>
    <w:p w14:paraId="5E8EF3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1．债务人对债务本身无异议，仅提出缺乏清偿能力、延缓债务清偿期限、变更债务清偿方式等，不影响支付令效力。</w:t>
      </w:r>
    </w:p>
    <w:p w14:paraId="46796D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2．债务人口头异议无效。</w:t>
      </w:r>
    </w:p>
    <w:p w14:paraId="200F46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3．债务人超过法定期间（15日）提出异议无效。</w:t>
      </w:r>
    </w:p>
    <w:p w14:paraId="70C6851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4．债务人未在法定期间内提出书面异议，向其他法院起诉，不影响支付令效力。</w:t>
      </w:r>
    </w:p>
    <w:p w14:paraId="29049F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5．债权人有多项独立的支付请求，债务人仅就其中某一项请求提出异议，该异议对其他支付请求无效。</w:t>
      </w:r>
    </w:p>
    <w:p w14:paraId="3A1CD47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6．债权人基于同一债权债务关系，就可分之债向多个债务人提出支付请求，多个债务人中的一人或者几人提出异议，该异议对其他请求无效。</w:t>
      </w:r>
    </w:p>
    <w:p w14:paraId="27CF0C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（三）异议的撤回</w:t>
      </w:r>
    </w:p>
    <w:p w14:paraId="7712F0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法院作出终结督促程序或者驳回异议裁定前，债务人请求撤回异议，应当裁定准许。债务人对撤回异议反悔的，法院不予支持。</w:t>
      </w:r>
    </w:p>
    <w:p w14:paraId="6E530D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（四）异议成立的法律后果</w:t>
      </w:r>
    </w:p>
    <w:p w14:paraId="623E3C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1．终结督促程序</w:t>
      </w:r>
    </w:p>
    <w:p w14:paraId="16B6AD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2．支付令自行失效，不能成为执行根据</w:t>
      </w:r>
    </w:p>
    <w:p w14:paraId="3E7D5C4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3．督促程序与诉讼程序的衔接</w:t>
      </w:r>
    </w:p>
    <w:p w14:paraId="2BB080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支付令失效后，法院应将案件转为诉讼程序审理。但申请支付令的一方当事人自收到终结督促程序裁定之日起7日内明确表示不同意提出诉讼的除外。（未反对即视为同意）</w:t>
      </w:r>
    </w:p>
    <w:p w14:paraId="2A7DF5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6E402F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【考点37：公示催告程序】</w:t>
      </w:r>
    </w:p>
    <w:p w14:paraId="629F621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一、公示催告</w:t>
      </w:r>
    </w:p>
    <w:p w14:paraId="4B6A3AC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1.应当向票据支付地基层法院提出书面申请；</w:t>
      </w:r>
    </w:p>
    <w:p w14:paraId="6DF18B6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2.申请公示催告时如果存在明确的利害关系人，应当通过普通审判程序解决，不能申请公示催告</w:t>
      </w:r>
      <w:r>
        <w:rPr>
          <w:rFonts w:hint="eastAsia" w:ascii="Times New Roman Regular" w:hAnsi="Times New Roman Regular" w:cs="Times New Roman Regular"/>
          <w:sz w:val="18"/>
          <w:szCs w:val="18"/>
          <w:u w:val="none"/>
          <w:lang w:val="en-US" w:eastAsia="zh-CN"/>
        </w:rPr>
        <w:t>；</w:t>
      </w:r>
    </w:p>
    <w:p w14:paraId="71CB76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3.</w:t>
      </w:r>
      <w:r>
        <w:rPr>
          <w:rFonts w:hint="default" w:ascii="Times New Roman Regular" w:hAnsi="Times New Roman Regular" w:cs="Times New Roman Regular"/>
          <w:sz w:val="18"/>
          <w:szCs w:val="18"/>
          <w:u w:val="none"/>
          <w:lang w:val="en-US" w:eastAsia="zh-CN"/>
        </w:rPr>
        <w:t>公示催告期间，转让票据权利的行为无效</w:t>
      </w:r>
      <w:r>
        <w:rPr>
          <w:rFonts w:hint="eastAsia" w:ascii="Times New Roman Regular" w:hAnsi="Times New Roman Regular" w:cs="Times New Roman Regular"/>
          <w:sz w:val="18"/>
          <w:szCs w:val="18"/>
          <w:u w:val="none"/>
          <w:lang w:val="en-US" w:eastAsia="zh-CN"/>
        </w:rPr>
        <w:t>；</w:t>
      </w:r>
    </w:p>
    <w:p w14:paraId="683716C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4.</w:t>
      </w:r>
      <w:r>
        <w:rPr>
          <w:rFonts w:hint="default" w:ascii="Times New Roman Regular" w:hAnsi="Times New Roman Regular" w:cs="Times New Roman Regular"/>
          <w:sz w:val="18"/>
          <w:szCs w:val="18"/>
          <w:u w:val="none"/>
          <w:lang w:val="en-US" w:eastAsia="zh-CN"/>
        </w:rPr>
        <w:t>除权判决作出前，均可申报权利；</w:t>
      </w:r>
    </w:p>
    <w:p w14:paraId="46E98C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5.</w:t>
      </w:r>
      <w:r>
        <w:rPr>
          <w:rFonts w:hint="default" w:ascii="Times New Roman Regular" w:hAnsi="Times New Roman Regular" w:cs="Times New Roman Regular"/>
          <w:sz w:val="18"/>
          <w:szCs w:val="18"/>
          <w:u w:val="none"/>
          <w:lang w:val="en-US" w:eastAsia="zh-CN"/>
        </w:rPr>
        <w:t>法院对权利人的申报仅作形式审查，并通知申请人到场查验票据；</w:t>
      </w:r>
    </w:p>
    <w:p w14:paraId="2A3299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6.</w:t>
      </w:r>
      <w:r>
        <w:rPr>
          <w:rFonts w:hint="default" w:ascii="Times New Roman Regular" w:hAnsi="Times New Roman Regular" w:cs="Times New Roman Regular"/>
          <w:sz w:val="18"/>
          <w:szCs w:val="18"/>
          <w:u w:val="none"/>
          <w:lang w:val="en-US" w:eastAsia="zh-CN"/>
        </w:rPr>
        <w:t>利害关系人提出的票据和公示催告的票据一致，法院应当裁定终结公示催告程序，申请人或申报人可以按普通程序向法院起诉</w:t>
      </w:r>
      <w:r>
        <w:rPr>
          <w:rFonts w:hint="eastAsia" w:ascii="Times New Roman Regular" w:hAnsi="Times New Roman Regular" w:cs="Times New Roman Regular"/>
          <w:sz w:val="18"/>
          <w:szCs w:val="18"/>
          <w:u w:val="none"/>
          <w:lang w:val="en-US" w:eastAsia="zh-CN"/>
        </w:rPr>
        <w:t>。</w:t>
      </w:r>
    </w:p>
    <w:p w14:paraId="3FC00A4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二、除权判决</w:t>
      </w:r>
    </w:p>
    <w:p w14:paraId="7C995B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1．性质属于非讼判决；</w:t>
      </w:r>
    </w:p>
    <w:p w14:paraId="51E284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2．法院不能依职权主动作出除权判决，必须由当事人提出申请；</w:t>
      </w:r>
    </w:p>
    <w:p w14:paraId="3CB1A7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3．公示催告阶段由审判员独任审理；除权判决阶段则应由审判员组成合议庭审理；</w:t>
      </w:r>
    </w:p>
    <w:p w14:paraId="1013320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4．除权判决自公告之日起发生法律效力，当事人不得提起上诉。支付人拒绝支付，申请人可以向法院起诉。</w:t>
      </w:r>
    </w:p>
    <w:p w14:paraId="08FA136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1692E33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【考点38：民事裁判】</w:t>
      </w:r>
    </w:p>
    <w:p w14:paraId="2D46F4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一、民事判决的法律效力</w:t>
      </w:r>
    </w:p>
    <w:p w14:paraId="5B9DBA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1．生效判决的主文具有既判力（诉讼抵销除外）；</w:t>
      </w:r>
    </w:p>
    <w:p w14:paraId="09EC8A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2．当事人恶意提出部分请求，该判决的既判力客观范围及于全部请求；</w:t>
      </w:r>
    </w:p>
    <w:p w14:paraId="353C4A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3．我国并未采取既判力相对性理论；</w:t>
      </w:r>
    </w:p>
    <w:p w14:paraId="0FBF71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4．我国的既判力标准时是裁判生效之时；</w:t>
      </w:r>
    </w:p>
    <w:p w14:paraId="64B5858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5．胜诉的给付判决具有执行力；</w:t>
      </w:r>
    </w:p>
    <w:p w14:paraId="168F0E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6．胜诉的形成判决具有形成力。</w:t>
      </w:r>
    </w:p>
    <w:p w14:paraId="115CA6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二、民事裁定</w:t>
      </w:r>
    </w:p>
    <w:p w14:paraId="2E7473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1．只有不予受理、驳回起诉和管辖权异议裁定可以上诉救济（小额诉讼除外）；</w:t>
      </w:r>
    </w:p>
    <w:p w14:paraId="2FC584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2．判决书中出现误写、漏写、误算等笔误，应当用裁定补正，不能重新制作判决书；但判决书出现事实认定错误、法律适用错误等实质错误，不能用裁定补正，应当通过上诉或者再审救济。</w:t>
      </w:r>
    </w:p>
    <w:p w14:paraId="25C617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三、民事决定</w:t>
      </w:r>
    </w:p>
    <w:p w14:paraId="5D895B4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1．决定适用于回避、延期审理、罚款和拘留；</w:t>
      </w:r>
    </w:p>
    <w:p w14:paraId="22BD207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2．救济方式是申请复议，不能上诉。</w:t>
      </w:r>
    </w:p>
    <w:p w14:paraId="4DA5999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2BB0F75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【考点39:执行程序中的一般性制度】</w:t>
      </w:r>
    </w:p>
    <w:p w14:paraId="7C9E784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一、执行管辖</w:t>
      </w:r>
    </w:p>
    <w:p w14:paraId="2665044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1．发生法律效力的民事判决、裁定、调解书，以及刑事判决、裁定中的财产部分，由第一审法院或者与第一审法院同级的被执行的财产所在地法院执行。</w:t>
      </w:r>
    </w:p>
    <w:p w14:paraId="50AA56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2．法律规定由法院执行的其他法律文书，由被执行人住所地或者被执行的财产所在地法院执行。</w:t>
      </w:r>
    </w:p>
    <w:p w14:paraId="323058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发生法律效力的实现担保物权裁定、确认调解协议裁定、支付令，由作出裁定、支付令的法院或者与其同级的被执行财产所在地的法院执行。认定财产无主的判决，由作出判决的法院将无主财产收归国家或者集体所有。</w:t>
      </w:r>
    </w:p>
    <w:p w14:paraId="407454B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二、执行和解</w:t>
      </w:r>
    </w:p>
    <w:p w14:paraId="09DF22A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（一）执行和解的主体</w:t>
      </w:r>
    </w:p>
    <w:p w14:paraId="1A619E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当事人、法定代理人和经特别授权的委托代理人。</w:t>
      </w:r>
    </w:p>
    <w:p w14:paraId="52665C3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（二）执行和解协议</w:t>
      </w:r>
    </w:p>
    <w:p w14:paraId="56C4B02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1．法院不能根据执行和解协议制作调解书；</w:t>
      </w:r>
    </w:p>
    <w:p w14:paraId="0A1870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2．构成执行和解需满足两个条件：（1）执行过程中达成和解协议；（2）必须共同告知法院。</w:t>
      </w:r>
    </w:p>
    <w:p w14:paraId="392784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（三）执行和解的法律后果</w:t>
      </w:r>
    </w:p>
    <w:p w14:paraId="14737B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1．告知法院，法院可以裁定中止执行；</w:t>
      </w:r>
    </w:p>
    <w:p w14:paraId="672AB62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2．申请执行人请求撤回执行申请，法院可以裁定终结执行；</w:t>
      </w:r>
    </w:p>
    <w:p w14:paraId="5C0BD4F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3．执行和解协议履行完毕，法院作执行结案处理；</w:t>
      </w:r>
    </w:p>
    <w:p w14:paraId="7FDAB6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4．不履行和解协议，当事人可以申请恢复执行，或者就履行执行和解协议向执行法院提起诉讼。（二者择一）</w:t>
      </w:r>
    </w:p>
    <w:p w14:paraId="4662872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三、执行担保</w:t>
      </w:r>
    </w:p>
    <w:p w14:paraId="4723C7F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（一）适用条件</w:t>
      </w:r>
    </w:p>
    <w:p w14:paraId="4A7932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1．必须由被执行人向法院提出申请；</w:t>
      </w:r>
    </w:p>
    <w:p w14:paraId="097F6B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2．被执行人向法院提供担保（财产担保、第三人担保）；</w:t>
      </w:r>
    </w:p>
    <w:p w14:paraId="0E2B04A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3．须征得申请执行人同意；</w:t>
      </w:r>
    </w:p>
    <w:p w14:paraId="63A68D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4．须经法院许可。</w:t>
      </w:r>
    </w:p>
    <w:p w14:paraId="394366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290711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（二）法律效力</w:t>
      </w:r>
    </w:p>
    <w:p w14:paraId="276A7EE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1．法院决定暂缓执行及暂缓执行的期限；</w:t>
      </w:r>
    </w:p>
    <w:p w14:paraId="2D68144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2．如果担保有期限，暂缓执行的期限应当与担保期限一致，但最长不得超过1年。</w:t>
      </w:r>
    </w:p>
    <w:p w14:paraId="5D44630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（三）被执行人逾期不履行的后果</w:t>
      </w:r>
    </w:p>
    <w:p w14:paraId="299B778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暂缓执行期限届满后被执行人仍不履行义务，或者暂缓执行期间担保人有转移、隐藏、变卖、毁损担保财产等行为的，法院可以恢复执行（依职权或依申请），并直接裁定执行担保财产或者保证人的财产（无须起诉），不得将担保人变更、追加为被执行人。</w:t>
      </w:r>
    </w:p>
    <w:p w14:paraId="6F79B1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四、执行承担</w:t>
      </w:r>
    </w:p>
    <w:p w14:paraId="0BD639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1．原执行根据确定的当事人已经失去权利能力，由相应的主体来承担其权利义务。</w:t>
      </w:r>
    </w:p>
    <w:p w14:paraId="78C231C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2．原执行根据确定的债权经法定程序转移给第三人，该第三人可以被申请变更为申请执行人。</w:t>
      </w:r>
    </w:p>
    <w:p w14:paraId="7981DEB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3．依法应当对执行根据确定的义务承担清偿责任的人，在被执行人的财产不足以清偿债务时，可以被申请变更为被执行人。</w:t>
      </w:r>
    </w:p>
    <w:p w14:paraId="40E297D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五</w:t>
      </w:r>
      <w:r>
        <w:rPr>
          <w:rFonts w:hint="default" w:ascii="Times New Roman Regular" w:hAnsi="Times New Roman Regular" w:cs="Times New Roman Regular"/>
          <w:sz w:val="18"/>
          <w:szCs w:val="18"/>
          <w:u w:val="none"/>
          <w:lang w:val="en-US" w:eastAsia="zh-CN"/>
        </w:rPr>
        <w:t>、参与分配</w:t>
      </w:r>
    </w:p>
    <w:p w14:paraId="061048D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（一）适用条件</w:t>
      </w:r>
    </w:p>
    <w:p w14:paraId="68AF4B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1．被执行人的财产无法清偿所有债权；</w:t>
      </w:r>
    </w:p>
    <w:p w14:paraId="7B3C89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2．被执行人为自然人或其他组织；</w:t>
      </w:r>
    </w:p>
    <w:p w14:paraId="4B2351C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3．有多个申请人对同一被申请人享有债权；</w:t>
      </w:r>
    </w:p>
    <w:p w14:paraId="4AC962A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4．申请人必须取得生效的执行根据，起诉后尚未获得生效判决的债权人不具备参与分配的资格；</w:t>
      </w:r>
    </w:p>
    <w:p w14:paraId="056074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对法院查封、扣押、冻结的财产享有优先权、担保物权的债权人，可以直接申请参与分配，主张优先受偿权。</w:t>
      </w:r>
    </w:p>
    <w:p w14:paraId="412354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5．参与分配的债权只限于金钱债权；</w:t>
      </w:r>
    </w:p>
    <w:p w14:paraId="183093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6．参与分配必须发生在执行程序开始后，被执行人的财产执行终结之前。</w:t>
      </w:r>
    </w:p>
    <w:p w14:paraId="3FB9C7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（二）分配方案异议之诉</w:t>
      </w:r>
    </w:p>
    <w:p w14:paraId="370D80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原告：对分配方案提出异议的债权人或者被执行人</w:t>
      </w:r>
    </w:p>
    <w:p w14:paraId="1D7BA95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被告：对分配方案异议提出反对意见的债权人或者被执行人</w:t>
      </w:r>
    </w:p>
    <w:p w14:paraId="1DBCECA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时间：收到未提出异议的债权人或被执行人提出的反对意见通知之日起15日内</w:t>
      </w:r>
    </w:p>
    <w:p w14:paraId="7FA1BD1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管辖法院：执行法院</w:t>
      </w:r>
    </w:p>
    <w:p w14:paraId="126AE56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适用程序：普通程序，当事人可以上诉</w:t>
      </w:r>
    </w:p>
    <w:p w14:paraId="40C33C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2B4295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【考点40:执行启动、中止与终结】</w:t>
      </w:r>
    </w:p>
    <w:p w14:paraId="6402C15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一、执行的启动</w:t>
      </w:r>
    </w:p>
    <w:p w14:paraId="4BB0D9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（一）申请执行</w:t>
      </w:r>
    </w:p>
    <w:p w14:paraId="2F5CF70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1．执行根据已经生效，且已过执行根据确定的清偿期限；</w:t>
      </w:r>
    </w:p>
    <w:p w14:paraId="7E83D7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2．申请执行人必须是执行根据确定的权利人或合法继承、承受该权利的继受人；</w:t>
      </w:r>
    </w:p>
    <w:p w14:paraId="09C58C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3．应当向有执行管辖权的法院申请执行；</w:t>
      </w:r>
    </w:p>
    <w:p w14:paraId="333C83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4．应当在申请执行时效（2年）内提出申请。</w:t>
      </w:r>
    </w:p>
    <w:p w14:paraId="63BA7B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（二）移送执行</w:t>
      </w:r>
    </w:p>
    <w:p w14:paraId="0B90F36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1．具有给付赡养费、扶养费、抚养费内容的法律文书；</w:t>
      </w:r>
    </w:p>
    <w:p w14:paraId="7D4176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2．民事制裁决定书；</w:t>
      </w:r>
    </w:p>
    <w:p w14:paraId="6467DE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3．刑事附带民事判决、裁定、调解书；</w:t>
      </w:r>
    </w:p>
    <w:p w14:paraId="64EB4E1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4．民事公益诉讼判决书。</w:t>
      </w:r>
    </w:p>
    <w:p w14:paraId="0F55399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二、执行中止</w:t>
      </w:r>
    </w:p>
    <w:p w14:paraId="3B2B7A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1．申请人表示可以延期执行的；</w:t>
      </w:r>
    </w:p>
    <w:p w14:paraId="77C89E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2．案外人对执行标的提出确有理由的异议的；</w:t>
      </w:r>
    </w:p>
    <w:p w14:paraId="51701B9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3．作为一方当事人的公民死亡，需要等待继承人继承权利或承担义务；</w:t>
      </w:r>
    </w:p>
    <w:p w14:paraId="15114B4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4．作为一方当事人的法人或者其他组织中止，尚未确定权利义务承受人；</w:t>
      </w:r>
    </w:p>
    <w:p w14:paraId="3DCF61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法院认为应当中止的其他情形。具体包括：（1）被执行人确无财产可供执行的；（2）执行的标的物是其他法院或仲裁机构正在审理的案件争议标的物，需要等待该案件审理完毕确定权属的；（3）一方当事人申请执行仲裁裁决，另一方当事人申请撤销仲裁裁决的；（4）仲裁裁决的被申请人提出不予执行请求，并提供适当担保的；（5）法院裁定对作为执行根据的裁判文书再审的。</w:t>
      </w:r>
    </w:p>
    <w:p w14:paraId="4C8FE2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6．法院已受理以被执行人为债务人的破产申请，或者执行法院自行认为被执行人已经符合破产条件，经申请执行人之一或被执行人同意，均应当裁定中止执行。</w:t>
      </w:r>
    </w:p>
    <w:p w14:paraId="283197D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三、执行终结</w:t>
      </w:r>
    </w:p>
    <w:p w14:paraId="04D8B4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1．经过财产调查没有发现可供执行的财产；</w:t>
      </w:r>
    </w:p>
    <w:p w14:paraId="14E288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2．申请人撤销执行申请；</w:t>
      </w:r>
    </w:p>
    <w:p w14:paraId="487BF4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3．据以执行的法律文书被撤销的；</w:t>
      </w:r>
    </w:p>
    <w:p w14:paraId="5D6BFC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4．作为被执行人的公民死亡，无遗产可供执行，又无义务承担人的；</w:t>
      </w:r>
    </w:p>
    <w:p w14:paraId="1B21BF9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5．追索赡养费、扶养费、抚养费案件的权利人死亡的；</w:t>
      </w:r>
    </w:p>
    <w:p w14:paraId="38C6E9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6．作为被执行人的公民因生活困难无力偿还借款，又无收入来源，丧失劳动能力；</w:t>
      </w:r>
    </w:p>
    <w:p w14:paraId="2802E60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7．被执行人被法院裁定宣告破产；</w:t>
      </w:r>
    </w:p>
    <w:p w14:paraId="744618C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8．法院认为应当终结的其他情形。</w:t>
      </w:r>
    </w:p>
    <w:p w14:paraId="07662AC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5112AF4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【考点41:执行措施】</w:t>
      </w:r>
    </w:p>
    <w:p w14:paraId="577564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一、对财产的执行措施</w:t>
      </w:r>
    </w:p>
    <w:p w14:paraId="4A47745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（一）对共有物的执行</w:t>
      </w:r>
    </w:p>
    <w:p w14:paraId="31A8656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1．法院对于共有物可以查封、扣押、冻结，但应及时通知共有人。</w:t>
      </w:r>
    </w:p>
    <w:p w14:paraId="4925E0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2．对共有财产的分割，可以采用协议分割和诉讼分割两种方式。</w:t>
      </w:r>
    </w:p>
    <w:p w14:paraId="4858F4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（1）协议分割：共有人可以自行协议对共有物进行分割，但必须经债权人认可，法院可以认定有效。</w:t>
      </w:r>
    </w:p>
    <w:p w14:paraId="3BDBC60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（2）诉讼分割：共有人和申请执行人均有权提起析产诉讼；诉讼期间应中止对共有财产的执行。</w:t>
      </w:r>
    </w:p>
    <w:p w14:paraId="60C7885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（二）对特定物的执行</w:t>
      </w:r>
    </w:p>
    <w:p w14:paraId="2AB8320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执行标的物为特定物的，应当执行原物。原物确已毁损或者灭失的，经双方当事人同意，可以折价赔偿。双方当事人对折价赔偿不能协商一致的，法院应当终结执行程序。申请执行人可以另行起诉。</w:t>
      </w:r>
    </w:p>
    <w:p w14:paraId="4727268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（三）对所有权保留买卖合同中标的物的执行</w:t>
      </w:r>
    </w:p>
    <w:p w14:paraId="7B0CF66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1．被执行人为卖方：法院可以查封、扣押、冻结；第三人要求继续履行合同的，向法院交付全部余款后，裁定解除查封、扣押、冻结。</w:t>
      </w:r>
    </w:p>
    <w:p w14:paraId="72B95FB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2．被执行人为买方：法院可以查封、扣押、冻结。保留所有权已办理登记的，第三人的剩余价款从该财产变价款中优先支付；第三人主张取回该财产的，可以提出执行标的异议。</w:t>
      </w:r>
    </w:p>
    <w:p w14:paraId="5656DAB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二、代位执行</w:t>
      </w:r>
    </w:p>
    <w:p w14:paraId="0D93F20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（一）适用条件</w:t>
      </w:r>
    </w:p>
    <w:p w14:paraId="30BFFCE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1．被执行人不能清偿债务，但对第三人享有到期债权；</w:t>
      </w:r>
    </w:p>
    <w:p w14:paraId="655F39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2．经申请执行人或者被执行人申请；</w:t>
      </w:r>
    </w:p>
    <w:p w14:paraId="2BB5802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3．法院作出冻结债权的裁定，并通知第三人向申请执行人履行。</w:t>
      </w:r>
    </w:p>
    <w:p w14:paraId="06E39FE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33E50C8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（二）履行通知的效力</w:t>
      </w:r>
    </w:p>
    <w:p w14:paraId="301D89A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1．应当收到通知后15日内向申请执行人履行债务，并不得向被执行人清偿；</w:t>
      </w:r>
    </w:p>
    <w:p w14:paraId="33F08AB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2．如果对债权债务关系有异议，在收到通知后15日内提出异议；</w:t>
      </w:r>
    </w:p>
    <w:p w14:paraId="0A970D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3．既不履行债务，又不提出异议，法院可以裁定强制执行。</w:t>
      </w:r>
    </w:p>
    <w:p w14:paraId="220E9B3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（三）第三人的异议</w:t>
      </w:r>
    </w:p>
    <w:p w14:paraId="7051776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1．原则上要求书面异议，但也允许口头异议；</w:t>
      </w:r>
    </w:p>
    <w:p w14:paraId="6756FA3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第三人在15日内提出异议的，不能对第三人强制执行，法院对异议不审查；但是第三人提出自己没有履行能力或者自己与申请执行人无直接法律关系的，不属于异议；对生效法律文书确定的到期债权，第三人予以否认的，法院不予支持。</w:t>
      </w:r>
    </w:p>
    <w:p w14:paraId="5464342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3．第三人提出部分异议的，对其没有提出异议的部分，可以执行；提出异议部分，不审查，不能强制执行。</w:t>
      </w:r>
    </w:p>
    <w:p w14:paraId="5A0DA6E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（四）利害关系人异议的处理</w:t>
      </w:r>
    </w:p>
    <w:p w14:paraId="6C379A9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利害关系人对到期债权有异议的，法院应当按照《民事诉讼法》第238条规定处理。</w:t>
      </w:r>
    </w:p>
    <w:p w14:paraId="6F75BFE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（五）对第三人的措施</w:t>
      </w:r>
    </w:p>
    <w:p w14:paraId="597FB66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1．强制执行：第三人收到履行通知后不提出异议，也不履行的；</w:t>
      </w:r>
    </w:p>
    <w:p w14:paraId="1E5FFC1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2．第三人收到向申请执行人履行到期债务通知后，擅自向被执行人履行，造成已经履行部分不能追回，第三人应在已履行的财产范围内与被执行人承担连带责任，并可以追究其妨碍执行的责任。</w:t>
      </w:r>
    </w:p>
    <w:p w14:paraId="5A953C6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（六）不得再代位执行</w:t>
      </w:r>
    </w:p>
    <w:p w14:paraId="425C39B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对该第三人作出强制执行的裁定后，第三人确无可供执行的财产，不得就第三人对他人享有的到期债权强制执行。</w:t>
      </w:r>
    </w:p>
    <w:p w14:paraId="6C5DC2D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00BC4B2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【考点42:执行救济】</w:t>
      </w:r>
    </w:p>
    <w:p w14:paraId="5B792B7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一、执行异议</w:t>
      </w:r>
    </w:p>
    <w:p w14:paraId="4861F42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（一）当事人、利害关系人异议（执行行为异议）</w:t>
      </w:r>
    </w:p>
    <w:p w14:paraId="113E7B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1．适用条件</w:t>
      </w:r>
    </w:p>
    <w:p w14:paraId="494F9C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（1）异议的对象：法院的执行行为在程序上违反法律法规或司法解释规定</w:t>
      </w:r>
    </w:p>
    <w:p w14:paraId="48AEEEA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（2）异议提出主体：当事人和利害关系人</w:t>
      </w:r>
    </w:p>
    <w:p w14:paraId="01A4C03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（3）异议管辖法院：执行法院</w:t>
      </w:r>
    </w:p>
    <w:p w14:paraId="7095C4A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（4）异议形式：书面异议</w:t>
      </w:r>
    </w:p>
    <w:p w14:paraId="7D15109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（5）异议期间：执行程序终结之前</w:t>
      </w:r>
    </w:p>
    <w:p w14:paraId="728256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2．法院处理</w:t>
      </w:r>
    </w:p>
    <w:p w14:paraId="27FBEAC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法院应当自收到书面异议之日起15日内审查，理由成立的，裁定撤销或者改正；理由不成立的，裁定驳回。</w:t>
      </w:r>
    </w:p>
    <w:p w14:paraId="100C68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3．救济方式</w:t>
      </w:r>
    </w:p>
    <w:p w14:paraId="622E2E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当事人、利害关系人对裁定不服的，可以自裁定送达之日起10日内向上一级法院申请复议。</w:t>
      </w:r>
    </w:p>
    <w:p w14:paraId="597001B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4．对执行的影响</w:t>
      </w:r>
    </w:p>
    <w:p w14:paraId="132A363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 xml:space="preserve">执行异议审查和复议期间，不停止执行。 </w:t>
      </w:r>
    </w:p>
    <w:p w14:paraId="79E79EF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被执行人、利害关系人提供充分、有效的担保请求停止相应处分措施的，法院可以准许；申请执行人提供充分、有效的担保请求继续执行的，应当继续执行。</w:t>
      </w:r>
    </w:p>
    <w:p w14:paraId="1482507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（二）案外人异议（案外人对执行标的的异议）</w:t>
      </w:r>
    </w:p>
    <w:p w14:paraId="1BBCA75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1．异议主体：案外人</w:t>
      </w:r>
    </w:p>
    <w:p w14:paraId="1ED98B1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2．异议理由：案外人提出执行行为对其实体权利造成损害</w:t>
      </w:r>
    </w:p>
    <w:p w14:paraId="7F9BB1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3．异议形式：书面形式</w:t>
      </w:r>
    </w:p>
    <w:p w14:paraId="7ACB97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4．异议期间：案外人应当在异议指向的执行标的执行终结之前提出，执行标的由当事人受让的，应当在执行程序终结之前提出。（逾期提出可另行起诉）</w:t>
      </w:r>
    </w:p>
    <w:p w14:paraId="10B202F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5．异议审查处理法院：提出异议时负责执行该执行标的的法院</w:t>
      </w:r>
    </w:p>
    <w:p w14:paraId="01C356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对执行的影响：在对异议的审查期间，只可以对财产采取查封、扣押、冻结等保全措施，不得进行处分。案外人向法院提供充分、有效担保请求解除对异议标的的查封、扣押、冻结的，法院可以准许；申请执行人提供充分、有效的担保请求继续执行的，应当继续执行。</w:t>
      </w:r>
    </w:p>
    <w:p w14:paraId="60BBCC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7．异议处理：法院应当自收到书面异议之日起15日内审查，理由成立的，裁定中止对该标的的执行；理由不成立的，裁定驳回。</w:t>
      </w:r>
    </w:p>
    <w:p w14:paraId="7FC15B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8．裁定的救济措施：原判决、裁定错误，依照审判监督程序办理；与原判决、裁定无关，可以自裁定送达之日起15日内向法院提起执行异议之诉（包括案外人异议之诉和许可执行之诉）。</w:t>
      </w:r>
    </w:p>
    <w:p w14:paraId="60B2D05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二、执行异议之诉</w:t>
      </w:r>
    </w:p>
    <w:p w14:paraId="7D4DCC0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1．被执行人无权提起执行异议之诉。</w:t>
      </w:r>
    </w:p>
    <w:p w14:paraId="3CFBC8C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2．案外人执行异议之诉审理期间，法院不得对执行标的进行处分。申请执行人请求法院继续执行并提供相应担保的，法院可以准许。</w:t>
      </w:r>
    </w:p>
    <w:p w14:paraId="1A09A3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3．案外人提出确权请求，以被执行人为被告；案外人提出给付请求，可以合并审理。</w:t>
      </w:r>
    </w:p>
    <w:p w14:paraId="429402B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与执行程序衔接：（1）若执行标的执行完毕：①不享有排除执行民事权益，判决驳回诉讼请求；②享有排除执行民事权益，申请执行人受让执行标的，不得执行；③享有排除执行民事权益，他人取得执行标的，不得执行变价款；案外人拒绝受领，提存变价款。（2）执行措施解除，裁定终结诉讼或者终结审查；对于案外人提出的确权、给付请求，可以继续审理或者审查。</w:t>
      </w:r>
    </w:p>
    <w:p w14:paraId="7EE6DDE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5．与再审程序衔接：（1）争议标的之外财产或者案外人享有排除执行民事权益，继续审理或审查；（2）案外人不享有排除执行民事权益，中止审理或审查。</w:t>
      </w:r>
    </w:p>
    <w:p w14:paraId="4D3CFB9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6．与破产程序的衔接：（1）法院裁定受理破产案件，中止审理或审查；（2）管理人接管债务人财产，继续审理或审查。</w:t>
      </w:r>
    </w:p>
    <w:p w14:paraId="51D383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7．案外人异议之诉再审发现有错的处理：判决驳回案外人诉讼请求，按照原顺位恢复执行。</w:t>
      </w:r>
    </w:p>
    <w:p w14:paraId="4D3725B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3463BE7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【考点43:涉外民事诉讼程序】</w:t>
      </w:r>
    </w:p>
    <w:p w14:paraId="51A03D7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1．涉外案件包括当事人的国籍或者经常居住地在国外；标的物在国外；产生、变更或者消灭民事关系的法律事实发生在国外；</w:t>
      </w:r>
    </w:p>
    <w:p w14:paraId="4270FBD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2．外国人、无国籍当事人或外国企业和组织在我国起诉、应诉，需要委托律师代理诉讼的，只能委托中国律师代理诉讼，外国律师不能以律师身份参加诉讼；</w:t>
      </w:r>
    </w:p>
    <w:p w14:paraId="44D3E91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3．我国法院专属管辖案件：</w:t>
      </w:r>
    </w:p>
    <w:p w14:paraId="12B2907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（1）因在中华人民共和国领域内设立的法人或者其他组织的设立、解散、清算，以及该法人或者其他组织作出的决议的效力等纠纷提起的诉讼；</w:t>
      </w:r>
    </w:p>
    <w:p w14:paraId="5B8BE9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（2）因与在中华人民共和国领域内审查授予的知识产权的有效性有关的纠纷提起的诉讼；</w:t>
      </w:r>
    </w:p>
    <w:p w14:paraId="46429BA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（3）因在中华人民共和国领域内履行中外合资经营企业合同、中外合作经营企业合同、中外合作勘探开发自然资源合同发生纠纷提起的诉讼。</w:t>
      </w:r>
    </w:p>
    <w:p w14:paraId="070CBE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4．当事人在我国境内有住所，不适用涉外期间和涉外送达规定；</w:t>
      </w:r>
    </w:p>
    <w:p w14:paraId="54BC642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5．涉外民事案件不适用审限制度；</w:t>
      </w:r>
    </w:p>
    <w:p w14:paraId="3906A7A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6．适用涉外电子送达，无需当事人同意（除非受送达人所在国法律禁止）。</w:t>
      </w:r>
    </w:p>
    <w:p w14:paraId="38D4B40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219A7FB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【考点44:仲裁协议】</w:t>
      </w:r>
    </w:p>
    <w:p w14:paraId="7E7B59E8">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一、仲裁协议的内容</w:t>
      </w:r>
    </w:p>
    <w:p w14:paraId="4338A5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（一）请求仲裁的意思表示</w:t>
      </w:r>
    </w:p>
    <w:p w14:paraId="185A9CB0">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选择仲裁必须是双方当事人共同、真实的意思表示。</w:t>
      </w:r>
    </w:p>
    <w:p w14:paraId="1755B6F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（二）选定的仲裁机构</w:t>
      </w:r>
    </w:p>
    <w:p w14:paraId="0BE9251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1．双方当事人可以选定任何一家仲裁机构进行仲裁。</w:t>
      </w:r>
    </w:p>
    <w:p w14:paraId="356B9C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2．当仲裁机构名称不准确、只约定仲裁规则、约定两个以上仲裁机构时，双方选择虽有瑕疵，但不能轻率认定仲裁协议无效。凡是通过补救或者推定能够确认具体仲裁机构的，仲裁协议有效。</w:t>
      </w:r>
    </w:p>
    <w:p w14:paraId="51DE6CB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二、仲裁条款的独立性</w:t>
      </w:r>
    </w:p>
    <w:p w14:paraId="3F29DA0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1．合同是否成立及其变更、不生效、终止、被撤销或者无效，不影响仲裁协议的效力；</w:t>
      </w:r>
    </w:p>
    <w:p w14:paraId="2ECFECA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2．当事人订立仲裁协议后死亡、合并、分立，原则上仲裁协议对其权利义务的继承人、继受人有效；</w:t>
      </w:r>
    </w:p>
    <w:p w14:paraId="765A918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3．债权债务转让，原则上仲裁协议对受让人有效。</w:t>
      </w:r>
    </w:p>
    <w:p w14:paraId="68EE141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三、仲裁协议的法律效力</w:t>
      </w:r>
    </w:p>
    <w:p w14:paraId="048EB68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1．当事人达成有效仲裁协议，原告向法院起诉未声明有仲裁协议，被告应诉答辩，未在法院首次开庭前提出异议的，法院获得案件管辖权；</w:t>
      </w:r>
    </w:p>
    <w:p w14:paraId="0AA6A9C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2．没有仲裁协议，一方申请仲裁，仲裁机构不予受理；</w:t>
      </w:r>
    </w:p>
    <w:p w14:paraId="2685FC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3．债权人提起代位权诉讼，不受债务人与相对人之间订立的仲裁协议影响。</w:t>
      </w:r>
    </w:p>
    <w:p w14:paraId="4550CCD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四、仲裁协议效力的确认机构及程序</w:t>
      </w:r>
    </w:p>
    <w:p w14:paraId="77B78A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可以请求仲裁机构、仲裁庭或者法院确认。分别请求的，法院确认优先，除非仲裁机构或者仲裁庭先于法院接受申请并已作出决定</w:t>
      </w:r>
      <w:r>
        <w:rPr>
          <w:rFonts w:hint="eastAsia" w:ascii="Times New Roman Regular" w:hAnsi="Times New Roman Regular" w:cs="Times New Roman Regular"/>
          <w:sz w:val="18"/>
          <w:szCs w:val="18"/>
          <w:u w:val="none"/>
          <w:lang w:val="en-US" w:eastAsia="zh-CN"/>
        </w:rPr>
        <w:t>。</w:t>
      </w:r>
    </w:p>
    <w:p w14:paraId="5B6798D3">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p>
    <w:p w14:paraId="3957CFB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【考点45:仲裁程序】</w:t>
      </w:r>
    </w:p>
    <w:p w14:paraId="205735E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一、仲裁保全</w:t>
      </w:r>
    </w:p>
    <w:p w14:paraId="3FF098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1．当事人申请仲裁前保全，直接向有管辖权的法院提出；</w:t>
      </w:r>
    </w:p>
    <w:p w14:paraId="2A7B561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2．当事人申请仲裁中保全，只能向仲裁机构提出申请，仲裁机构将当事人申请提交法院（被申请人住所地或者财产所在地的基层法院），由法院作出裁定并采取保全措施；</w:t>
      </w:r>
    </w:p>
    <w:p w14:paraId="117B5D2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3．仲裁保全不存在依职权作出的情形，只能依申请启动。</w:t>
      </w:r>
    </w:p>
    <w:p w14:paraId="170969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4．仲裁保全分为证据保全、财产保全和行为保全等三类。</w:t>
      </w:r>
    </w:p>
    <w:p w14:paraId="7FC4C4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二、仲裁庭的组成</w:t>
      </w:r>
    </w:p>
    <w:p w14:paraId="3156376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1．仲裁庭组成形式（合议或独任）一般由双方当事人约定选择（在规定期限内未能约定由仲裁机构主任指定）；</w:t>
      </w:r>
    </w:p>
    <w:p w14:paraId="75EA961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2．仲裁员由当事人选定或委托仲裁机构主任指定；</w:t>
      </w:r>
    </w:p>
    <w:p w14:paraId="28A831C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 xml:space="preserve">3．首席仲裁员产生方式：（1）当事人共同选定；（2）共同委托仲裁机构主任指定；（3）由其各自选定的仲裁员共同选定。 </w:t>
      </w:r>
    </w:p>
    <w:p w14:paraId="5110CAA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453742F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【考点46:申请撤销仲裁裁决】</w:t>
      </w:r>
    </w:p>
    <w:p w14:paraId="4E4BF39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一、申请撤销仲裁裁决的启动</w:t>
      </w:r>
    </w:p>
    <w:p w14:paraId="6D583CD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1．原则上应由当事人申请撤销，若仲裁裁决违背社会公共利益，法院可依职权裁定撤销；</w:t>
      </w:r>
    </w:p>
    <w:p w14:paraId="2DFB8BE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2．只有法院有权裁定撤销仲裁裁决。</w:t>
      </w:r>
    </w:p>
    <w:p w14:paraId="44D5776F">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二、申请撤销仲裁裁决的条件和理由</w:t>
      </w:r>
    </w:p>
    <w:p w14:paraId="0C84CF3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（一）申请撤销仲裁裁决的条件</w:t>
      </w:r>
    </w:p>
    <w:p w14:paraId="28806BFC">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1．申请主体是仲裁申请人或被申请人；</w:t>
      </w:r>
    </w:p>
    <w:p w14:paraId="7AFF55E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2．向仲裁机构所在地的中院提出申请；</w:t>
      </w:r>
    </w:p>
    <w:p w14:paraId="36FB8DC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3．自收到仲裁裁决书之日起3个月内提出。</w:t>
      </w:r>
    </w:p>
    <w:p w14:paraId="620113A9">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（二）申请撤销仲裁裁决的理由</w:t>
      </w:r>
    </w:p>
    <w:p w14:paraId="44E4865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1．没有仲裁协议；</w:t>
      </w:r>
    </w:p>
    <w:p w14:paraId="2AFA388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2．裁决的事项不属于仲裁协议的范围或者仲裁机构无权仲裁；</w:t>
      </w:r>
    </w:p>
    <w:p w14:paraId="2A69425E">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3．仲裁庭的组成或者仲裁的程序违反法定程序；</w:t>
      </w:r>
    </w:p>
    <w:p w14:paraId="11FE4185">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4．裁决所根据的证据是伪造的；</w:t>
      </w:r>
    </w:p>
    <w:p w14:paraId="45D7AFF6">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5．对方当事人隐瞒了足以影响公正裁决的证据；</w:t>
      </w:r>
    </w:p>
    <w:p w14:paraId="645EE5E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6．仲裁员在仲裁该案时有索贿受贿，徇私舞弊，枉法裁决行为；</w:t>
      </w:r>
    </w:p>
    <w:p w14:paraId="6700F20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7．仲裁裁决违背社会公共利益。</w:t>
      </w:r>
    </w:p>
    <w:p w14:paraId="607CD61A">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p>
    <w:p w14:paraId="1A03E03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b/>
          <w:bCs/>
          <w:sz w:val="18"/>
          <w:szCs w:val="18"/>
          <w:u w:val="none"/>
          <w:lang w:val="en-US" w:eastAsia="zh-CN"/>
        </w:rPr>
      </w:pPr>
      <w:r>
        <w:rPr>
          <w:rFonts w:hint="eastAsia" w:ascii="Times New Roman Regular" w:hAnsi="Times New Roman Regular" w:cs="Times New Roman Regular"/>
          <w:b/>
          <w:bCs/>
          <w:sz w:val="18"/>
          <w:szCs w:val="18"/>
          <w:u w:val="none"/>
          <w:lang w:val="en-US" w:eastAsia="zh-CN"/>
        </w:rPr>
        <w:t>【考点47:仲裁裁决的执行与不予执行】</w:t>
      </w:r>
    </w:p>
    <w:p w14:paraId="70433BF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一、仲裁裁决的执行</w:t>
      </w:r>
    </w:p>
    <w:p w14:paraId="61CC4164">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1．执行仲裁裁决原则上由被执行人住所地或者被执行的财产所在地中院管辖；</w:t>
      </w:r>
    </w:p>
    <w:p w14:paraId="3F20A802">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2．执行标的额符合基层法院一审民商事案件级别管辖受理范围，且被执行人住所地或者被执行的财产所在地在被指定的基层法院辖区内，经上级法院批准，中级法院可以指定基层法院管辖；</w:t>
      </w:r>
    </w:p>
    <w:p w14:paraId="07D48B1D">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3．若法院裁定不予受理或驳回申请，当事人不服可以上诉；</w:t>
      </w:r>
    </w:p>
    <w:p w14:paraId="361E8191">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default" w:ascii="Times New Roman Regular" w:hAnsi="Times New Roman Regular" w:cs="Times New Roman Regular"/>
          <w:sz w:val="18"/>
          <w:szCs w:val="18"/>
          <w:u w:val="none"/>
          <w:lang w:val="en-US" w:eastAsia="zh-CN"/>
        </w:rPr>
        <w:t>4．在执行中，被执行人通过仲裁程序将法院查封、扣押、冻结的财产确权或者分割给案外人的，不影响法院执行程序的进行。案外人不服，可以提出执行标的异议。</w:t>
      </w:r>
    </w:p>
    <w:p w14:paraId="3CAEB16B">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eastAsia"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二、仲裁裁决的不予执行</w:t>
      </w:r>
    </w:p>
    <w:p w14:paraId="0F242C27">
      <w:pPr>
        <w:keepNext w:val="0"/>
        <w:keepLines w:val="0"/>
        <w:pageBreakBefore w:val="0"/>
        <w:widowControl w:val="0"/>
        <w:kinsoku/>
        <w:wordWrap/>
        <w:overflowPunct/>
        <w:topLinePunct w:val="0"/>
        <w:autoSpaceDE/>
        <w:autoSpaceDN/>
        <w:bidi w:val="0"/>
        <w:adjustRightInd/>
        <w:snapToGrid/>
        <w:spacing w:line="240" w:lineRule="auto"/>
        <w:ind w:firstLine="420" w:firstLineChars="0"/>
        <w:textAlignment w:val="auto"/>
        <w:rPr>
          <w:rFonts w:hint="default" w:ascii="Times New Roman Regular" w:hAnsi="Times New Roman Regular" w:cs="Times New Roman Regular"/>
          <w:sz w:val="18"/>
          <w:szCs w:val="18"/>
          <w:u w:val="none"/>
          <w:lang w:val="en-US" w:eastAsia="zh-CN"/>
        </w:rPr>
      </w:pPr>
      <w:r>
        <w:rPr>
          <w:rFonts w:hint="eastAsia" w:ascii="Times New Roman Regular" w:hAnsi="Times New Roman Regular" w:cs="Times New Roman Regular"/>
          <w:sz w:val="18"/>
          <w:szCs w:val="18"/>
          <w:u w:val="none"/>
          <w:lang w:val="en-US" w:eastAsia="zh-CN"/>
        </w:rPr>
        <w:t>与仲裁裁决被撤销的事由相同。</w:t>
      </w:r>
    </w:p>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E50002FF" w:usb1="500079DB" w:usb2="00000010" w:usb3="00000000" w:csb0="00000000" w:csb1="00000000"/>
  </w:font>
  <w:font w:name="汉仪书宋二KW">
    <w:panose1 w:val="00020600040101010101"/>
    <w:charset w:val="86"/>
    <w:family w:val="auto"/>
    <w:pitch w:val="default"/>
    <w:sig w:usb0="A00002BF" w:usb1="18EF7CFA" w:usb2="00000016" w:usb3="00000000" w:csb0="00040000" w:csb1="00000000"/>
  </w:font>
  <w:font w:name="汉仪书宋二简">
    <w:altName w:val="华文宋体"/>
    <w:panose1 w:val="02010600000101010101"/>
    <w:charset w:val="86"/>
    <w:family w:val="modern"/>
    <w:pitch w:val="default"/>
    <w:sig w:usb0="00000000" w:usb1="00000000" w:usb2="00000002" w:usb3="00000000" w:csb0="00040000" w:csb1="00000000"/>
  </w:font>
  <w:font w:name="华文宋体">
    <w:panose1 w:val="02010600040101010101"/>
    <w:charset w:val="86"/>
    <w:family w:val="auto"/>
    <w:pitch w:val="default"/>
    <w:sig w:usb0="80000287" w:usb1="280F3C52" w:usb2="00000016" w:usb3="00000000" w:csb0="0004001F" w:csb1="00000000"/>
  </w:font>
  <w:font w:name="Times New Roman Regular">
    <w:panose1 w:val="02020503050405090304"/>
    <w:charset w:val="00"/>
    <w:family w:val="auto"/>
    <w:pitch w:val="default"/>
    <w:sig w:usb0="E0000AFF" w:usb1="00007843" w:usb2="00000001" w:usb3="00000000" w:csb0="400001BF" w:csb1="DFF7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宋体-简">
    <w:panose1 w:val="02010800040101010101"/>
    <w:charset w:val="86"/>
    <w:family w:val="auto"/>
    <w:pitch w:val="default"/>
    <w:sig w:usb0="00000001" w:usb1="080F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CFBDAEF9"/>
    <w:rsid w:val="09FF37FE"/>
    <w:rsid w:val="0D9A55A2"/>
    <w:rsid w:val="13EF1752"/>
    <w:rsid w:val="16EFD392"/>
    <w:rsid w:val="177DA370"/>
    <w:rsid w:val="17DFFA75"/>
    <w:rsid w:val="18BFC09B"/>
    <w:rsid w:val="1BC8E4F3"/>
    <w:rsid w:val="1BEF9C01"/>
    <w:rsid w:val="1BFB8A79"/>
    <w:rsid w:val="1FFDE82A"/>
    <w:rsid w:val="1FFE3DC8"/>
    <w:rsid w:val="25E4E361"/>
    <w:rsid w:val="2FF57ABD"/>
    <w:rsid w:val="37F9300F"/>
    <w:rsid w:val="39CD9E08"/>
    <w:rsid w:val="3AA211B0"/>
    <w:rsid w:val="3DDD8785"/>
    <w:rsid w:val="3EFF2196"/>
    <w:rsid w:val="3EFFCDE3"/>
    <w:rsid w:val="3F7D6D90"/>
    <w:rsid w:val="3FDF38B5"/>
    <w:rsid w:val="3FF373A0"/>
    <w:rsid w:val="4D7AF3B1"/>
    <w:rsid w:val="4EFF6AA8"/>
    <w:rsid w:val="4F7E5D39"/>
    <w:rsid w:val="4FAD7741"/>
    <w:rsid w:val="4FEF7A7F"/>
    <w:rsid w:val="4FF62111"/>
    <w:rsid w:val="577DF98B"/>
    <w:rsid w:val="57FDC1B1"/>
    <w:rsid w:val="5BB7B3D0"/>
    <w:rsid w:val="5BF630B3"/>
    <w:rsid w:val="5D1E5E35"/>
    <w:rsid w:val="5D2F548A"/>
    <w:rsid w:val="5D9CC53C"/>
    <w:rsid w:val="5DBFD756"/>
    <w:rsid w:val="5EF589B3"/>
    <w:rsid w:val="5F2FB4C6"/>
    <w:rsid w:val="5F67BE34"/>
    <w:rsid w:val="5F9FED60"/>
    <w:rsid w:val="5FDFC522"/>
    <w:rsid w:val="63F79634"/>
    <w:rsid w:val="676B1FCF"/>
    <w:rsid w:val="6BBF548D"/>
    <w:rsid w:val="6BEE3C17"/>
    <w:rsid w:val="6CFC5835"/>
    <w:rsid w:val="6DD90F6A"/>
    <w:rsid w:val="6EBFFE06"/>
    <w:rsid w:val="6EDC6954"/>
    <w:rsid w:val="6F7FD66B"/>
    <w:rsid w:val="6FC75035"/>
    <w:rsid w:val="6FE9DFA5"/>
    <w:rsid w:val="6FF6B73E"/>
    <w:rsid w:val="6FF7B5C8"/>
    <w:rsid w:val="6FF7C38D"/>
    <w:rsid w:val="72B16660"/>
    <w:rsid w:val="72FEDFAF"/>
    <w:rsid w:val="74EF0DAF"/>
    <w:rsid w:val="75FFDC8C"/>
    <w:rsid w:val="76576194"/>
    <w:rsid w:val="78FF9F1C"/>
    <w:rsid w:val="795BB6EC"/>
    <w:rsid w:val="79B72732"/>
    <w:rsid w:val="7A8FECFA"/>
    <w:rsid w:val="7B6D3C00"/>
    <w:rsid w:val="7B77E946"/>
    <w:rsid w:val="7BAF28C8"/>
    <w:rsid w:val="7BFFD2F7"/>
    <w:rsid w:val="7C7DDD51"/>
    <w:rsid w:val="7C9D61C3"/>
    <w:rsid w:val="7D473A11"/>
    <w:rsid w:val="7D7FD33D"/>
    <w:rsid w:val="7DBDD90E"/>
    <w:rsid w:val="7DBFEFAD"/>
    <w:rsid w:val="7DE7821D"/>
    <w:rsid w:val="7DF9200D"/>
    <w:rsid w:val="7E3F6002"/>
    <w:rsid w:val="7EFFC158"/>
    <w:rsid w:val="7F3B9F4C"/>
    <w:rsid w:val="7F3C3286"/>
    <w:rsid w:val="7F695405"/>
    <w:rsid w:val="7F6B748A"/>
    <w:rsid w:val="7FB49696"/>
    <w:rsid w:val="7FB797CE"/>
    <w:rsid w:val="7FBF0F91"/>
    <w:rsid w:val="7FE7235C"/>
    <w:rsid w:val="7FFCE884"/>
    <w:rsid w:val="8ABEE47C"/>
    <w:rsid w:val="A3C7B59A"/>
    <w:rsid w:val="AEAF67DC"/>
    <w:rsid w:val="AECFAD74"/>
    <w:rsid w:val="AED07A5A"/>
    <w:rsid w:val="AEFFF231"/>
    <w:rsid w:val="AF7349BF"/>
    <w:rsid w:val="B1FDE468"/>
    <w:rsid w:val="B3FEA9EF"/>
    <w:rsid w:val="B7FEF551"/>
    <w:rsid w:val="B9FFBA7D"/>
    <w:rsid w:val="BBBF8B80"/>
    <w:rsid w:val="BBD68691"/>
    <w:rsid w:val="BFD7C2A8"/>
    <w:rsid w:val="BFDF45C5"/>
    <w:rsid w:val="BFDF5E9D"/>
    <w:rsid w:val="BFFFC478"/>
    <w:rsid w:val="C2FF7057"/>
    <w:rsid w:val="CBDA46FA"/>
    <w:rsid w:val="CDF9AD73"/>
    <w:rsid w:val="CEAF22DB"/>
    <w:rsid w:val="CFABA3EB"/>
    <w:rsid w:val="CFBDAEF9"/>
    <w:rsid w:val="CFFF1593"/>
    <w:rsid w:val="D7F8DDAE"/>
    <w:rsid w:val="D99D7B6E"/>
    <w:rsid w:val="DBF64670"/>
    <w:rsid w:val="DE5EFF5E"/>
    <w:rsid w:val="DFCCB69C"/>
    <w:rsid w:val="DFDD6831"/>
    <w:rsid w:val="E5718167"/>
    <w:rsid w:val="E59B90E9"/>
    <w:rsid w:val="E5AB3AAB"/>
    <w:rsid w:val="E5DD9418"/>
    <w:rsid w:val="E787CCF8"/>
    <w:rsid w:val="E7BFCB01"/>
    <w:rsid w:val="EA3CD53D"/>
    <w:rsid w:val="EB6E8309"/>
    <w:rsid w:val="EBD730EB"/>
    <w:rsid w:val="EC2D9E1A"/>
    <w:rsid w:val="EECA7655"/>
    <w:rsid w:val="EF06E542"/>
    <w:rsid w:val="EF73E6F1"/>
    <w:rsid w:val="EF7FB042"/>
    <w:rsid w:val="EFB7ADF2"/>
    <w:rsid w:val="EFCFFD3A"/>
    <w:rsid w:val="EFDF470A"/>
    <w:rsid w:val="EFDFF3E6"/>
    <w:rsid w:val="EFE712E6"/>
    <w:rsid w:val="EFF7C6A6"/>
    <w:rsid w:val="F0D7EC59"/>
    <w:rsid w:val="F0DE3C2E"/>
    <w:rsid w:val="F1B927A4"/>
    <w:rsid w:val="F3FF92B4"/>
    <w:rsid w:val="F54E1163"/>
    <w:rsid w:val="F56E2A6E"/>
    <w:rsid w:val="F5EEDA60"/>
    <w:rsid w:val="F5EFB180"/>
    <w:rsid w:val="F6CFF3E3"/>
    <w:rsid w:val="F6DFFC0C"/>
    <w:rsid w:val="F735CF42"/>
    <w:rsid w:val="F73F225B"/>
    <w:rsid w:val="FABE4737"/>
    <w:rsid w:val="FB3760F9"/>
    <w:rsid w:val="FBDF91EB"/>
    <w:rsid w:val="FBFF7EF4"/>
    <w:rsid w:val="FCEF4E65"/>
    <w:rsid w:val="FD375179"/>
    <w:rsid w:val="FD6C9E97"/>
    <w:rsid w:val="FD6EB3EE"/>
    <w:rsid w:val="FDBDD900"/>
    <w:rsid w:val="FDF59568"/>
    <w:rsid w:val="FE7F0F70"/>
    <w:rsid w:val="FEA64923"/>
    <w:rsid w:val="FED769C8"/>
    <w:rsid w:val="FEEF9E93"/>
    <w:rsid w:val="FF3362C6"/>
    <w:rsid w:val="FF6F6FFE"/>
    <w:rsid w:val="FF7BF13D"/>
    <w:rsid w:val="FF943FE1"/>
    <w:rsid w:val="FF9F8E8F"/>
    <w:rsid w:val="FFBD4032"/>
    <w:rsid w:val="FFBEC6FF"/>
    <w:rsid w:val="FFEB886A"/>
    <w:rsid w:val="FFEFF665"/>
    <w:rsid w:val="FFF72BE1"/>
    <w:rsid w:val="FFFBE5A1"/>
    <w:rsid w:val="FFFF283E"/>
    <w:rsid w:val="FFFF3C31"/>
    <w:rsid w:val="FFFF8129"/>
    <w:rsid w:val="FFFF91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unhideWhenUsed/>
    <w:qFormat/>
    <w:uiPriority w:val="99"/>
    <w:pPr>
      <w:widowControl/>
      <w:spacing w:before="100" w:beforeAutospacing="1" w:after="100" w:afterAutospacing="1" w:line="384" w:lineRule="exact"/>
      <w:ind w:firstLine="721" w:firstLineChars="200"/>
      <w:jc w:val="left"/>
    </w:pPr>
    <w:rPr>
      <w:rFonts w:ascii="宋体" w:hAnsi="宋体" w:eastAsia="汉仪书宋二简" w:cs="宋体"/>
      <w:color w:val="auto"/>
      <w:kern w:val="0"/>
      <w:sz w:val="24"/>
      <w:szCs w:val="24"/>
      <w:lang w:val="en-US" w:eastAsia="zh-CN" w:bidi="ar-SA"/>
    </w:rPr>
  </w:style>
  <w:style w:type="table" w:styleId="4">
    <w:name w:val="Table Gri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Office_12.1.25895.25895_F1E327BC-269C-435d-A152-05C5408002CA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2026-02-07T08:22:00Z</dcterms:created>
  <dc:creator>Arthur (Xiao) Dong</dc:creator>
  <cp:lastModifiedBy>Arthur (Xiao) Dong</cp:lastModifiedBy>
  <dcterms:modified xsi:type="dcterms:W3CDTF">2026-06-20T18:03:38Z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2052-12.1.25895.25895</vt:lpwstr>
  </property>
  <property fmtid="{D5CDD505-2E9C-101B-9397-08002B2CF9AE}" pid="3" name="ICV">
    <vt:lpwstr>3A31E5C62E8666FD53247769E1688135_41</vt:lpwstr>
  </property>
</Properties>
</file>