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sz w:val="28"/>
          <w:szCs w:val="28"/>
          <w:lang w:val="en-US" w:eastAsia="zh-CN"/>
        </w:rPr>
      </w:pPr>
      <w:r>
        <w:rPr>
          <w:rFonts w:hint="eastAsia"/>
          <w:b/>
          <w:bCs/>
          <w:sz w:val="28"/>
          <w:szCs w:val="28"/>
          <w:lang w:val="en-US" w:eastAsia="zh-CN"/>
        </w:rPr>
        <w:t>民诉客观精华突破第二讲课堂笔记（考点15-32）</w:t>
      </w:r>
    </w:p>
    <w:p w14:paraId="4904F42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lang w:val="en-US" w:eastAsia="zh-CN"/>
        </w:rPr>
      </w:pPr>
      <w:r>
        <w:rPr>
          <w:rFonts w:hint="eastAsia" w:ascii="Times New Roman Regular" w:hAnsi="Times New Roman Regular" w:cs="Times New Roman Regular"/>
          <w:b/>
          <w:bCs/>
          <w:sz w:val="21"/>
          <w:szCs w:val="21"/>
          <w:lang w:val="en-US" w:eastAsia="zh-CN"/>
        </w:rPr>
        <w:t>【考点15:民事证据的分类】</w:t>
      </w:r>
    </w:p>
    <w:p w14:paraId="1C4794B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一、本证与反证</w:t>
      </w:r>
    </w:p>
    <w:p w14:paraId="4312FBD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本证，是指对待证事实负有证明责任的一方当事人提出的、用以证明其主张事实存在的证据。</w:t>
      </w:r>
    </w:p>
    <w:p w14:paraId="182D27D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反证，是指不负证明责任的当事人提出的证明对方主张的事实不真实的证据。</w:t>
      </w:r>
    </w:p>
    <w:p w14:paraId="38348D1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二、直接证据与间接证据</w:t>
      </w:r>
    </w:p>
    <w:p w14:paraId="4E31177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直接证据，是指能够单独地、直接地证明待证事实的证据。例如，借款合同可以直接证明合同双方之间存在借贷法律关系。</w:t>
      </w:r>
    </w:p>
    <w:p w14:paraId="2FE8823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间接证据，是指不能单独、直接证明案件的待证事实，必须与其他证据结合起来才能证明该待证事实的证据。</w:t>
      </w:r>
    </w:p>
    <w:p w14:paraId="709D9EB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三、原始证据与传来证据</w:t>
      </w:r>
    </w:p>
    <w:p w14:paraId="5268CE5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原始证据，是指直接来源于案件事实的证据，即所谓的第一手资料。</w:t>
      </w:r>
    </w:p>
    <w:p w14:paraId="39E55AC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传来证据，是指从原始证据中派生出来的证据，又称派生证据。</w:t>
      </w:r>
    </w:p>
    <w:p w14:paraId="3AFFECE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4C92C0E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【考点16:证据保全】</w:t>
      </w:r>
    </w:p>
    <w:p w14:paraId="642F10C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w:t>
      </w:r>
      <w:r>
        <w:rPr>
          <w:rFonts w:hint="default" w:ascii="Times New Roman Regular" w:hAnsi="Times New Roman Regular" w:cs="Times New Roman Regular"/>
          <w:sz w:val="21"/>
          <w:szCs w:val="21"/>
          <w:u w:val="none"/>
          <w:lang w:val="en-US" w:eastAsia="zh-CN"/>
        </w:rPr>
        <w:t>、证据保全程序规则</w:t>
      </w:r>
    </w:p>
    <w:p w14:paraId="4EA4488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1．法院进行证据保全，可以要求当事人或者诉讼代理人到场。</w:t>
      </w:r>
    </w:p>
    <w:p w14:paraId="65015C0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2．申请证据保全错误造成财产损失，当事人请求申请人承担赔偿责任，法院应予支持。</w:t>
      </w:r>
    </w:p>
    <w:p w14:paraId="289E826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3．法院采取诉前证据保全措施后，当事人向其他有管辖权的法院提起诉讼，采取保全措施的法院应当根据当事人的申请，将保全的证据及时移交受理案件的法院。</w:t>
      </w:r>
    </w:p>
    <w:p w14:paraId="18A141C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w:t>
      </w:r>
      <w:r>
        <w:rPr>
          <w:rFonts w:hint="default" w:ascii="Times New Roman Regular" w:hAnsi="Times New Roman Regular" w:cs="Times New Roman Regular"/>
          <w:sz w:val="21"/>
          <w:szCs w:val="21"/>
          <w:u w:val="none"/>
          <w:lang w:val="en-US" w:eastAsia="zh-CN"/>
        </w:rPr>
        <w:t>、证据保全的效力</w:t>
      </w:r>
    </w:p>
    <w:p w14:paraId="563C9BE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1．已保全的证据，双方当事人在诉讼中均可使用。</w:t>
      </w:r>
    </w:p>
    <w:p w14:paraId="42C6E40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2．已保全的证据，就该证据能够证明的案件待证事实，可以免除有关当事人提供证据的责任。</w:t>
      </w:r>
    </w:p>
    <w:p w14:paraId="2E4A1B6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3．已保全的证据，仍应在辩论中予以陈述，法院不应将其直接作为裁判的根据。</w:t>
      </w:r>
    </w:p>
    <w:p w14:paraId="6F871D0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4198431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【考点17:证明对象】</w:t>
      </w:r>
    </w:p>
    <w:p w14:paraId="1AA3480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一、免证事实</w:t>
      </w:r>
    </w:p>
    <w:p w14:paraId="78E478B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1．自然规律以及定理、定律是绝对免证的事实，其余为相对免证事实。</w:t>
      </w:r>
    </w:p>
    <w:p w14:paraId="483324D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2．外国法院作出的裁判所确认的基本事实不具有免证效力，只能是公文书证。</w:t>
      </w:r>
    </w:p>
    <w:p w14:paraId="06FD25D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3．生效的法院调解书确认的基本事实不会产生免证的效力。</w:t>
      </w:r>
    </w:p>
    <w:p w14:paraId="7576F95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二、自认</w:t>
      </w:r>
    </w:p>
    <w:p w14:paraId="3146AE3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适用主体</w:t>
      </w:r>
    </w:p>
    <w:p w14:paraId="73FCA0A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当事人是最常见的自认主体，法定代理人也有权作出自认。</w:t>
      </w:r>
    </w:p>
    <w:p w14:paraId="192B13A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委托代理人的自认：除授权委托书明确排除的事项外，诉讼代理人的自认视为当事人的自认。当事人在场对诉讼代理人的自认明确否认，不视为自认。（自认无须考虑委托人的代理权限）</w:t>
      </w:r>
    </w:p>
    <w:p w14:paraId="36F117A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必要共同诉讼中自认</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其他共同诉讼人承认</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构成自认</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其他共同诉讼人沉默</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构成自认（拟制自认）</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其他共同诉讼人否认</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不构成自认</w:t>
      </w:r>
    </w:p>
    <w:p w14:paraId="070FB95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普通共同诉讼中自认</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仅对自认的当事人有效，对其他人不发生自认效力</w:t>
      </w:r>
    </w:p>
    <w:p w14:paraId="45756BA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.适用形式</w:t>
      </w:r>
    </w:p>
    <w:p w14:paraId="790B100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（1）明示自认：当事人明确陈述或承认对方提出的于己不利事实。</w:t>
      </w:r>
    </w:p>
    <w:p w14:paraId="67BF967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（2）默示自认：又称为拟制自认。即对一方当事人陈述的事实，另一方当事人既未表示承认也未否认，经审判人员充分说明并询问后，其仍不明确表示肯定或者否定的，视为对该项事实的承认。</w:t>
      </w:r>
    </w:p>
    <w:p w14:paraId="135CAB9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（3）附条件自认：一方当事人对于另一方当事人主张的于己不利的事实有所限制或者附加条件予以承认的，由法院综合案件情况决定是否构成自认。</w:t>
      </w:r>
    </w:p>
    <w:p w14:paraId="3ED7BBF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3.适用时间</w:t>
      </w:r>
    </w:p>
    <w:p w14:paraId="6213FC4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从起诉到判决作出的整个时间段。</w:t>
      </w:r>
    </w:p>
    <w:p w14:paraId="3DA9EE6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4.自认的法律效力</w:t>
      </w:r>
    </w:p>
    <w:p w14:paraId="75873FE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对当事人的效力</w:t>
      </w:r>
    </w:p>
    <w:p w14:paraId="795B28D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对方当事人无需举证证明。同时，作出自认的当事人对自认不得随意撤回。</w:t>
      </w:r>
    </w:p>
    <w:p w14:paraId="7D0DF46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对法院的效力</w:t>
      </w:r>
    </w:p>
    <w:p w14:paraId="3EF7745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根据约束性辩论原则的要求，法院应当将当事人自认的事实作为认定案件事实的依据。但如果自认与已经查明的事实不符，法院不予确认。</w:t>
      </w:r>
    </w:p>
    <w:p w14:paraId="12468FA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5.</w:t>
      </w:r>
      <w:r>
        <w:rPr>
          <w:rFonts w:hint="default" w:ascii="Times New Roman Regular" w:hAnsi="Times New Roman Regular" w:cs="Times New Roman Regular"/>
          <w:sz w:val="21"/>
          <w:szCs w:val="21"/>
          <w:u w:val="none"/>
          <w:lang w:val="en-US" w:eastAsia="zh-CN"/>
        </w:rPr>
        <w:t>自认的撤销</w:t>
      </w:r>
    </w:p>
    <w:p w14:paraId="0F33ECB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适用情形：法庭辩论终结前+对方当事人同意/法庭辩论终结前+受胁迫或者重大误解。</w:t>
      </w:r>
    </w:p>
    <w:p w14:paraId="66C4E0E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法院可以口头或者书面裁定处理（不得上诉）。</w:t>
      </w:r>
    </w:p>
    <w:p w14:paraId="720A29F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6.</w:t>
      </w:r>
      <w:bookmarkStart w:id="0" w:name="_GoBack"/>
      <w:bookmarkEnd w:id="0"/>
      <w:r>
        <w:rPr>
          <w:rFonts w:hint="default" w:ascii="Times New Roman Regular" w:hAnsi="Times New Roman Regular" w:cs="Times New Roman Regular"/>
          <w:sz w:val="21"/>
          <w:szCs w:val="21"/>
          <w:u w:val="none"/>
          <w:lang w:val="en-US" w:eastAsia="zh-CN"/>
        </w:rPr>
        <w:t>不适用自认制度的情形</w:t>
      </w:r>
    </w:p>
    <w:p w14:paraId="49D4AFA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具体情形包括：“三个利益”、身份关系、民事公益诉讼、程序性事项、与法院已查明事实不符、调解自认豁免规则。</w:t>
      </w:r>
    </w:p>
    <w:p w14:paraId="2D28FB0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3CD4A18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【考点18:证明责任与证明标准】</w:t>
      </w:r>
    </w:p>
    <w:p w14:paraId="137EE29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w:t>
      </w:r>
      <w:r>
        <w:rPr>
          <w:rFonts w:hint="default" w:ascii="Times New Roman Regular" w:hAnsi="Times New Roman Regular" w:cs="Times New Roman Regular"/>
          <w:sz w:val="21"/>
          <w:szCs w:val="21"/>
          <w:u w:val="none"/>
          <w:lang w:val="en-US" w:eastAsia="zh-CN"/>
        </w:rPr>
        <w:t>、证明责任分配的一般规则</w:t>
      </w:r>
    </w:p>
    <w:p w14:paraId="291C6E7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1．主张法律关系存在的当事人，应对产生该法律关系的基本事实承担举证证明责任；</w:t>
      </w:r>
    </w:p>
    <w:p w14:paraId="1324ECA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2．主张法律关系变更、消灭或者权利受到妨害的当事人，应当对该法律关系变更、消灭或者权利受到妨害的基本事实承担举证证明责任。</w:t>
      </w:r>
    </w:p>
    <w:p w14:paraId="1533446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w:t>
      </w:r>
      <w:r>
        <w:rPr>
          <w:rFonts w:hint="default" w:ascii="Times New Roman Regular" w:hAnsi="Times New Roman Regular" w:cs="Times New Roman Regular"/>
          <w:sz w:val="21"/>
          <w:szCs w:val="21"/>
          <w:u w:val="none"/>
          <w:lang w:val="en-US" w:eastAsia="zh-CN"/>
        </w:rPr>
        <w:t>、证明责任的特殊分配规则</w:t>
      </w:r>
    </w:p>
    <w:p w14:paraId="11AEEF1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医疗损害责任</w:t>
      </w:r>
      <w:r>
        <w:rPr>
          <w:rFonts w:hint="eastAsia" w:ascii="Times New Roman Regular" w:hAnsi="Times New Roman Regular" w:cs="Times New Roman Regular"/>
          <w:sz w:val="21"/>
          <w:szCs w:val="21"/>
          <w:u w:val="none"/>
          <w:lang w:val="en-US" w:eastAsia="zh-CN"/>
        </w:rPr>
        <w:t>：被告证明过错</w:t>
      </w:r>
    </w:p>
    <w:p w14:paraId="01A8CC4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环境污染责任</w:t>
      </w:r>
      <w:r>
        <w:rPr>
          <w:rFonts w:hint="eastAsia" w:ascii="Times New Roman Regular" w:hAnsi="Times New Roman Regular" w:cs="Times New Roman Regular"/>
          <w:sz w:val="21"/>
          <w:szCs w:val="21"/>
          <w:u w:val="none"/>
          <w:lang w:val="en-US" w:eastAsia="zh-CN"/>
        </w:rPr>
        <w:t>：无需证明过错，被告证明因果关系</w:t>
      </w:r>
    </w:p>
    <w:p w14:paraId="66FFE68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w:t>
      </w:r>
      <w:r>
        <w:rPr>
          <w:rFonts w:hint="default" w:ascii="Times New Roman Regular" w:hAnsi="Times New Roman Regular" w:cs="Times New Roman Regular"/>
          <w:sz w:val="21"/>
          <w:szCs w:val="21"/>
          <w:u w:val="none"/>
          <w:lang w:val="en-US" w:eastAsia="zh-CN"/>
        </w:rPr>
        <w:t>饲养动物损害责任</w:t>
      </w:r>
      <w:r>
        <w:rPr>
          <w:rFonts w:hint="eastAsia" w:ascii="Times New Roman Regular" w:hAnsi="Times New Roman Regular" w:cs="Times New Roman Regular"/>
          <w:sz w:val="21"/>
          <w:szCs w:val="21"/>
          <w:u w:val="none"/>
          <w:lang w:val="en-US" w:eastAsia="zh-CN"/>
        </w:rPr>
        <w:t>：无需证明过错</w:t>
      </w:r>
    </w:p>
    <w:p w14:paraId="5B8F017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4.</w:t>
      </w:r>
      <w:r>
        <w:rPr>
          <w:rFonts w:hint="default" w:ascii="Times New Roman Regular" w:hAnsi="Times New Roman Regular" w:cs="Times New Roman Regular"/>
          <w:sz w:val="21"/>
          <w:szCs w:val="21"/>
          <w:u w:val="none"/>
          <w:lang w:val="en-US" w:eastAsia="zh-CN"/>
        </w:rPr>
        <w:t>建筑物、构筑物或者其他设施及其搁置物、悬挂物发生脱落、坠落；公共道路上堆放、倾倒、遗撒妨碍通行的物品；堆放物倒塌、滚落或者滑落；林木折断、倾倒或者果实坠落；公共场所或者道路上挖掘、修缮安装地下设施；窨井等地下设施等致人损害</w:t>
      </w:r>
      <w:r>
        <w:rPr>
          <w:rFonts w:hint="eastAsia" w:ascii="Times New Roman Regular" w:hAnsi="Times New Roman Regular" w:cs="Times New Roman Regular"/>
          <w:sz w:val="21"/>
          <w:szCs w:val="21"/>
          <w:u w:val="none"/>
          <w:lang w:val="en-US" w:eastAsia="zh-CN"/>
        </w:rPr>
        <w:t>：被告证明过错</w:t>
      </w:r>
    </w:p>
    <w:p w14:paraId="5C04589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三、证明标准</w:t>
      </w:r>
    </w:p>
    <w:p w14:paraId="2FE5277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w:t>
      </w:r>
      <w:r>
        <w:rPr>
          <w:rFonts w:hint="default" w:ascii="Times New Roman Regular" w:hAnsi="Times New Roman Regular" w:cs="Times New Roman Regular"/>
          <w:sz w:val="21"/>
          <w:szCs w:val="21"/>
          <w:u w:val="none"/>
          <w:lang w:val="en-US" w:eastAsia="zh-CN"/>
        </w:rPr>
        <w:t>一般标准</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高度可能性</w:t>
      </w:r>
    </w:p>
    <w:p w14:paraId="2A6D134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w:t>
      </w:r>
      <w:r>
        <w:rPr>
          <w:rFonts w:hint="default" w:ascii="Times New Roman Regular" w:hAnsi="Times New Roman Regular" w:cs="Times New Roman Regular"/>
          <w:sz w:val="21"/>
          <w:szCs w:val="21"/>
          <w:u w:val="none"/>
          <w:lang w:val="en-US" w:eastAsia="zh-CN"/>
        </w:rPr>
        <w:t>欺诈、胁迫、恶意串通事实、口头遗嘱或赠与事实</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排除合理怀疑</w:t>
      </w:r>
    </w:p>
    <w:p w14:paraId="5307C9F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w:t>
      </w:r>
      <w:r>
        <w:rPr>
          <w:rFonts w:hint="default" w:ascii="Times New Roman Regular" w:hAnsi="Times New Roman Regular" w:cs="Times New Roman Regular"/>
          <w:sz w:val="21"/>
          <w:szCs w:val="21"/>
          <w:u w:val="none"/>
          <w:lang w:val="en-US" w:eastAsia="zh-CN"/>
        </w:rPr>
        <w:t>诉讼保全、回避等程序法事实</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可能性较大</w:t>
      </w:r>
    </w:p>
    <w:p w14:paraId="43F481F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0CE63DE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【考点19:证明程序】</w:t>
      </w:r>
    </w:p>
    <w:p w14:paraId="4EE670C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一、举证时限</w:t>
      </w:r>
    </w:p>
    <w:p w14:paraId="3C9AB3E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1．当事人提出管辖权异议，举证期限中止，自驳回管辖权异议的裁定生效之日起恢复计算；</w:t>
      </w:r>
    </w:p>
    <w:p w14:paraId="0634F00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2．追加当事人、有独立请求权的第三人参加诉讼或者无独立请求权的第三人经法院通知参加诉讼，法院应当为新参加诉讼的当事人确定举证期限，该举证期限适用于其他当事人；</w:t>
      </w:r>
    </w:p>
    <w:p w14:paraId="5EC5BC1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3．发回重审的案件，第一审法院可以结合案件具体情况和发回重审的原因，酌情确定举证期限；</w:t>
      </w:r>
    </w:p>
    <w:p w14:paraId="07574C3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4．当事人增加、变更诉讼请求或者提出反诉，法院应当根据案件具体情况重新确定举证期限；</w:t>
      </w:r>
    </w:p>
    <w:p w14:paraId="67E8510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5．公告送达，举证期限自公告期届满之次日起计算。</w:t>
      </w:r>
    </w:p>
    <w:p w14:paraId="2860F06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6．除申请鉴定外，证据部分的期间均为举证时限届满前；</w:t>
      </w:r>
    </w:p>
    <w:p w14:paraId="6E2B68C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7．逾期举证的法律后果并不包括拘留。</w:t>
      </w:r>
    </w:p>
    <w:p w14:paraId="0D7F45E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二、法院调查收集证据</w:t>
      </w:r>
    </w:p>
    <w:p w14:paraId="4BD4FB9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（一）法院主动调查收集</w:t>
      </w:r>
    </w:p>
    <w:p w14:paraId="24CC351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具体情形包括：“三个利益”、身份关系、民事公益诉讼、程序性事项。同时也是法院依职权通知证人出庭、依职权委托鉴定、不适用自认的情形。</w:t>
      </w:r>
    </w:p>
    <w:p w14:paraId="02129D4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（二）根据当事人申请调查收集证据</w:t>
      </w:r>
    </w:p>
    <w:p w14:paraId="5AE1866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1．适用情形</w:t>
      </w:r>
    </w:p>
    <w:p w14:paraId="5687C30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 xml:space="preserve">（1）证据由国家有关部门保存，当事人及其诉讼代理人无权查阅调取的； </w:t>
      </w:r>
    </w:p>
    <w:p w14:paraId="730DE66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 xml:space="preserve">（2）涉及国家秘密、商业秘密或者个人隐私的； </w:t>
      </w:r>
    </w:p>
    <w:p w14:paraId="5011E0B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（3）当事人及其诉讼代理人因客观原因不能自行收集的其他证据。</w:t>
      </w:r>
    </w:p>
    <w:p w14:paraId="0C1F92C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2．申请主体：当事人本人或者代理人</w:t>
      </w:r>
    </w:p>
    <w:p w14:paraId="33A0E41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3．申请期限：举证期限届满前</w:t>
      </w:r>
    </w:p>
    <w:p w14:paraId="2B7EAF7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4．申请形式：提交申请书</w:t>
      </w:r>
    </w:p>
    <w:p w14:paraId="7D6BD8E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三、质证</w:t>
      </w:r>
    </w:p>
    <w:p w14:paraId="345A1BB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1．公开质证原则：证据应当在法庭上出示，由当事人互相质证。未经当事人质证的证据，不得作为认定案件事实的根据。</w:t>
      </w:r>
    </w:p>
    <w:p w14:paraId="1E14545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2．例外规定：</w:t>
      </w:r>
    </w:p>
    <w:p w14:paraId="11627BF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（1）当事人在审理前的准备阶段或者法院调查、询问过程中发表过质证意见的证据，视为质证过的证据。</w:t>
      </w:r>
    </w:p>
    <w:p w14:paraId="1E90A5A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（2）涉及国家秘密、商业秘密、个人隐私或者法律规定应当保密的证据，不得公开质证。</w:t>
      </w:r>
    </w:p>
    <w:p w14:paraId="7A85BB0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06AEFE8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【考点20:法院调解】</w:t>
      </w:r>
    </w:p>
    <w:p w14:paraId="6079E57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一、法院调解程序</w:t>
      </w:r>
    </w:p>
    <w:p w14:paraId="0818F71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1．非讼案件、身份关系确认案件以及执行程序不适用调解（离婚纠纷应当调解）；</w:t>
      </w:r>
    </w:p>
    <w:p w14:paraId="0F9E6B0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2．经特别授权的委托代理人可参加调解，调解协议可由委托代理人签名；</w:t>
      </w:r>
    </w:p>
    <w:p w14:paraId="1E81551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3．调解原则上采取面对面的形式，也可背靠背调解；</w:t>
      </w:r>
    </w:p>
    <w:p w14:paraId="6F62A4B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4．调解协议可以超出原告诉讼请求范围；</w:t>
      </w:r>
    </w:p>
    <w:p w14:paraId="0BB1775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5．当事人可以就不履行调解协议约定民事责任；</w:t>
      </w:r>
    </w:p>
    <w:p w14:paraId="1EA712C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6．调解过程不公开，但当事人同意公开的除外；</w:t>
      </w:r>
    </w:p>
    <w:p w14:paraId="41EB220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7．调解协议内容不公开，但为保护国家利益、社会公共利益、他人合法权益，法院认为确有必要公开的除外。</w:t>
      </w:r>
    </w:p>
    <w:p w14:paraId="61C2F29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二、调解书及调解的效力</w:t>
      </w:r>
    </w:p>
    <w:p w14:paraId="2FEA50F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（一）调解书的制作</w:t>
      </w:r>
    </w:p>
    <w:p w14:paraId="743EF67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1．以最后收到调解书的当事人签收的日期为调解书生效时间；</w:t>
      </w:r>
    </w:p>
    <w:p w14:paraId="24E4CCF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2．当事人以民事调解书与调解协议的原意不一致为由提出异议，法院审查后认为异议成立的，应当根据调解协议裁定补正民事调解书的相关内容；</w:t>
      </w:r>
    </w:p>
    <w:p w14:paraId="7B1A4AA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3．不需要制作调解书时，各方在调解协议上签名或盖章后，调解即具有法律效力；</w:t>
      </w:r>
    </w:p>
    <w:p w14:paraId="5AD0564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4．当事人请求法院按照和解协议或者调解协议的内容制作判决书，法院不予准许。（无民事行为能力人的离婚案件和涉外民事诉讼除外）</w:t>
      </w:r>
    </w:p>
    <w:p w14:paraId="0B239CF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（二）调解书签收的特殊规定</w:t>
      </w:r>
    </w:p>
    <w:p w14:paraId="1FF33DB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1．对调解书的内容既不享有权利又不承担义务的当事人不签收调解书，不影响调解书的效力；</w:t>
      </w:r>
    </w:p>
    <w:p w14:paraId="4A80782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2．法院调解民事案件，需由无独立请求权第三人承担责任的，应当经其同意，该第三人在调解书送达前反悔的，法院应当及时裁判；</w:t>
      </w:r>
    </w:p>
    <w:p w14:paraId="12EEC3B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3．担保人拒不签收调解书不影响调解书生效，担保的效力在符合《民法典》规定的条件时生效。</w:t>
      </w:r>
    </w:p>
    <w:p w14:paraId="713AD7F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（三）调解的效力</w:t>
      </w:r>
    </w:p>
    <w:p w14:paraId="432A49D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1．调解协议或调解书发生效力后，当事人不得再行起诉，也不得上诉；</w:t>
      </w:r>
    </w:p>
    <w:p w14:paraId="792CC3E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2．具有给付内容的调解书，具有强制执行力。</w:t>
      </w:r>
    </w:p>
    <w:p w14:paraId="6FDBFEF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67AD6FF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【考点21:期间】</w:t>
      </w:r>
    </w:p>
    <w:p w14:paraId="5DF6AD0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1．期间届满的最后一日是法定休假日的，以法定休假日后的第一日为期间届满日；</w:t>
      </w:r>
    </w:p>
    <w:p w14:paraId="165565F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2．期间不包括文书在途时间；</w:t>
      </w:r>
    </w:p>
    <w:p w14:paraId="3902144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3．期间的延展需要当事人申请，法院不能主动依职权顺延期限。</w:t>
      </w:r>
    </w:p>
    <w:p w14:paraId="0EDEA57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4965076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【考点22:送达方式】</w:t>
      </w:r>
    </w:p>
    <w:p w14:paraId="4E96006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一、直接送达</w:t>
      </w:r>
    </w:p>
    <w:p w14:paraId="0590DA8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送达对象：受送达人；受送达人同住的成年家属；法人的法定代表人、其他组织的主要负责人、负责收件人；受送达人指定的代收人；诉讼代理人。</w:t>
      </w:r>
    </w:p>
    <w:p w14:paraId="2B1BBAD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送达地点：当事人的住所、法院等。</w:t>
      </w:r>
    </w:p>
    <w:p w14:paraId="1386CE5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二、留置送达</w:t>
      </w:r>
    </w:p>
    <w:p w14:paraId="394922C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适用情形：受送达人或者有资格接受送达的人拒绝接收诉讼文书；定期宣判时当事人拒绝签收判决书、裁定书。</w:t>
      </w:r>
    </w:p>
    <w:p w14:paraId="27A0098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送达流程：可以请人见证，也可以拍照、录像记录。</w:t>
      </w:r>
    </w:p>
    <w:p w14:paraId="6916224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三、电子送达</w:t>
      </w:r>
    </w:p>
    <w:p w14:paraId="6838504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送达方式：传真、电子邮件、移动通信等能够确认收悉的方式送达。</w:t>
      </w:r>
    </w:p>
    <w:p w14:paraId="6F8CA8A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适用条件：受送达人同意（应在送达地址确认书中确认）。</w:t>
      </w:r>
    </w:p>
    <w:p w14:paraId="1AF6C50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四、委托送达</w:t>
      </w:r>
    </w:p>
    <w:p w14:paraId="41EC6C9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委托对象只能是其他法院。</w:t>
      </w:r>
    </w:p>
    <w:p w14:paraId="33AC7B4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五、邮寄送达</w:t>
      </w:r>
    </w:p>
    <w:p w14:paraId="1A0944F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以邮件回执的收件日期为送达日期</w:t>
      </w:r>
      <w:r>
        <w:rPr>
          <w:rFonts w:hint="eastAsia" w:ascii="Times New Roman Regular" w:hAnsi="Times New Roman Regular" w:cs="Times New Roman Regular"/>
          <w:sz w:val="21"/>
          <w:szCs w:val="21"/>
          <w:u w:val="none"/>
          <w:lang w:val="en-US" w:eastAsia="zh-CN"/>
        </w:rPr>
        <w:t>。</w:t>
      </w:r>
    </w:p>
    <w:p w14:paraId="082C1C1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六、转交送达</w:t>
      </w:r>
    </w:p>
    <w:p w14:paraId="45214BC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军人</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所在部队团以上政治机关</w:t>
      </w:r>
    </w:p>
    <w:p w14:paraId="5D5FB9A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被监禁的人</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所在监所</w:t>
      </w:r>
    </w:p>
    <w:p w14:paraId="123B701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被采取强制性教育措施的人</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所在强制教育机构</w:t>
      </w:r>
    </w:p>
    <w:p w14:paraId="00984BB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七、公告送达</w:t>
      </w:r>
    </w:p>
    <w:p w14:paraId="507B292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适用情形：（1）受送达人下落不明；（2）其他送达方法均无法送达。</w:t>
      </w:r>
    </w:p>
    <w:p w14:paraId="65B3A54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公告期限：（1）国内诉讼发出公告之日起经过30日；（2）涉外诉讼发出公告之日起经过60日。</w:t>
      </w:r>
    </w:p>
    <w:p w14:paraId="5B9E304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4E2FA8B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【考点23:保全】</w:t>
      </w:r>
    </w:p>
    <w:p w14:paraId="3EC6642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一、保全的种类</w:t>
      </w:r>
    </w:p>
    <w:p w14:paraId="1C33B89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包括诉前保全、诉讼中保全、执行前保全</w:t>
      </w:r>
    </w:p>
    <w:p w14:paraId="2A7499D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二、保全的措施</w:t>
      </w:r>
    </w:p>
    <w:p w14:paraId="08736D2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（一）财产保全措施</w:t>
      </w:r>
    </w:p>
    <w:p w14:paraId="3A8FB29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1．保全财产的保管</w:t>
      </w:r>
    </w:p>
    <w:p w14:paraId="29231F2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原则上由法院保管，不宜由法院保管的，法院可以指定被保全人负责保管；不宜由被保全人保管的，可以委托他人或者申请保全人保管。</w:t>
      </w:r>
    </w:p>
    <w:p w14:paraId="2E4F413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查封、扣押、冻结担保物权人占有的担保财产，一般由担保物权人保管；由法院保管时，质权、留置权不因采取保全措施而消灭。</w:t>
      </w:r>
    </w:p>
    <w:p w14:paraId="3D84465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2．保全财产的处分</w:t>
      </w:r>
    </w:p>
    <w:p w14:paraId="4F25063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被查封、扣押物是不动产或特定动产，若由法院指定被保全人负责保管，继续使用对该财产的价值无重大影响，可以允许被保全人继续使用。</w:t>
      </w:r>
    </w:p>
    <w:p w14:paraId="38EDF81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财产保全期间，被保全人请求对被保全财产自行处分，法院经审查，认为不损害申请保全人和其他执行债权人合法权益，可以准许。</w:t>
      </w:r>
    </w:p>
    <w:p w14:paraId="062EA15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被保全人请求自行处分作为争议标的的被保全财产，须经申请保全人同意。法院准许被保全人自行处分被保全财产，应当通知保全人；申请保全人不同意，可以提出执行行为异议。</w:t>
      </w:r>
    </w:p>
    <w:p w14:paraId="701226F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3．保全措施与担保物权的关系</w:t>
      </w:r>
    </w:p>
    <w:p w14:paraId="624EC5B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法院对抵押物、质押物、留置物可以采取财产保全措施，但不影响抵押权人、质权人、留置权人的优先受偿权。</w:t>
      </w:r>
    </w:p>
    <w:p w14:paraId="679D90E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（二）行为保全措施</w:t>
      </w:r>
    </w:p>
    <w:p w14:paraId="185CF69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法院发出的命令、强制令或者人身保护令等均为行为保全，不服应当向该法院申请复议。</w:t>
      </w:r>
    </w:p>
    <w:p w14:paraId="4793A43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65E2B2D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【考点24:先予执行】</w:t>
      </w:r>
    </w:p>
    <w:p w14:paraId="52B64F1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1．仅适用于“四费一金一酬”案件；</w:t>
      </w:r>
    </w:p>
    <w:p w14:paraId="5294F93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2．先予执行只适用于诉讼，不适用于仲裁案件；</w:t>
      </w:r>
    </w:p>
    <w:p w14:paraId="3672CEC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3．法院不能依职权裁定先予执行，需要当事人申请；</w:t>
      </w:r>
    </w:p>
    <w:p w14:paraId="568EB7B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4．当事人不服裁定，可以向作出裁定的法院申请复议。</w:t>
      </w:r>
    </w:p>
    <w:p w14:paraId="30D0E54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59B52A2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【考点25：对妨害民事诉讼的强制措施】</w:t>
      </w:r>
    </w:p>
    <w:p w14:paraId="6034097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 xml:space="preserve">1．适用拘传、罚款、拘留必须院长批准； </w:t>
      </w:r>
    </w:p>
    <w:p w14:paraId="0831E23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2．训诫和责令退出法庭由合议庭或独任法官决定；</w:t>
      </w:r>
    </w:p>
    <w:p w14:paraId="6ED5739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3．罚款和拘留用决定书，不服可以向上一级法院复议一次；</w:t>
      </w:r>
    </w:p>
    <w:p w14:paraId="39381FC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4．法院直接移送执行；</w:t>
      </w:r>
    </w:p>
    <w:p w14:paraId="34AD2AA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5．当事人恶意串通或者单方捏造均可构成虚假诉讼（损害“三益”）；</w:t>
      </w:r>
    </w:p>
    <w:p w14:paraId="0A9F082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6．对于虚假诉讼，法院应判决驳回诉讼请求。</w:t>
      </w:r>
    </w:p>
    <w:p w14:paraId="2058E79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4D0F58B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【考点26:起诉与受理】</w:t>
      </w:r>
    </w:p>
    <w:p w14:paraId="64F7185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一、起诉条件</w:t>
      </w:r>
    </w:p>
    <w:p w14:paraId="0D22AE8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1．原告是与本案有直接利害关系的公民、法人和其他组织；</w:t>
      </w:r>
    </w:p>
    <w:p w14:paraId="1631D33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2．有明确的被告；</w:t>
      </w:r>
    </w:p>
    <w:p w14:paraId="4ABCCE4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3．有具体的诉讼请求和事实、理由；</w:t>
      </w:r>
    </w:p>
    <w:p w14:paraId="2D1C92E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4．属于法院受理民事诉讼的范围和受诉法院管辖。</w:t>
      </w:r>
    </w:p>
    <w:p w14:paraId="2C6B26E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若不符合上述条件，法院受理之前，应当裁定不予受理；法院受理之后，应当裁定驳回起诉。两个裁定均可上诉救济。</w:t>
      </w:r>
    </w:p>
    <w:p w14:paraId="6FFD5FC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二、受理</w:t>
      </w:r>
    </w:p>
    <w:p w14:paraId="4E5E1B6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（一）法院不予受理的情形</w:t>
      </w:r>
    </w:p>
    <w:p w14:paraId="1E2BDC6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1．行政诉讼案件；</w:t>
      </w:r>
    </w:p>
    <w:p w14:paraId="1CB30D8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2．仲裁排斥诉讼；</w:t>
      </w:r>
    </w:p>
    <w:p w14:paraId="65BEC83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3．不属于法院主管范围；</w:t>
      </w:r>
    </w:p>
    <w:p w14:paraId="5F116B3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4．法院无管辖权；</w:t>
      </w:r>
    </w:p>
    <w:p w14:paraId="2232443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5．一事不再理，但法院准许撤诉的裁定除外；</w:t>
      </w:r>
    </w:p>
    <w:p w14:paraId="4530EEF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 xml:space="preserve">6．诉权受限期间起诉； </w:t>
      </w:r>
    </w:p>
    <w:p w14:paraId="333A9D0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7．离婚和收养案件：没有新情况、新理由，原告在六个月内又起诉，不予受理；原告撤诉或者按撤诉处理的离婚案件，没有新情况、新理由，六个月内又起诉的，法院不予受理。</w:t>
      </w:r>
    </w:p>
    <w:p w14:paraId="7FDE694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8．重复起诉。构成条件是：①后诉与前诉当事人相同；②后诉与前诉标的相同；③后诉与前诉的诉讼请求相同，或者后诉的诉讼请求实质上否定前诉裁判结果。当事人重复起诉的，裁定不予受理；已经受理的，裁定驳回起诉，但法律、司法解释另有规定的除外。</w:t>
      </w:r>
    </w:p>
    <w:p w14:paraId="7DFABEA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（二）法院应予受理的情形</w:t>
      </w:r>
    </w:p>
    <w:p w14:paraId="1E6705F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1．裁定不予受理、驳回起诉的案件，原告再次起诉，符合起诉条件且不属于不予受理情形的，法院应予受理。</w:t>
      </w:r>
    </w:p>
    <w:p w14:paraId="30C8869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2．当事人达成的仲裁条款或者仲裁协议不成立、无效、失效、内容不明确无法执行的，法院应当依法受理当事人的起诉。</w:t>
      </w:r>
    </w:p>
    <w:p w14:paraId="57DD391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3．夫妻一方下落不明，另一方诉至法院，只要求离婚，不申请宣告下落不明人失踪或者死亡的案件，法院应当受理，对下落不明人公告送达诉讼文书。</w:t>
      </w:r>
    </w:p>
    <w:p w14:paraId="6EBC82C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4．赡养费、扶养费、抚养费案件，裁判发生法律效力后，因新情况、新理由，一方当事人再行起诉要求增加或者减少费用的，法院应作为新案受理。</w:t>
      </w:r>
    </w:p>
    <w:p w14:paraId="6B95C48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5．当事人超过诉讼时效期间起诉的，法院应予受理。受理后对方当事人提出诉讼时效抗辩，法院经审理认为抗辩事由成立的，判决驳回原告的诉讼请求。</w:t>
      </w:r>
    </w:p>
    <w:p w14:paraId="2250CFD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6．裁判发生法律效力后，发生新事实，当事人再次提起诉讼的，法院应依法受理。</w:t>
      </w:r>
    </w:p>
    <w:p w14:paraId="13972C5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7．原告撤诉或者法院按撤诉处理后，原告以同一诉讼请求再次起诉的，法院应予受理。但是，在二审程序或在再审程序中，经其他当事人同意原审原告撤回起诉的除外。</w:t>
      </w:r>
    </w:p>
    <w:p w14:paraId="13E6387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6372B41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【考点27:审理中的特殊情形】</w:t>
      </w:r>
    </w:p>
    <w:p w14:paraId="4DB9FE2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一、撤诉</w:t>
      </w:r>
    </w:p>
    <w:p w14:paraId="324E6FA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申请撤诉的条件：</w:t>
      </w:r>
    </w:p>
    <w:p w14:paraId="1E052F4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1．原告、有独立请求权第三人、提出反诉的被告，法定代理人以及经特别授权的委托诉讼代理人有权申请撤诉；</w:t>
      </w:r>
    </w:p>
    <w:p w14:paraId="0A3A75B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2．申请撤诉必须出于当事人自愿；</w:t>
      </w:r>
    </w:p>
    <w:p w14:paraId="5A47749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3．撤诉应当在案件受理后，判决宣告前提出；</w:t>
      </w:r>
    </w:p>
    <w:p w14:paraId="765D6F8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4．撤诉必须法院审查同意。</w:t>
      </w:r>
    </w:p>
    <w:p w14:paraId="713B694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二、缺席判决</w:t>
      </w:r>
    </w:p>
    <w:p w14:paraId="72762B8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1．被告经传票传唤，无正当理由拒不到庭的，或者未经法庭许可中途退庭；</w:t>
      </w:r>
    </w:p>
    <w:p w14:paraId="252E590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2．法院裁定不准许撤诉，原告经传票传唤，无正当理由拒不到庭；</w:t>
      </w:r>
    </w:p>
    <w:p w14:paraId="4CCFA6F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3．被告提出反诉后，原告无正当理由拒不到庭的，或者未经法庭许可中途退庭；</w:t>
      </w:r>
    </w:p>
    <w:p w14:paraId="2BE9E01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4．无民事行为能力的被告的法定代理人，经传票传唤无正当理由拒不到庭；</w:t>
      </w:r>
    </w:p>
    <w:p w14:paraId="0AECEB2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三、延期审理</w:t>
      </w:r>
    </w:p>
    <w:p w14:paraId="1723517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1．必须到庭的当事人和其他诉讼参与人有正当理由没有到庭的；</w:t>
      </w:r>
    </w:p>
    <w:p w14:paraId="3D55982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2．当事人临时提出回避申请的；</w:t>
      </w:r>
    </w:p>
    <w:p w14:paraId="611FBB3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3．需要通知新的证人到庭，调取新的证据，重新鉴定、勘验，或者需要补充调查的；</w:t>
      </w:r>
    </w:p>
    <w:p w14:paraId="4B7805A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4．其他应当延期的情形（因不可抗力或者意外事件导致庭审无法正常进行的情形）。</w:t>
      </w:r>
    </w:p>
    <w:p w14:paraId="52AB1F8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四、诉讼中止</w:t>
      </w:r>
    </w:p>
    <w:p w14:paraId="2248613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1．一方当事人死亡，需要等待继承人表明是否参加诉讼的；</w:t>
      </w:r>
    </w:p>
    <w:p w14:paraId="5DD1265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2．一方当事人丧失诉讼行为能力，尚未确定法定代理人的；</w:t>
      </w:r>
    </w:p>
    <w:p w14:paraId="22BDA05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3．作为一方当事人的法人或者其他组织终止，尚未确定权利义务承受人的；</w:t>
      </w:r>
    </w:p>
    <w:p w14:paraId="1CAD6BB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4．一方当事人因不可抗拒的事由，不能参加诉讼的；</w:t>
      </w:r>
    </w:p>
    <w:p w14:paraId="2CF4730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5．本案必须以另一案的审理结果为依据，而另一案尚未审结的；</w:t>
      </w:r>
    </w:p>
    <w:p w14:paraId="0E3A653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6．其他应当中止诉讼的情形。</w:t>
      </w:r>
    </w:p>
    <w:p w14:paraId="24D5D1C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五、诉讼终结</w:t>
      </w:r>
    </w:p>
    <w:p w14:paraId="48A198D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1．原告死亡，没有继承人，或者继承人放弃诉讼权利的；</w:t>
      </w:r>
    </w:p>
    <w:p w14:paraId="58816A3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2．被告死亡，没有遗产，也没有应当承担义务的人的；</w:t>
      </w:r>
    </w:p>
    <w:p w14:paraId="324CD4B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3．离婚案件一方当事人死亡的；</w:t>
      </w:r>
    </w:p>
    <w:p w14:paraId="1296AEF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4．追索赡养费、扶养费、抚养费以及解除收养关系案件的一方当事人死亡的。</w:t>
      </w:r>
    </w:p>
    <w:p w14:paraId="41359B0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61CD961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【考点28:简易程序】</w:t>
      </w:r>
    </w:p>
    <w:p w14:paraId="6C9A910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一、简易程序的适用范围</w:t>
      </w:r>
    </w:p>
    <w:p w14:paraId="7871231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1．适用于基层法院及其派出法庭（海事法院除外）；</w:t>
      </w:r>
    </w:p>
    <w:p w14:paraId="3E1C26B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2．二审程序、再审程序、发回重审案件均不可适用简易程序；</w:t>
      </w:r>
    </w:p>
    <w:p w14:paraId="57DDF3B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3．本应适用普通程序审理的民事案件，双方当事人可约定适用简易程序（应在开庭前提出）。双方约定可以给法院减负，但不能增加负担。</w:t>
      </w:r>
    </w:p>
    <w:p w14:paraId="1C7D66B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4．禁用案件类型</w:t>
      </w:r>
    </w:p>
    <w:p w14:paraId="5F18286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（1）起诉时被告下落不明的；</w:t>
      </w:r>
    </w:p>
    <w:p w14:paraId="5AD23BC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（2）发回重审的；</w:t>
      </w:r>
    </w:p>
    <w:p w14:paraId="6480191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（3）当事人一方人数众多的；</w:t>
      </w:r>
    </w:p>
    <w:p w14:paraId="1D86EFB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（4）适用审判监督程序的；</w:t>
      </w:r>
    </w:p>
    <w:p w14:paraId="1F32779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（5）涉及国家利益、社会公共利益的；</w:t>
      </w:r>
    </w:p>
    <w:p w14:paraId="3529142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（6）第三人起诉请求改变或者撤销生效判决、裁定、调解书的（第三人撤销之诉）；</w:t>
      </w:r>
    </w:p>
    <w:p w14:paraId="6326BBA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（7）其他不宜适用简易程序的案件。</w:t>
      </w:r>
    </w:p>
    <w:p w14:paraId="0C6FD9F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5．法院依职权（审限届满前）或者当事人异议成立，简易程序可裁定（可书面可口头）转为普通程序。</w:t>
      </w:r>
    </w:p>
    <w:p w14:paraId="60294B0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二、宣判</w:t>
      </w:r>
    </w:p>
    <w:p w14:paraId="605ECF5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1．简易程序以当庭宣判为原则，以定期宣判为例外；</w:t>
      </w:r>
    </w:p>
    <w:p w14:paraId="55F6702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2．适用简易程序的案件，不适用公告送达；</w:t>
      </w:r>
    </w:p>
    <w:p w14:paraId="156AB5F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3．符合条件，可简化认定事实或者裁判理由部分（庭审笔录不允许简化）。</w:t>
      </w:r>
    </w:p>
    <w:p w14:paraId="3C83E90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551C725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【考点29:小额诉讼程序】</w:t>
      </w:r>
    </w:p>
    <w:p w14:paraId="4DC519A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一、小额诉讼适用的条件与范围</w:t>
      </w:r>
    </w:p>
    <w:p w14:paraId="4F817C9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（一）适用小额诉讼程序的条件</w:t>
      </w:r>
    </w:p>
    <w:p w14:paraId="7C76827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1．案件标的额：法定标准为50%</w:t>
      </w:r>
      <w:r>
        <w:rPr>
          <w:rFonts w:hint="eastAsia" w:ascii="Times New Roman Regular" w:hAnsi="Times New Roman Regular" w:cs="Times New Roman Regular"/>
          <w:sz w:val="21"/>
          <w:szCs w:val="21"/>
          <w:u w:val="none"/>
          <w:lang w:val="en-US" w:eastAsia="zh-CN"/>
        </w:rPr>
        <w:t>以下</w:t>
      </w:r>
      <w:r>
        <w:rPr>
          <w:rFonts w:hint="default" w:ascii="Times New Roman Regular" w:hAnsi="Times New Roman Regular" w:cs="Times New Roman Regular"/>
          <w:sz w:val="21"/>
          <w:szCs w:val="21"/>
          <w:u w:val="none"/>
          <w:lang w:val="en-US" w:eastAsia="zh-CN"/>
        </w:rPr>
        <w:t>；约定标准</w:t>
      </w:r>
      <w:r>
        <w:rPr>
          <w:rFonts w:hint="eastAsia" w:ascii="Times New Roman Regular" w:hAnsi="Times New Roman Regular" w:cs="Times New Roman Regular"/>
          <w:sz w:val="21"/>
          <w:szCs w:val="21"/>
          <w:u w:val="none"/>
          <w:lang w:val="en-US" w:eastAsia="zh-CN"/>
        </w:rPr>
        <w:t>为50%-200%。</w:t>
      </w:r>
    </w:p>
    <w:p w14:paraId="1B93381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2．适用法院：基层法院和它派出的法庭（海事法院为例外）</w:t>
      </w:r>
    </w:p>
    <w:p w14:paraId="4DE6545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（二）不适用小额诉讼程序的案件类型</w:t>
      </w:r>
    </w:p>
    <w:p w14:paraId="378B413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1．人身关系、财产确权案件；</w:t>
      </w:r>
    </w:p>
    <w:p w14:paraId="2FD5FDC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2．涉外案件；</w:t>
      </w:r>
    </w:p>
    <w:p w14:paraId="4472C66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3．需要评估、鉴定或者对诉前评估、鉴定结果有异议的案件；</w:t>
      </w:r>
    </w:p>
    <w:p w14:paraId="5644CE3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4．一方当事人下落不明的案件；</w:t>
      </w:r>
    </w:p>
    <w:p w14:paraId="27F6C36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5．当事人提出反诉的案件；</w:t>
      </w:r>
    </w:p>
    <w:p w14:paraId="555C118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6．其他不宜适用小额诉讼的程序审理的案件。</w:t>
      </w:r>
    </w:p>
    <w:p w14:paraId="6A9A762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二、小额诉讼程序的特别规定</w:t>
      </w:r>
    </w:p>
    <w:p w14:paraId="13909FC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1．法院受理小额诉讼案件，应就一审终审等事项向当事人履行告知义务；</w:t>
      </w:r>
    </w:p>
    <w:p w14:paraId="1AD5C81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2．小额诉讼程序审限为2个月+1个月（本院院长批准）；</w:t>
      </w:r>
    </w:p>
    <w:p w14:paraId="29EDBB3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3．可不需要举证期和答辩期，直接开庭；</w:t>
      </w:r>
    </w:p>
    <w:p w14:paraId="0576654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4．可一次开庭审结并且当庭宣判；</w:t>
      </w:r>
    </w:p>
    <w:p w14:paraId="421DA45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5．法院发现不宜适用小额诉讼程序，应适用简易程序或者裁定转为普通程序审理；（当事人亦可在开庭前提出异议）</w:t>
      </w:r>
    </w:p>
    <w:p w14:paraId="3EE7799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6．小额诉讼案件的裁判文书，可以简化事实认定和裁判理由部分；</w:t>
      </w:r>
    </w:p>
    <w:p w14:paraId="091FA5C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7．对小额诉讼程序适用有异议再审，判决可上诉；对小额诉讼裁判结果有异议再审，判决不可上诉。（均由原审法院合议庭审理）</w:t>
      </w:r>
    </w:p>
    <w:p w14:paraId="7268E07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627B27E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【考点30:第二审程序】</w:t>
      </w:r>
    </w:p>
    <w:p w14:paraId="0C176A2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一、提起上诉的条件</w:t>
      </w:r>
    </w:p>
    <w:p w14:paraId="6DF3550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（一）有法定的上诉对象</w:t>
      </w:r>
    </w:p>
    <w:p w14:paraId="6E41B04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不可上诉的对象包括：（1）最高法院作出的一审判决、裁定；（2）小额诉讼程序的判决以及驳回起诉、管辖权异议裁定；（3）适用特别程序、督促程序、公示催告程序作出的判决、裁定、支付令；（4）除不予受理、驳回起诉、管辖权异议之外的其他裁定；（5）各级法院制作的调解书；（6）各级法院作出的决定书。</w:t>
      </w:r>
    </w:p>
    <w:p w14:paraId="290CB53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（二）有合法的上诉人和被上诉人</w:t>
      </w:r>
    </w:p>
    <w:p w14:paraId="00E8BE5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1．一审判决无独立请求权第三人承担民事责任才可成为上诉人；</w:t>
      </w:r>
    </w:p>
    <w:p w14:paraId="169F3A2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2．代理人只能代为提起上诉，当事人才是上诉人；</w:t>
      </w:r>
    </w:p>
    <w:p w14:paraId="6993CEE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3．提起上诉者是上诉人，上诉请求指向的对象是被上诉人，其他当事人依原审地位列明。</w:t>
      </w:r>
    </w:p>
    <w:p w14:paraId="33AE940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（三）在法定期间内提起上诉</w:t>
      </w:r>
    </w:p>
    <w:p w14:paraId="6B6E07B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判决15日，裁定10日。</w:t>
      </w:r>
    </w:p>
    <w:p w14:paraId="7013EC2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（四）必须提交上诉状（仅口头表示上诉无效）</w:t>
      </w:r>
    </w:p>
    <w:p w14:paraId="6E377DA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虽递交上诉状，但未在指定的期限内交纳上诉费，按自动撤回上诉处理。</w:t>
      </w:r>
    </w:p>
    <w:p w14:paraId="3B1B5F9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二、上诉案件的审理</w:t>
      </w:r>
    </w:p>
    <w:p w14:paraId="6F61B29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（一）审判组织</w:t>
      </w:r>
    </w:p>
    <w:p w14:paraId="74B3A7E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由审判员组成的合议庭审理（例外情况下可适用独任制）</w:t>
      </w:r>
    </w:p>
    <w:p w14:paraId="7AE728E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（二）审理范围</w:t>
      </w:r>
    </w:p>
    <w:p w14:paraId="2832B3A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第二审法院应当围绕当事人的上诉请求对有关事实和适用法律进行审理，除非一审判决违反法律禁止性规定，或者损害国家利益、社会公共利益、他人合法权益。</w:t>
      </w:r>
    </w:p>
    <w:p w14:paraId="66693A5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（三）审理方式</w:t>
      </w:r>
    </w:p>
    <w:p w14:paraId="4B58E33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以开庭审理为原则，以不开庭审理为例外。（第一审法院必须开庭审理）</w:t>
      </w:r>
    </w:p>
    <w:p w14:paraId="0D84CE7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二审法院不开庭审理的案件：对三个裁定的上诉、上诉请求明显不成立、仅法律适用错误、严重违反法定程序。</w:t>
      </w:r>
    </w:p>
    <w:p w14:paraId="6B11325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09FE110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【考点31:审判监督程序的启动】</w:t>
      </w:r>
    </w:p>
    <w:p w14:paraId="1EA3277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一、法院启动再审</w:t>
      </w:r>
    </w:p>
    <w:p w14:paraId="63457CD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7CF712A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1．本院提起再审：本院院长提交审委会讨论决定</w:t>
      </w:r>
    </w:p>
    <w:p w14:paraId="681262A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2．上级法院提起再审：应当提审</w:t>
      </w:r>
    </w:p>
    <w:p w14:paraId="55AE4F7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二、检察院抗诉或提出检察建议</w:t>
      </w:r>
    </w:p>
    <w:p w14:paraId="616B596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（一）程序启动</w:t>
      </w:r>
    </w:p>
    <w:p w14:paraId="5652E7E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1．启动方式：当事人向检察院申请抗诉或检察建议；检察院依职权发现错误裁判</w:t>
      </w:r>
    </w:p>
    <w:p w14:paraId="512A5A9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2．当事人申请抗诉或检察建议的情形：“先法后检各一次”</w:t>
      </w:r>
    </w:p>
    <w:p w14:paraId="29196BA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3．当事人申请监督期间：当事人应当在法院作出驳回再审申请裁定或者再审判决、裁定发生法律效力之日起两年内提出。检察院依职权启动检察监督时，没有时间限制。</w:t>
      </w:r>
    </w:p>
    <w:p w14:paraId="4156011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4．当事人申请监督的管辖检察院：当事人应当向作出原生效民事判决、裁定、调解书的法院所在地同级检察院提出监督申请。当事人认为检察院不依法受理其监督申请的，可以向上一级检察院申请监督。</w:t>
      </w:r>
    </w:p>
    <w:p w14:paraId="5982FBD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5．检察院审查程序</w:t>
      </w:r>
    </w:p>
    <w:p w14:paraId="41DD7AD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检察院应在3个月内审查后作出决定；可以向当事人或者案外人调查核实有关情况。</w:t>
      </w:r>
    </w:p>
    <w:p w14:paraId="2D87EB1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（二）检察监督适用情形及理由</w:t>
      </w:r>
    </w:p>
    <w:p w14:paraId="4539551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1．生效判决、裁定有错误（抗诉/检察建议）</w:t>
      </w:r>
    </w:p>
    <w:p w14:paraId="7F4543E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2．生效调解书损害国家利益、社会公共利益（抗诉/检察建议）</w:t>
      </w:r>
    </w:p>
    <w:p w14:paraId="38140B1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3．再审程序以外的其他审判程序中审判人员的违法行为（检察建议）</w:t>
      </w:r>
    </w:p>
    <w:p w14:paraId="68FAEAF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（三）检察监督的期限</w:t>
      </w:r>
    </w:p>
    <w:p w14:paraId="5225E37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检察院提起抗诉或者检察建议，不受时间限制。检察院抗诉，法院应当再审。</w:t>
      </w:r>
    </w:p>
    <w:p w14:paraId="32CFD3E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三、当事人申请再审的条件</w:t>
      </w:r>
    </w:p>
    <w:p w14:paraId="7F6DC66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一）主体必须合法</w:t>
      </w:r>
    </w:p>
    <w:p w14:paraId="3EC15CE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1．原审中的当事人</w:t>
      </w:r>
    </w:p>
    <w:p w14:paraId="0783A3C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原审中的原告、被告、有独立请求权第三人和判决其承担义务的无独立请求权第三人、上诉人和被上诉人。</w:t>
      </w:r>
    </w:p>
    <w:p w14:paraId="597363A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2．权利义务承继者</w:t>
      </w:r>
    </w:p>
    <w:p w14:paraId="582B62A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因当事人死亡或者终止，其权利义务承继者可以申请再审。但判决、调解书生效后，当事人将判决、调解书确认的债权转让，债权受让人不得对该判决、调解书申请再审。</w:t>
      </w:r>
    </w:p>
    <w:p w14:paraId="75A32DC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3．案外人</w:t>
      </w:r>
    </w:p>
    <w:p w14:paraId="60D5C62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（二）对象是已经发生法律效力的判决、裁定和调解书</w:t>
      </w:r>
    </w:p>
    <w:p w14:paraId="139679E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（三）申请再审的事由</w:t>
      </w:r>
    </w:p>
    <w:p w14:paraId="2150F94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1．对于生效的判决、裁定：13项。</w:t>
      </w:r>
    </w:p>
    <w:p w14:paraId="71CECC9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2．对于生效的调解书</w:t>
      </w:r>
    </w:p>
    <w:p w14:paraId="1F0FBC3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当事人提出证据证明调解违反自愿原则或者调解协议的内容违反法律，可以申请再审。</w:t>
      </w:r>
    </w:p>
    <w:p w14:paraId="54C885B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（四）在法定期限内提出</w:t>
      </w:r>
    </w:p>
    <w:p w14:paraId="07542A5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（五）向有管辖权的法院提出</w:t>
      </w:r>
    </w:p>
    <w:p w14:paraId="5782A1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65C5454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【考点32:再审案件的审判程序】</w:t>
      </w:r>
    </w:p>
    <w:p w14:paraId="26512F6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一、再审审理的审判程序</w:t>
      </w:r>
    </w:p>
    <w:p w14:paraId="7303FDE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生效判决、裁定由第一审法院作出</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适用第一审程序审理，可以上诉救济</w:t>
      </w:r>
    </w:p>
    <w:p w14:paraId="4BCA006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生效判决、裁定由第二审法院作出</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适用第二审程序审理，不可以上诉救济</w:t>
      </w:r>
    </w:p>
    <w:p w14:paraId="79E6DCA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上级法院按审判监督程序提审</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适用第二审程序审理，不可以上诉救济</w:t>
      </w:r>
    </w:p>
    <w:p w14:paraId="740E142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二、再审审理的特殊性</w:t>
      </w:r>
    </w:p>
    <w:p w14:paraId="27F9DEE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（一）裁定中止执行</w:t>
      </w:r>
    </w:p>
    <w:p w14:paraId="30B3E0A3">
      <w:pPr>
        <w:keepNext w:val="0"/>
        <w:keepLines w:val="0"/>
        <w:pageBreakBefore w:val="0"/>
        <w:widowControl w:val="0"/>
        <w:kinsoku/>
        <w:wordWrap/>
        <w:overflowPunct/>
        <w:topLinePunct w:val="0"/>
        <w:autoSpaceDE/>
        <w:autoSpaceDN/>
        <w:bidi w:val="0"/>
        <w:adjustRightInd/>
        <w:snapToGrid/>
        <w:spacing w:line="240" w:lineRule="auto"/>
        <w:textAlignment w:val="auto"/>
        <w:rPr>
          <w:rFonts w:hint="default" w:ascii="Times New Roman Regular" w:hAnsi="Times New Roman Regular" w:cs="Times New Roman Regular"/>
          <w:sz w:val="21"/>
          <w:szCs w:val="21"/>
          <w:u w:val="none"/>
          <w:lang w:val="en-US" w:eastAsia="zh-CN"/>
        </w:rPr>
      </w:pPr>
    </w:p>
    <w:p w14:paraId="689565C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1．再审中止执行的时间点是法院裁定再审，当事人申请再审时法院不应中止执行；</w:t>
      </w:r>
    </w:p>
    <w:p w14:paraId="0EC9BE2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2．追索赡养费、扶养费、抚养费、抚恤金、医疗费用、劳动报酬等案件，可以不中止执行。（“四费一金一酬”案件）</w:t>
      </w:r>
    </w:p>
    <w:p w14:paraId="4EFCD83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（二）审判组织</w:t>
      </w:r>
    </w:p>
    <w:p w14:paraId="2E15E9F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1．再审程序只能由合议庭审理，不适用独任制。</w:t>
      </w:r>
    </w:p>
    <w:p w14:paraId="4F9D962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2．如果原审法院再审的，应当另行组成合议庭。</w:t>
      </w:r>
    </w:p>
    <w:p w14:paraId="2FD09BB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（三）再审审理范围</w:t>
      </w:r>
    </w:p>
    <w:p w14:paraId="0B2CCD7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1．原则上，法院审理再审案件应当围绕再审请求进行。当事人的再审请求超出原审诉讼请求的，不予审理；符合另案诉讼条件的，告知当事人可以另行起诉。</w:t>
      </w:r>
    </w:p>
    <w:p w14:paraId="45F999B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2．涉及国家利益、社会公共利益，或者当事人在原审诉讼中已经依法要求增加、变更诉讼请求，原审未予审理且客观上不能形成其他诉讼的除外。</w:t>
      </w:r>
    </w:p>
    <w:p w14:paraId="1630D78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再审发回重审的案件,应当围绕当事人原诉讼请求进行审理。当事人变更其在原审中的诉讼主张、质证和辩论意见，应说明理由并提交相应证据，理由不成立或证据不充分，法院不予支持。但是发回重审时当事人申请变更、增加诉讼请求或者提出反诉，符合下列情形之一的，法院应当准许：</w:t>
      </w:r>
    </w:p>
    <w:p w14:paraId="0FDC083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（1）原审未合法传唤缺席判决，影响当事人行使诉讼权利的；</w:t>
      </w:r>
    </w:p>
    <w:p w14:paraId="7008599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（2）追加新的诉讼当事人的；</w:t>
      </w:r>
    </w:p>
    <w:p w14:paraId="2691B9E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（3）诉讼标的物灭失或者发生变化致使原诉讼请求无法实现的；</w:t>
      </w:r>
    </w:p>
    <w:p w14:paraId="15D1A2F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（4）当事人申请变更、增加的诉讼请求或者提出的反诉，无法通过另诉解决的。</w:t>
      </w:r>
    </w:p>
    <w:p w14:paraId="0DEFD2B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w:t>
      </w:r>
      <w:r>
        <w:rPr>
          <w:rFonts w:hint="eastAsia" w:ascii="Times New Roman Regular" w:hAnsi="Times New Roman Regular" w:cs="Times New Roman Regular"/>
          <w:sz w:val="21"/>
          <w:szCs w:val="21"/>
          <w:u w:val="none"/>
          <w:lang w:val="en-US" w:eastAsia="zh-CN"/>
        </w:rPr>
        <w:t>四</w:t>
      </w:r>
      <w:r>
        <w:rPr>
          <w:rFonts w:hint="default" w:ascii="Times New Roman Regular" w:hAnsi="Times New Roman Regular" w:cs="Times New Roman Regular"/>
          <w:sz w:val="21"/>
          <w:szCs w:val="21"/>
          <w:u w:val="none"/>
          <w:lang w:val="en-US" w:eastAsia="zh-CN"/>
        </w:rPr>
        <w:t>）撤回起诉</w:t>
      </w:r>
    </w:p>
    <w:p w14:paraId="56F6E4D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第一审程序，当事人撤诉后仍可以再次起诉；但二审、再审程序中，原审原告撤回起诉后不得再次重复起诉。</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宋体-简">
    <w:panose1 w:val="02010800040101010101"/>
    <w:charset w:val="86"/>
    <w:family w:val="auto"/>
    <w:pitch w:val="default"/>
    <w:sig w:usb0="00000001" w:usb1="080F0000" w:usb2="00000000" w:usb3="00000000" w:csb0="0004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9FF37FE"/>
    <w:rsid w:val="0D9A55A2"/>
    <w:rsid w:val="13EF1752"/>
    <w:rsid w:val="16EFD392"/>
    <w:rsid w:val="177DA370"/>
    <w:rsid w:val="17DFFA75"/>
    <w:rsid w:val="18BFC09B"/>
    <w:rsid w:val="1BC8E4F3"/>
    <w:rsid w:val="1BEF9C01"/>
    <w:rsid w:val="1BFB8A79"/>
    <w:rsid w:val="1FFDE82A"/>
    <w:rsid w:val="1FFE3DC8"/>
    <w:rsid w:val="25E4E361"/>
    <w:rsid w:val="2FF57ABD"/>
    <w:rsid w:val="37F9300F"/>
    <w:rsid w:val="39CD9E08"/>
    <w:rsid w:val="3AA211B0"/>
    <w:rsid w:val="3DDD8785"/>
    <w:rsid w:val="3EFF2196"/>
    <w:rsid w:val="3EFFCDE3"/>
    <w:rsid w:val="3F7D6D90"/>
    <w:rsid w:val="3FDF38B5"/>
    <w:rsid w:val="4D7AF3B1"/>
    <w:rsid w:val="4F7E5D39"/>
    <w:rsid w:val="4FAD7741"/>
    <w:rsid w:val="4FEF7A7F"/>
    <w:rsid w:val="5BB7B3D0"/>
    <w:rsid w:val="5BF630B3"/>
    <w:rsid w:val="5D1E5E35"/>
    <w:rsid w:val="5D2F548A"/>
    <w:rsid w:val="5D9CC53C"/>
    <w:rsid w:val="5DBFD756"/>
    <w:rsid w:val="5EF589B3"/>
    <w:rsid w:val="5F2FB4C6"/>
    <w:rsid w:val="5F67BE34"/>
    <w:rsid w:val="5F9FED60"/>
    <w:rsid w:val="5FDFC522"/>
    <w:rsid w:val="63F79634"/>
    <w:rsid w:val="676B1FCF"/>
    <w:rsid w:val="6BBF548D"/>
    <w:rsid w:val="6BEE3C17"/>
    <w:rsid w:val="6CFC5835"/>
    <w:rsid w:val="6DD90F6A"/>
    <w:rsid w:val="6EBFFE06"/>
    <w:rsid w:val="6EDC6954"/>
    <w:rsid w:val="6F7FD66B"/>
    <w:rsid w:val="6FC75035"/>
    <w:rsid w:val="6FE9DFA5"/>
    <w:rsid w:val="6FF6B73E"/>
    <w:rsid w:val="6FF7B5C8"/>
    <w:rsid w:val="6FF7C38D"/>
    <w:rsid w:val="72B16660"/>
    <w:rsid w:val="72FEDFAF"/>
    <w:rsid w:val="74EF0DAF"/>
    <w:rsid w:val="75FFDC8C"/>
    <w:rsid w:val="76576194"/>
    <w:rsid w:val="78FF9F1C"/>
    <w:rsid w:val="795BB6EC"/>
    <w:rsid w:val="79B72732"/>
    <w:rsid w:val="7A8FECFA"/>
    <w:rsid w:val="7B6D3C00"/>
    <w:rsid w:val="7B77E946"/>
    <w:rsid w:val="7BAF28C8"/>
    <w:rsid w:val="7BBF1026"/>
    <w:rsid w:val="7BFFD2F7"/>
    <w:rsid w:val="7C7DDD51"/>
    <w:rsid w:val="7C9D61C3"/>
    <w:rsid w:val="7D473A11"/>
    <w:rsid w:val="7D7FD33D"/>
    <w:rsid w:val="7DBDD90E"/>
    <w:rsid w:val="7DBFEFAD"/>
    <w:rsid w:val="7DE7821D"/>
    <w:rsid w:val="7DF9200D"/>
    <w:rsid w:val="7E3F6002"/>
    <w:rsid w:val="7EFFC158"/>
    <w:rsid w:val="7F3B9F4C"/>
    <w:rsid w:val="7F3C3286"/>
    <w:rsid w:val="7F695405"/>
    <w:rsid w:val="7F6B748A"/>
    <w:rsid w:val="7FB49696"/>
    <w:rsid w:val="7FB797CE"/>
    <w:rsid w:val="7FBF0F91"/>
    <w:rsid w:val="7FE7235C"/>
    <w:rsid w:val="7FFCE884"/>
    <w:rsid w:val="8ABEE47C"/>
    <w:rsid w:val="AEAF67DC"/>
    <w:rsid w:val="AECFAD74"/>
    <w:rsid w:val="AED07A5A"/>
    <w:rsid w:val="AEFFF231"/>
    <w:rsid w:val="AF7349BF"/>
    <w:rsid w:val="B1FDE468"/>
    <w:rsid w:val="B3FEA9EF"/>
    <w:rsid w:val="B7FEF551"/>
    <w:rsid w:val="BBD68691"/>
    <w:rsid w:val="BFD7C2A8"/>
    <w:rsid w:val="BFDF5E9D"/>
    <w:rsid w:val="BFFFC478"/>
    <w:rsid w:val="C2FF7057"/>
    <w:rsid w:val="CBDA46FA"/>
    <w:rsid w:val="CDF9AD73"/>
    <w:rsid w:val="CEAF22DB"/>
    <w:rsid w:val="CFABA3EB"/>
    <w:rsid w:val="CFBDAEF9"/>
    <w:rsid w:val="CFFF1593"/>
    <w:rsid w:val="D7F8DDAE"/>
    <w:rsid w:val="D99D7B6E"/>
    <w:rsid w:val="DBF64670"/>
    <w:rsid w:val="DE5EFF5E"/>
    <w:rsid w:val="DFDD6831"/>
    <w:rsid w:val="E5718167"/>
    <w:rsid w:val="E59B90E9"/>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F7C6A6"/>
    <w:rsid w:val="F0D7EC59"/>
    <w:rsid w:val="F0DE3C2E"/>
    <w:rsid w:val="F1B927A4"/>
    <w:rsid w:val="F3FF92B4"/>
    <w:rsid w:val="F54E1163"/>
    <w:rsid w:val="F56E2A6E"/>
    <w:rsid w:val="F5EEDA60"/>
    <w:rsid w:val="F5EFB180"/>
    <w:rsid w:val="F6CFF3E3"/>
    <w:rsid w:val="F6DFFC0C"/>
    <w:rsid w:val="F735CF42"/>
    <w:rsid w:val="F73F225B"/>
    <w:rsid w:val="FABE4737"/>
    <w:rsid w:val="FB3760F9"/>
    <w:rsid w:val="FBDF91EB"/>
    <w:rsid w:val="FBFF7EF4"/>
    <w:rsid w:val="FCEF4E65"/>
    <w:rsid w:val="FD375179"/>
    <w:rsid w:val="FD6C9E97"/>
    <w:rsid w:val="FD6EB3EE"/>
    <w:rsid w:val="FDBDD900"/>
    <w:rsid w:val="FDF59568"/>
    <w:rsid w:val="FE7F0F70"/>
    <w:rsid w:val="FEA64923"/>
    <w:rsid w:val="FED769C8"/>
    <w:rsid w:val="FEEF9E93"/>
    <w:rsid w:val="FF3362C6"/>
    <w:rsid w:val="FF6F6FFE"/>
    <w:rsid w:val="FF7BF13D"/>
    <w:rsid w:val="FF943FE1"/>
    <w:rsid w:val="FF9F8E8F"/>
    <w:rsid w:val="FFBEC6FF"/>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1</TotalTime>
  <ScaleCrop>false</ScaleCrop>
  <LinksUpToDate>false</LinksUpToDate>
  <CharactersWithSpaces>0</CharactersWithSpaces>
  <Application>WPS Office_12.1.25895.25895_F1E327BC-269C-435d-A152-05C5408002CA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2026-02-07T00:22:00Z</dcterms:created>
  <dc:creator>Arthur (Xiao) Dong</dc:creator>
  <cp:lastModifiedBy>Arthur (Xiao) Dong</cp:lastModifiedBy>
  <dcterms:modified xsi:type="dcterms:W3CDTF">2026-06-20T09:14:35Z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2052-12.1.25895.25895</vt:lpwstr>
  </property>
  <property fmtid="{D5CDD505-2E9C-101B-9397-08002B2CF9AE}" pid="3" name="ICV">
    <vt:lpwstr>3A31E5C62E8666FD53247769E1688135_41</vt:lpwstr>
  </property>
</Properties>
</file>