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sz w:val="28"/>
          <w:szCs w:val="28"/>
          <w:lang w:val="en-US" w:eastAsia="zh-CN"/>
        </w:rPr>
      </w:pPr>
      <w:r>
        <w:rPr>
          <w:rFonts w:hint="eastAsia"/>
          <w:b/>
          <w:bCs/>
          <w:sz w:val="28"/>
          <w:szCs w:val="28"/>
          <w:lang w:val="en-US" w:eastAsia="zh-CN"/>
        </w:rPr>
        <w:t>民诉客观精华突破第一讲课堂笔记（考点1-14）</w:t>
      </w:r>
    </w:p>
    <w:p w14:paraId="4904F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lang w:val="en-US" w:eastAsia="zh-CN"/>
        </w:rPr>
      </w:pPr>
      <w:r>
        <w:rPr>
          <w:rFonts w:hint="eastAsia" w:ascii="Times New Roman Regular" w:hAnsi="Times New Roman Regular" w:cs="Times New Roman Regular"/>
          <w:b/>
          <w:bCs/>
          <w:sz w:val="21"/>
          <w:szCs w:val="21"/>
          <w:lang w:val="en-US" w:eastAsia="zh-CN"/>
        </w:rPr>
        <w:t>【考点1:民事纠纷的解决方式】</w:t>
      </w:r>
    </w:p>
    <w:p w14:paraId="0E9C13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一、和解</w:t>
      </w:r>
    </w:p>
    <w:p w14:paraId="32E3627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1．和解协议不能成为执行根据；</w:t>
      </w:r>
    </w:p>
    <w:p w14:paraId="52EC23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2．和解协议不能申请司法确认；</w:t>
      </w:r>
    </w:p>
    <w:p w14:paraId="79E952D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3．诉讼中和解可申请法院制作调解书，但不得制作判决书（无民事行为能力人的离婚案件、涉外案件除外）。</w:t>
      </w:r>
    </w:p>
    <w:p w14:paraId="3CFFDB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二、调解</w:t>
      </w:r>
    </w:p>
    <w:p w14:paraId="72BA6B9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1．调解并非民事纠纷解决的必经程序（离婚案件除外）；</w:t>
      </w:r>
    </w:p>
    <w:p w14:paraId="774428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2．法院调解书和仲裁调解书是执行根据；</w:t>
      </w:r>
    </w:p>
    <w:p w14:paraId="3DDB4D3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3．人民调解等达成的协议可诉可确。</w:t>
      </w:r>
    </w:p>
    <w:p w14:paraId="4D59283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三、仲裁</w:t>
      </w:r>
    </w:p>
    <w:p w14:paraId="6100E8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（一）民商事仲裁</w:t>
      </w:r>
    </w:p>
    <w:p w14:paraId="203EF8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1．区、县不能设立仲裁机构；</w:t>
      </w:r>
    </w:p>
    <w:p w14:paraId="1BCB6CE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2．身份关系纠纷不能仲裁；</w:t>
      </w:r>
    </w:p>
    <w:p w14:paraId="732F85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3．仲裁机构需要双方书面约定；</w:t>
      </w:r>
    </w:p>
    <w:p w14:paraId="7193C6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4．仲裁一裁终局，不履行仲裁裁决可申请法院强制执行；</w:t>
      </w:r>
    </w:p>
    <w:p w14:paraId="37C19C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5．合法有效的仲裁排斥诉讼；</w:t>
      </w:r>
    </w:p>
    <w:p w14:paraId="6097D2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6．股东提起代表诉讼，公司与被告之间的仲裁协议对其有约束力。</w:t>
      </w:r>
    </w:p>
    <w:p w14:paraId="270E4E5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（二）劳动仲裁</w:t>
      </w:r>
    </w:p>
    <w:p w14:paraId="3B2BE8E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1．劳动争议仲裁是诉讼的前置程序（追索劳动报酬调解达成协议除外）；</w:t>
      </w:r>
    </w:p>
    <w:p w14:paraId="639A6B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2．劳动争议案件不允许双方当事人约定民商事仲裁机构进行仲裁。</w:t>
      </w:r>
    </w:p>
    <w:p w14:paraId="44519CB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70C369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【考点2：诉】</w:t>
      </w:r>
    </w:p>
    <w:p w14:paraId="16DC11E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一、诉讼标的</w:t>
      </w:r>
    </w:p>
    <w:p w14:paraId="56304C8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1．诉讼标的是民事法律关系或者实体请求权</w:t>
      </w:r>
      <w:r>
        <w:rPr>
          <w:rFonts w:hint="eastAsia" w:ascii="Times New Roman Regular" w:hAnsi="Times New Roman Regular" w:cs="Times New Roman Regular"/>
          <w:sz w:val="21"/>
          <w:szCs w:val="21"/>
          <w:u w:val="none"/>
          <w:lang w:val="en-US" w:eastAsia="zh-CN"/>
        </w:rPr>
        <w:t>（有几个请求权/诉讼请求，就有几个诉讼标的）</w:t>
      </w:r>
      <w:r>
        <w:rPr>
          <w:rFonts w:hint="default" w:ascii="Times New Roman Regular" w:hAnsi="Times New Roman Regular" w:cs="Times New Roman Regular"/>
          <w:sz w:val="21"/>
          <w:szCs w:val="21"/>
          <w:u w:val="none"/>
          <w:lang w:val="en-US" w:eastAsia="zh-CN"/>
        </w:rPr>
        <w:t>；</w:t>
      </w:r>
    </w:p>
    <w:p w14:paraId="2CCF71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2．诉讼过程中不允许变更诉讼标的，但可以变更诉讼请求；</w:t>
      </w:r>
    </w:p>
    <w:p w14:paraId="306190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3．诉的类型不同，诉讼标的不同。</w:t>
      </w:r>
    </w:p>
    <w:p w14:paraId="6869BB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二、诉的分类</w:t>
      </w:r>
    </w:p>
    <w:p w14:paraId="01E1E4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1．诉的类型仅针对诉讼案件而言；</w:t>
      </w:r>
    </w:p>
    <w:p w14:paraId="2AF0CD7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诉的类型必须根据原告的诉讼请求作出判断。意在要求对方履行特定给付义务的诉是给付之诉；意在请求法院判断原被告之间是否存在某种民事法律关系的诉属于确认之诉；意在通过判决改变或消灭既有民事法律关系的诉则为变更之诉；</w:t>
      </w:r>
    </w:p>
    <w:p w14:paraId="295DA9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3．起诉确认事实和事实关系，不属于确认之诉；</w:t>
      </w:r>
    </w:p>
    <w:p w14:paraId="467DBD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4．起诉解除合同属于确认之诉，而非形成之诉；</w:t>
      </w:r>
    </w:p>
    <w:p w14:paraId="60B3C3D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5．再审之诉、撤销仲裁裁决、案外人异议之诉、第三人撤销之诉属于诉讼法上的形成之诉。</w:t>
      </w:r>
    </w:p>
    <w:p w14:paraId="37F0C3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三、反诉和反驳的识别</w:t>
      </w:r>
    </w:p>
    <w:p w14:paraId="79D0A6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1．反诉是一个独立的诉，换言之，没有本诉亦可独立提起；</w:t>
      </w:r>
    </w:p>
    <w:p w14:paraId="05E895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2．否认和抗辩均属于反驳；</w:t>
      </w:r>
    </w:p>
    <w:p w14:paraId="28430C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3．否认是不承认对方当事人主张的事实；抗辩是承认对方主张事实，但不承认其法律效果；</w:t>
      </w:r>
    </w:p>
    <w:p w14:paraId="7BA1C1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4．反诉具有同一性、独立性、牵连性和对抗性；</w:t>
      </w:r>
    </w:p>
    <w:p w14:paraId="3F988E4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5．当事人请求调整违约金，可以反诉或抗辩方式提出。</w:t>
      </w:r>
    </w:p>
    <w:p w14:paraId="234E5D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四、诉的合并</w:t>
      </w:r>
    </w:p>
    <w:p w14:paraId="08C8DAF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1．当事人</w:t>
      </w:r>
      <w:r>
        <w:rPr>
          <w:rFonts w:hint="eastAsia" w:ascii="Times New Roman Regular" w:hAnsi="Times New Roman Regular" w:cs="Times New Roman Regular"/>
          <w:sz w:val="21"/>
          <w:szCs w:val="21"/>
          <w:u w:val="none"/>
          <w:lang w:val="en-US" w:eastAsia="zh-CN"/>
        </w:rPr>
        <w:t>为多数</w:t>
      </w:r>
      <w:r>
        <w:rPr>
          <w:rFonts w:hint="default" w:ascii="Times New Roman Regular" w:hAnsi="Times New Roman Regular" w:cs="Times New Roman Regular"/>
          <w:sz w:val="21"/>
          <w:szCs w:val="21"/>
          <w:u w:val="none"/>
          <w:lang w:val="en-US" w:eastAsia="zh-CN"/>
        </w:rPr>
        <w:t>即为诉的主体（观）合并，诉讼标的</w:t>
      </w:r>
      <w:r>
        <w:rPr>
          <w:rFonts w:hint="eastAsia" w:ascii="Times New Roman Regular" w:hAnsi="Times New Roman Regular" w:cs="Times New Roman Regular"/>
          <w:sz w:val="21"/>
          <w:szCs w:val="21"/>
          <w:u w:val="none"/>
          <w:lang w:val="en-US" w:eastAsia="zh-CN"/>
        </w:rPr>
        <w:t>为多数</w:t>
      </w:r>
      <w:r>
        <w:rPr>
          <w:rFonts w:hint="default" w:ascii="Times New Roman Regular" w:hAnsi="Times New Roman Regular" w:cs="Times New Roman Regular"/>
          <w:sz w:val="21"/>
          <w:szCs w:val="21"/>
          <w:u w:val="none"/>
          <w:lang w:val="en-US" w:eastAsia="zh-CN"/>
        </w:rPr>
        <w:t>即为诉的客体（观）合并；</w:t>
      </w:r>
    </w:p>
    <w:p w14:paraId="7EF689C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2．诉的预备合并分为主观预备合并和客观预备合并，主要区别在于原告请求针对的被告不同。</w:t>
      </w:r>
    </w:p>
    <w:p w14:paraId="29DEC2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3．诉的竞合合并和选择合并，均存在两个以上的民事法律关系。</w:t>
      </w:r>
    </w:p>
    <w:p w14:paraId="266F4E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3ABE6EA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【考点3：民事诉讼法的基本原则】</w:t>
      </w:r>
    </w:p>
    <w:p w14:paraId="1A8D468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一、辩论原则</w:t>
      </w:r>
    </w:p>
    <w:p w14:paraId="7DD318A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1．证人、鉴定人、勘验人等其他诉讼参与人不享有辩论权；</w:t>
      </w:r>
    </w:p>
    <w:p w14:paraId="2474EA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2．特别程序、督促程序、公示催告程序以及执行程序不适用辩论原则；</w:t>
      </w:r>
    </w:p>
    <w:p w14:paraId="3AF266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3．辩论权可通过口头或书面形式行使；</w:t>
      </w:r>
    </w:p>
    <w:p w14:paraId="1220DEF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4．将未经质证的证据直接作为定案依据、判决内容与案件争议焦点无关均违反辩论原则；</w:t>
      </w:r>
    </w:p>
    <w:p w14:paraId="61C39BD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5．剥夺当事人辩论权是法定的上诉和申请再审的事由</w:t>
      </w:r>
      <w:r>
        <w:rPr>
          <w:rFonts w:hint="eastAsia" w:ascii="Times New Roman Regular" w:hAnsi="Times New Roman Regular" w:cs="Times New Roman Regular"/>
          <w:sz w:val="21"/>
          <w:szCs w:val="21"/>
          <w:u w:val="none"/>
          <w:lang w:val="en-US" w:eastAsia="zh-CN"/>
        </w:rPr>
        <w:t>。</w:t>
      </w:r>
    </w:p>
    <w:p w14:paraId="2E9CE4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二、处分原则</w:t>
      </w:r>
    </w:p>
    <w:p w14:paraId="6DE218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1．当事人和类似当事人的人享有处分权；</w:t>
      </w:r>
    </w:p>
    <w:p w14:paraId="174B0B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2．处分权贯穿审判、执行全过程；</w:t>
      </w:r>
    </w:p>
    <w:p w14:paraId="1C7EFD0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3．法院裁判遗漏或超出诉讼请求范围违反处分原则。</w:t>
      </w:r>
    </w:p>
    <w:p w14:paraId="3A425B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7B839F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【考点4：民事审判的基本制度】</w:t>
      </w:r>
    </w:p>
    <w:p w14:paraId="20CFFE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一、合议制度</w:t>
      </w:r>
    </w:p>
    <w:p w14:paraId="1068636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（一）合议制</w:t>
      </w:r>
    </w:p>
    <w:p w14:paraId="202C340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1．二审程序、非讼程序不能有陪审员参与审理；</w:t>
      </w:r>
    </w:p>
    <w:p w14:paraId="5008BC6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2．再审程序按照</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可一可二</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规则判断能否适用陪审员；</w:t>
      </w:r>
    </w:p>
    <w:p w14:paraId="7475696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3．发回重审适用一审程序，可有陪审员参与。</w:t>
      </w:r>
    </w:p>
    <w:p w14:paraId="081F00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（二）独任制</w:t>
      </w:r>
    </w:p>
    <w:p w14:paraId="1F054B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独任制适用于简易程序、小额诉讼程序、特别程序（但选民资格案件、重大疑难的特别程序案件、实现担保物权案件中担保财产标的额超过基层法院管辖范围的除外）、督促程序、公示催告程序的公示催告阶段。</w:t>
      </w:r>
    </w:p>
    <w:p w14:paraId="166BFCC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例外：基层法院审理的基本事实清楚、权利义务关系明确的第一审民事案件，可以由审判员一人适用普通程序独任审理。（无须当事人同意）</w:t>
      </w:r>
    </w:p>
    <w:p w14:paraId="598CBA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二、回避制度</w:t>
      </w:r>
    </w:p>
    <w:p w14:paraId="037B219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证人不适用回避制度；专家辅助人一般不适用回避制度。</w:t>
      </w:r>
    </w:p>
    <w:p w14:paraId="0F44BF3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三、公开审判制度</w:t>
      </w:r>
    </w:p>
    <w:p w14:paraId="15384E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1．公开审理的案件，无须当事人提出申请；</w:t>
      </w:r>
    </w:p>
    <w:p w14:paraId="36E79BB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2．法定不公开审理的案件，任何机构和人员都无权决定公开审理；</w:t>
      </w:r>
    </w:p>
    <w:p w14:paraId="7B55B86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3．对申请不公开案件，当事人提出申请，法院可以不同意；而当事人未提出申请，法院应公开审理；</w:t>
      </w:r>
    </w:p>
    <w:p w14:paraId="5673CF1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4．申请不公开审理不必双方当事人共同申请。</w:t>
      </w:r>
    </w:p>
    <w:p w14:paraId="2948E7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四、两审终审制度</w:t>
      </w:r>
    </w:p>
    <w:p w14:paraId="2E96311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1．最高法院审理的案件；</w:t>
      </w:r>
    </w:p>
    <w:p w14:paraId="30E6917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2．适用特别程序、督促程序、公示催告程序的案件；</w:t>
      </w:r>
    </w:p>
    <w:p w14:paraId="39593C9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3．法院制作的调解书；</w:t>
      </w:r>
    </w:p>
    <w:p w14:paraId="0C82B7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4．法院制作的不予受理、驳回起诉、管辖权异议之外的裁定（但小额诉讼中作出的驳回起诉、管辖权异议裁定不得上诉）；</w:t>
      </w:r>
    </w:p>
    <w:p w14:paraId="0A1199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5．法院制作的决定书（一般采用复议形式救济）；</w:t>
      </w:r>
    </w:p>
    <w:p w14:paraId="5F42B4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6．小额诉讼程序。</w:t>
      </w:r>
    </w:p>
    <w:p w14:paraId="7CE00F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2776FCB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【考点5：级别管辖】</w:t>
      </w:r>
    </w:p>
    <w:p w14:paraId="0218DD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1．海事海商案件由中院管辖；</w:t>
      </w:r>
    </w:p>
    <w:p w14:paraId="369732D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2．确认仲裁协议效力、撤销仲裁裁决、不予执行仲裁裁决、涉外仲裁的保全均应由中院管辖；</w:t>
      </w:r>
    </w:p>
    <w:p w14:paraId="6D1C1A1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3．国内仲裁保全、仲裁裁决的执行可由基层法院管辖。</w:t>
      </w:r>
    </w:p>
    <w:p w14:paraId="59158DF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70C4B0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【考点6:地域管辖】</w:t>
      </w:r>
    </w:p>
    <w:p w14:paraId="21CA45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一、一般地域管辖</w:t>
      </w:r>
    </w:p>
    <w:p w14:paraId="417D69A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（一）原则规定：“原告就被告”</w:t>
      </w:r>
    </w:p>
    <w:p w14:paraId="509E58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（二）例外规定：“被告就原告”</w:t>
      </w:r>
    </w:p>
    <w:p w14:paraId="12E958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1．对不在中华人民共和国领域内居住的人提起的有关身份关系的诉讼；</w:t>
      </w:r>
    </w:p>
    <w:p w14:paraId="0135E93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2．对下落不明或者宣告失踪的人提起的有关身份关系的诉讼；</w:t>
      </w:r>
    </w:p>
    <w:p w14:paraId="0D4D4B0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3．对被采取强制性教育措施的人提起的诉讼；</w:t>
      </w:r>
    </w:p>
    <w:p w14:paraId="6F616A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4．对被监禁的人提起的诉讼；</w:t>
      </w:r>
    </w:p>
    <w:p w14:paraId="5C1E445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5．追索赡养费、抚养费、扶养费案件的几个被告住所地不在同一辖区的，可以由原告住所地法院管辖（原告住所地和被告住所地法院均有管辖权）；</w:t>
      </w:r>
    </w:p>
    <w:p w14:paraId="7AC5DD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6．不服指定监护或者变更监护关系的案件，可以由被监护人住所地法院管辖（被监护人住所地法院不是唯一的管辖法院）；</w:t>
      </w:r>
    </w:p>
    <w:p w14:paraId="6CA2D7D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7．夫妻一方离开住所地超过1年，另一方起诉离婚的案件，可以由原告住所地法院管辖（原告住所地和被告住所地法院均有管辖权）。</w:t>
      </w:r>
    </w:p>
    <w:p w14:paraId="53DBF1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二、特殊地域管辖（重点掌握合同纠纷）</w:t>
      </w:r>
    </w:p>
    <w:p w14:paraId="280E13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一步，看合同是否实际履行。如果没有实际履行，且当事人双方住所地都不在合同约定的履行地，则合同履行地法院没有管辖权，案件应由被告住所地管辖。尚有一方未履行、部分履行、瑕疵履行等情形，不属于没有实际履行。</w:t>
      </w:r>
    </w:p>
    <w:p w14:paraId="5382C5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二步，看已履行的合同是否约定了履行地。如有明确约定，则以约定履行地为合同履行地。约定履行地与实际履行地不一致的，约定履行地为合同履行地。如果没有约定或者约定不明，则根据不同案件类型予以确定。</w:t>
      </w:r>
    </w:p>
    <w:p w14:paraId="597707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三、专属管辖</w:t>
      </w:r>
    </w:p>
    <w:p w14:paraId="7CDAB8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1．不动产纠纷，由不动产所在地法院管辖</w:t>
      </w:r>
    </w:p>
    <w:p w14:paraId="4248A4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2．港口作业纠纷，由港口所在地法院管辖</w:t>
      </w:r>
    </w:p>
    <w:p w14:paraId="4700219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3．继承遗产纠纷，由被继承人死亡时住所地或者主要遗产所在地法院管辖</w:t>
      </w:r>
    </w:p>
    <w:p w14:paraId="4604F9F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四、协议管辖</w:t>
      </w:r>
    </w:p>
    <w:p w14:paraId="555E34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1．双方当事人既约定仲裁，又约定管辖法院的，原则上仲裁协议无效，但管辖协议有效。</w:t>
      </w:r>
    </w:p>
    <w:p w14:paraId="238C79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2．协议管辖指向的法院必须具体明确，无需实体审理即可确定，否则无效。</w:t>
      </w:r>
    </w:p>
    <w:p w14:paraId="4B2165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五、地域管辖</w:t>
      </w:r>
    </w:p>
    <w:p w14:paraId="52E549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1．应诉管辖不得违反级别管辖与专属管辖；</w:t>
      </w:r>
    </w:p>
    <w:p w14:paraId="5294953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2．只要被告提出有效的管辖异议，无论是否应诉答辩，均不适用应诉管辖；</w:t>
      </w:r>
    </w:p>
    <w:p w14:paraId="6C6E4A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3．应诉管辖效力优于协议管辖；</w:t>
      </w:r>
    </w:p>
    <w:p w14:paraId="1EE978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4．被告应诉答辩或者反诉，均构成应诉管辖。</w:t>
      </w:r>
    </w:p>
    <w:p w14:paraId="0753FC6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17FF4F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【考点7:裁定管辖】</w:t>
      </w:r>
    </w:p>
    <w:p w14:paraId="2A6868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一、移送管辖</w:t>
      </w:r>
    </w:p>
    <w:p w14:paraId="2731D2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1．确定管辖的因素以起诉时为准，原则上案件受理后不因相关因素的改变（如当事人住所地、经常居住地、行政区域变更、提出反诉、增加或变更诉讼请求）影响管辖权；</w:t>
      </w:r>
    </w:p>
    <w:p w14:paraId="1DDEF1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2．适用管辖恒定原则不得违反级别管辖、专属管辖规定；</w:t>
      </w:r>
    </w:p>
    <w:p w14:paraId="696D3FB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3．按照级别管辖原来享有管辖权的受诉法院，可能因原告在诉讼中增加诉讼请求而丧失原有的案件管辖权。无论当事人是否提出管辖权异议，法院都应当将案件移送管辖。</w:t>
      </w:r>
    </w:p>
    <w:p w14:paraId="19CDD7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二、指定管辖</w:t>
      </w:r>
    </w:p>
    <w:p w14:paraId="167AC7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1．受移送法院认为自己对移送来的案件无管辖权，报上级法院指定管辖。</w:t>
      </w:r>
    </w:p>
    <w:p w14:paraId="6849944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2．有管辖权的法院由于特殊原因不能行使管辖权，报上级法院指定管辖。</w:t>
      </w:r>
    </w:p>
    <w:p w14:paraId="2931F9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3．对于管辖权发生争议，通过协商未能解决管辖争议，逐级报共同的上级法院指定管辖。</w:t>
      </w:r>
    </w:p>
    <w:p w14:paraId="02F4EB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三、管辖权转移</w:t>
      </w:r>
    </w:p>
    <w:p w14:paraId="7100306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1．可上移、可下移；</w:t>
      </w:r>
    </w:p>
    <w:p w14:paraId="6B9F9E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2．管辖权下移应当报请其上级法院批准。</w:t>
      </w:r>
    </w:p>
    <w:p w14:paraId="712C3A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3228491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【考点8:管辖权异议】</w:t>
      </w:r>
    </w:p>
    <w:p w14:paraId="088BA6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一、管辖权异议的条件</w:t>
      </w:r>
    </w:p>
    <w:p w14:paraId="0CD3378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1．有独立请求权第三人和无独立请求权第三人无权提出管辖权异议；</w:t>
      </w:r>
    </w:p>
    <w:p w14:paraId="4937B2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2．对级别管辖和地域管辖均可提出异议；</w:t>
      </w:r>
    </w:p>
    <w:p w14:paraId="64D52C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3．当事人应当在提交答辩状期间提出异议（因原告增加或变更诉讼请求，可能引起级别管辖变更，允许被告在原告提出相关请求后对管辖权提出异议）。</w:t>
      </w:r>
    </w:p>
    <w:p w14:paraId="762FF09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二、法院对管辖权异议的处理</w:t>
      </w:r>
    </w:p>
    <w:p w14:paraId="75197F1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1．异议成立，应当移送管辖；异议不成立，裁定驳回；</w:t>
      </w:r>
    </w:p>
    <w:p w14:paraId="1E7BA81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2．当事人不服裁定，可以在10日内提起上诉（小额诉讼程序除外）；</w:t>
      </w:r>
    </w:p>
    <w:p w14:paraId="6747FE8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3．管辖权异议裁定作出前，原告申请撤诉，受诉法院准予，对管辖权异议不再审查，并在裁定书中一并写明。</w:t>
      </w:r>
    </w:p>
    <w:p w14:paraId="533DAE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225F31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【考点9:当事人概述】</w:t>
      </w:r>
    </w:p>
    <w:p w14:paraId="1CB6DCB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一、诉讼权利能力和诉讼行为能力</w:t>
      </w:r>
    </w:p>
    <w:p w14:paraId="3378F28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1.有民事权利能力者才能具有诉讼权利能力；</w:t>
      </w:r>
    </w:p>
    <w:p w14:paraId="44DD42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2.起诉的当事人如果欠缺诉讼权利能力，法院未受理的，应裁定不予受理；法院已经受理的，应裁定驳回起诉</w:t>
      </w:r>
      <w:r>
        <w:rPr>
          <w:rFonts w:hint="eastAsia" w:ascii="Times New Roman Regular" w:hAnsi="Times New Roman Regular" w:cs="Times New Roman Regular"/>
          <w:sz w:val="21"/>
          <w:szCs w:val="21"/>
          <w:u w:val="none"/>
          <w:lang w:val="en-US" w:eastAsia="zh-CN"/>
        </w:rPr>
        <w:t>；</w:t>
      </w:r>
    </w:p>
    <w:p w14:paraId="488D3E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w:t>
      </w:r>
      <w:r>
        <w:rPr>
          <w:rFonts w:hint="eastAsia" w:ascii="Times New Roman Regular" w:hAnsi="Times New Roman Regular" w:cs="Times New Roman Regular"/>
          <w:sz w:val="21"/>
          <w:szCs w:val="21"/>
          <w:u w:val="none"/>
          <w:lang w:val="en-US" w:eastAsia="zh-CN"/>
        </w:rPr>
        <w:t>完全民事行为能力人有诉讼行为能力，无、限制民事行为能力人没有诉讼行为能力。</w:t>
      </w:r>
    </w:p>
    <w:p w14:paraId="3EE8EC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二、当事人适格（正当当事人）</w:t>
      </w:r>
    </w:p>
    <w:p w14:paraId="6A0B93B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1．有诉讼权利能力者，未必是适格当事人；但适格当事人，必然具有诉讼权利能力；</w:t>
      </w:r>
    </w:p>
    <w:p w14:paraId="2F5CDA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2．一般来说，争议民事法律关系（诉讼标的）的主体为适格当事人，但确认之诉、公益诉讼、依法对他人民事法律关系或民事权利享有管理权的人或组织除外。</w:t>
      </w:r>
    </w:p>
    <w:p w14:paraId="793AA1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7112AF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【考点10:原告与被告】</w:t>
      </w:r>
    </w:p>
    <w:p w14:paraId="5914AA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.职务侵权纠纷</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法人或者其他组织</w:t>
      </w:r>
    </w:p>
    <w:p w14:paraId="54741E0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劳务侵权纠纷</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接受劳务一方</w:t>
      </w:r>
    </w:p>
    <w:p w14:paraId="796F47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个体工商户</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有字号</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营业执照上登记的字号</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无字号</w:t>
      </w:r>
      <w:r>
        <w:rPr>
          <w:rFonts w:hint="eastAsia" w:ascii="Times New Roman Regular" w:hAnsi="Times New Roman Regular" w:cs="Times New Roman Regular"/>
          <w:sz w:val="21"/>
          <w:szCs w:val="21"/>
          <w:u w:val="none"/>
          <w:lang w:val="en-US" w:eastAsia="zh-CN"/>
        </w:rPr>
        <w:t>，营</w:t>
      </w:r>
      <w:r>
        <w:rPr>
          <w:rFonts w:hint="default" w:ascii="Times New Roman Regular" w:hAnsi="Times New Roman Regular" w:cs="Times New Roman Regular"/>
          <w:sz w:val="21"/>
          <w:szCs w:val="21"/>
          <w:u w:val="none"/>
          <w:lang w:val="en-US" w:eastAsia="zh-CN"/>
        </w:rPr>
        <w:t>业执照上登记的经营者</w:t>
      </w:r>
    </w:p>
    <w:p w14:paraId="15F600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w:t>
      </w:r>
      <w:r>
        <w:rPr>
          <w:rFonts w:hint="default" w:ascii="Times New Roman Regular" w:hAnsi="Times New Roman Regular" w:cs="Times New Roman Regular"/>
          <w:sz w:val="21"/>
          <w:szCs w:val="21"/>
          <w:u w:val="none"/>
          <w:lang w:val="en-US" w:eastAsia="zh-CN"/>
        </w:rPr>
        <w:t>当事人不履行调解协议</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不履行协议的当事人为被告</w:t>
      </w:r>
    </w:p>
    <w:p w14:paraId="58E51F5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5.</w:t>
      </w:r>
      <w:r>
        <w:rPr>
          <w:rFonts w:hint="default" w:ascii="Times New Roman Regular" w:hAnsi="Times New Roman Regular" w:cs="Times New Roman Regular"/>
          <w:sz w:val="21"/>
          <w:szCs w:val="21"/>
          <w:u w:val="none"/>
          <w:lang w:val="en-US" w:eastAsia="zh-CN"/>
        </w:rPr>
        <w:t>企业法人解散</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依法清算并注销前</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企业法人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未依法清算即被注销</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企业法人的股东、发起人或者出资人</w:t>
      </w:r>
    </w:p>
    <w:p w14:paraId="30978C5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6.</w:t>
      </w:r>
      <w:r>
        <w:rPr>
          <w:rFonts w:hint="default" w:ascii="Times New Roman Regular" w:hAnsi="Times New Roman Regular" w:cs="Times New Roman Regular"/>
          <w:sz w:val="21"/>
          <w:szCs w:val="21"/>
          <w:u w:val="none"/>
          <w:lang w:val="en-US" w:eastAsia="zh-CN"/>
        </w:rPr>
        <w:t>居民委员会、村民委员会或者村民小组发生纠纷</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居民委员会、村民委员会或有独立财产的村民小组</w:t>
      </w:r>
    </w:p>
    <w:p w14:paraId="05108B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7.</w:t>
      </w:r>
      <w:r>
        <w:rPr>
          <w:rFonts w:hint="default" w:ascii="Times New Roman Regular" w:hAnsi="Times New Roman Regular" w:cs="Times New Roman Regular"/>
          <w:sz w:val="21"/>
          <w:szCs w:val="21"/>
          <w:u w:val="none"/>
          <w:lang w:val="en-US" w:eastAsia="zh-CN"/>
        </w:rPr>
        <w:t>起诉侵害死者遗体、遗骨以及姓名、肖像、名誉、荣誉、隐私等行为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死者的近亲属</w:t>
      </w:r>
    </w:p>
    <w:p w14:paraId="21CD4E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5B4D34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【考点11:必要共同诉讼】</w:t>
      </w:r>
    </w:p>
    <w:p w14:paraId="08DD7A5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一、民事责任类型与共同诉讼形态</w:t>
      </w:r>
    </w:p>
    <w:p w14:paraId="3D1204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1．连带责任——</w:t>
      </w:r>
      <w:r>
        <w:rPr>
          <w:rFonts w:hint="eastAsia" w:ascii="Times New Roman Regular" w:hAnsi="Times New Roman Regular" w:cs="Times New Roman Regular"/>
          <w:sz w:val="21"/>
          <w:szCs w:val="21"/>
          <w:u w:val="none"/>
          <w:lang w:val="en-US" w:eastAsia="zh-CN"/>
        </w:rPr>
        <w:t>先按照类似必要共同诉讼理解，再按照普通共同诉讼理解</w:t>
      </w:r>
    </w:p>
    <w:p w14:paraId="786312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2．不真正连带责任——普通共同诉讼/不成立共同诉讼</w:t>
      </w:r>
    </w:p>
    <w:p w14:paraId="202327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3．补充责任——普通共同诉讼</w:t>
      </w:r>
    </w:p>
    <w:p w14:paraId="46CBD6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二、适用情形：结合民法关于连带责任、不真正连带责任、补充责任的规定</w:t>
      </w:r>
    </w:p>
    <w:p w14:paraId="4CE2C1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三、必要共同诉讼人的追加</w:t>
      </w:r>
    </w:p>
    <w:p w14:paraId="434531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1．可由当事人申请，也可由法院依职权通知追加；</w:t>
      </w:r>
    </w:p>
    <w:p w14:paraId="1E4F3C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2．应当追加的原告，已明确表示放弃实体权利，可不予追加；既不愿意参加诉讼，又不放弃实体权利，仍应追加为共同原告。</w:t>
      </w:r>
    </w:p>
    <w:p w14:paraId="0170BDC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四、必要共同诉讼人的内部关系</w:t>
      </w:r>
    </w:p>
    <w:p w14:paraId="564EE2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必要共同诉讼中一人的诉讼行为经其他共同诉讼人承认，对其他共同诉讼人发生效力。</w:t>
      </w:r>
    </w:p>
    <w:p w14:paraId="71E38FF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例外：共同诉讼人中一人对判决不服提起上诉的，如果上诉后为不可分之诉，不管其他共同诉讼人是否承认该上诉行为，上诉的效力都及于共同诉讼人全体。</w:t>
      </w:r>
    </w:p>
    <w:p w14:paraId="1CA529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66B379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【考点12:第三人】</w:t>
      </w:r>
    </w:p>
    <w:p w14:paraId="2FAD0B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一、有独立请求权第三人</w:t>
      </w:r>
    </w:p>
    <w:p w14:paraId="70A706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1．以起诉方式参加。</w:t>
      </w:r>
    </w:p>
    <w:p w14:paraId="45C107A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2．地位相当于原告，本诉的原告和被告都作为参加之诉的被告。</w:t>
      </w:r>
    </w:p>
    <w:p w14:paraId="6A55BD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3．对本诉原告、被告争议的诉讼标的，主张全部或者部分所有权。</w:t>
      </w:r>
    </w:p>
    <w:p w14:paraId="1036D6A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4．若直接申请参加第二审程序，法院可以准许。此时只能调解结案。如果调解不成，二审法院应当裁定撤销一审判决，发回重审。</w:t>
      </w:r>
    </w:p>
    <w:p w14:paraId="3B8AA0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二、无独立请求权第三人</w:t>
      </w:r>
    </w:p>
    <w:p w14:paraId="07921D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1．参加诉讼的依据是其权利义务将受原告和被告之间诉讼结果的影响，从而使权利义务有所增加或减少。</w:t>
      </w:r>
    </w:p>
    <w:p w14:paraId="21A5597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2．无独立请求权第三人未参加第一审程序，直接申请参加第二审程序，法院可以准许。</w:t>
      </w:r>
    </w:p>
    <w:p w14:paraId="7C618E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3．自己申请参加诉讼或者法院通知其参加诉讼。</w:t>
      </w:r>
    </w:p>
    <w:p w14:paraId="7C7E63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4．不享有的诉讼权利：提出管辖权异议，放弃、变更诉讼请求，申请撤诉。</w:t>
      </w:r>
    </w:p>
    <w:p w14:paraId="3BC5529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5．附条件享有的诉讼权利：一审判决其承担民事责任，享有上诉权。</w:t>
      </w:r>
    </w:p>
    <w:p w14:paraId="026966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6．凡是法律或司法解释规定列为第三人的，均属于无独立请求权第三人。</w:t>
      </w:r>
    </w:p>
    <w:p w14:paraId="569B85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7．债权人以债务人的相对人为被告提起代位权诉讼，未将债务人列为第三人，法院应当追加债务人为第三人。</w:t>
      </w:r>
    </w:p>
    <w:p w14:paraId="6EAF1EE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8．债权已由生效裁判确认，债权人另行提起公司人格否认诉讼，请求股东对公司债务承担连带责任，列股东为被告，公司为第三人。</w:t>
      </w:r>
    </w:p>
    <w:p w14:paraId="1BFDC5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49A5C70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【考点13:诉讼代理人】</w:t>
      </w:r>
    </w:p>
    <w:p w14:paraId="48755A0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一、法定诉讼代理人</w:t>
      </w:r>
    </w:p>
    <w:p w14:paraId="5540A5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法定诉讼代理人具有类似于当事人的诉讼地位。可以按照自己的意志代理被代理人实施所有诉讼行为。</w:t>
      </w:r>
    </w:p>
    <w:p w14:paraId="2BEE119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二、委托诉讼代理人</w:t>
      </w:r>
    </w:p>
    <w:p w14:paraId="077B2D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授权委托书仅写“全权代理”而无具体授权的，视为一般授权。即无权代为承认、放弃、变更诉讼请求，进行和解，提起反诉或者上诉。</w:t>
      </w:r>
    </w:p>
    <w:p w14:paraId="08E8E9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66231E8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【考点14:民事证据的种类】</w:t>
      </w:r>
    </w:p>
    <w:p w14:paraId="39860D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一、书证——文书提出命令</w:t>
      </w:r>
    </w:p>
    <w:p w14:paraId="5E02D74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1．适用范围：书证、视听资料和电子数据。</w:t>
      </w:r>
    </w:p>
    <w:p w14:paraId="4AFAE72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适用情形：（1）控制书证的当事人在诉讼中曾经引用过的书证；（2）为对方当事人的利益制作的书证；（3）对方当事人依照法律规定有权查阅、获取的书证；（4）账簿、记账原始凭证；（5）法院认为应当提交书证的其他情形。</w:t>
      </w:r>
    </w:p>
    <w:p w14:paraId="2EA110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3．申请主体：承担证明责任的当事人</w:t>
      </w:r>
    </w:p>
    <w:p w14:paraId="7220B2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4．申请时间：举证时限届满前</w:t>
      </w:r>
    </w:p>
    <w:p w14:paraId="4EDB3B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5．申请形式：书面申请</w:t>
      </w:r>
    </w:p>
    <w:p w14:paraId="5B3EC2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6．对方否认的处理：法院应当根据法律规定、习惯等因素，结合案件的事实、证据作出综合判断。</w:t>
      </w:r>
    </w:p>
    <w:p w14:paraId="1BF1472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法院对申请的处理：法院审查时应当听取对方当事人的意见，必要时可以要求双方当事人提供证据、进行辩论。当事人申请理由成立的，法院应当作出裁定，责令对方当事人提交书证；理由不成立的，通知申请人。（注意：理由不成立无须作出裁定）</w:t>
      </w:r>
    </w:p>
    <w:p w14:paraId="53E6BC6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8．不予准许情形：当事人申请提交的书证不明确、书证对于待证事实的证明无必要、待证事实对于裁判结果无实质性影响、书证未在对方当事人控制之下或者不符合文书提出命令的法定适用情形。</w:t>
      </w:r>
    </w:p>
    <w:p w14:paraId="42A39F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9．法律效力：（1）提交书证所产生的费用，由申请人负担；（2）无正当理由拒不提交，认定书证内容为真实；（3）实施毁灭书证等妨害证明行为，认定以该书证证明的事实为真实。</w:t>
      </w:r>
    </w:p>
    <w:p w14:paraId="2FC9CC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二、电子数据</w:t>
      </w:r>
    </w:p>
    <w:p w14:paraId="2473DC8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当事人以电子数据作为证据的，应当提供原件。电子数据的制作者制作的与原件一致的副本，或者直接来源于电子数据的打印件或其他可以显示、识别的输出介质，视为电子数据的原件。</w:t>
      </w:r>
    </w:p>
    <w:p w14:paraId="27A03D3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三、证人证言</w:t>
      </w:r>
    </w:p>
    <w:p w14:paraId="0317E36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无正当理由未出庭的证人以书面等方式提供的证言，不得作为认定案件事实的根据。</w:t>
      </w:r>
    </w:p>
    <w:p w14:paraId="6D115D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四、当事人陈述</w:t>
      </w:r>
    </w:p>
    <w:p w14:paraId="57C07B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w:t>
      </w: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）法律效力</w:t>
      </w:r>
    </w:p>
    <w:p w14:paraId="44EBAF8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当事人的陈述不能单独作为认定案件事实的根据。</w:t>
      </w:r>
    </w:p>
    <w:p w14:paraId="340761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w:t>
      </w: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）专家辅助人</w:t>
      </w:r>
    </w:p>
    <w:p w14:paraId="7CEF3B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证据类型：视为当事人陈述</w:t>
      </w:r>
    </w:p>
    <w:p w14:paraId="01AADB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五、鉴定意见</w:t>
      </w:r>
    </w:p>
    <w:p w14:paraId="659234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当事人有异议，鉴定人先解释、说明；仍有异议，再通知鉴定人出庭。</w:t>
      </w:r>
    </w:p>
    <w:p w14:paraId="081638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鉴定人拒不出庭作证，鉴定意见不得作为认定案件事实的根据。法院应当建议有关主管部门或者组织对拒不出庭作证的鉴定人予以处罚。当事人因鉴定人拒不出庭作证申请重新鉴定的，法院应当准许。</w:t>
      </w:r>
    </w:p>
    <w:p w14:paraId="7D82772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六、勘验笔录</w:t>
      </w:r>
      <w:bookmarkStart w:id="0" w:name="_GoBack"/>
      <w:bookmarkEnd w:id="0"/>
    </w:p>
    <w:p w14:paraId="5E5238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勘验主体：法院工作人员</w:t>
      </w:r>
    </w:p>
    <w:p w14:paraId="182D27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启动方式：当事人的申请或依职权对物证或现场进行勘验</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DE82A"/>
    <w:rsid w:val="1FFE3DC8"/>
    <w:rsid w:val="25E4E361"/>
    <w:rsid w:val="2FF57ABD"/>
    <w:rsid w:val="37F9300F"/>
    <w:rsid w:val="39CD9E08"/>
    <w:rsid w:val="3AA211B0"/>
    <w:rsid w:val="3DDD8785"/>
    <w:rsid w:val="3EFF2196"/>
    <w:rsid w:val="3EFFCDE3"/>
    <w:rsid w:val="3F7D6D90"/>
    <w:rsid w:val="3FDF38B5"/>
    <w:rsid w:val="4D7AF3B1"/>
    <w:rsid w:val="4F7E5D39"/>
    <w:rsid w:val="4FEF7A7F"/>
    <w:rsid w:val="5BF630B3"/>
    <w:rsid w:val="5D1E5E35"/>
    <w:rsid w:val="5D2F548A"/>
    <w:rsid w:val="5D9CC53C"/>
    <w:rsid w:val="5DBFD756"/>
    <w:rsid w:val="5EF589B3"/>
    <w:rsid w:val="5F2FB4C6"/>
    <w:rsid w:val="5F67BE34"/>
    <w:rsid w:val="5F9FED60"/>
    <w:rsid w:val="5FDFC522"/>
    <w:rsid w:val="63F79634"/>
    <w:rsid w:val="676B1FCF"/>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8FF9F1C"/>
    <w:rsid w:val="79B72732"/>
    <w:rsid w:val="7A8FECFA"/>
    <w:rsid w:val="7B6D3C00"/>
    <w:rsid w:val="7B77E946"/>
    <w:rsid w:val="7BAF28C8"/>
    <w:rsid w:val="7BFFD2F7"/>
    <w:rsid w:val="7C7DDD51"/>
    <w:rsid w:val="7C9D61C3"/>
    <w:rsid w:val="7D473A11"/>
    <w:rsid w:val="7D7FD33D"/>
    <w:rsid w:val="7DBDD90E"/>
    <w:rsid w:val="7DBFEFAD"/>
    <w:rsid w:val="7DE7821D"/>
    <w:rsid w:val="7DF9200D"/>
    <w:rsid w:val="7E3F6002"/>
    <w:rsid w:val="7EFFC158"/>
    <w:rsid w:val="7F3B9F4C"/>
    <w:rsid w:val="7F3C3286"/>
    <w:rsid w:val="7F695405"/>
    <w:rsid w:val="7F6B748A"/>
    <w:rsid w:val="7FB49696"/>
    <w:rsid w:val="7FB797CE"/>
    <w:rsid w:val="7FBF0F91"/>
    <w:rsid w:val="7FE7235C"/>
    <w:rsid w:val="7FFCE884"/>
    <w:rsid w:val="8ABEE47C"/>
    <w:rsid w:val="AEAF67DC"/>
    <w:rsid w:val="AECFAD74"/>
    <w:rsid w:val="AED07A5A"/>
    <w:rsid w:val="AEFFF231"/>
    <w:rsid w:val="AF7349BF"/>
    <w:rsid w:val="B1FDE468"/>
    <w:rsid w:val="B3FEA9EF"/>
    <w:rsid w:val="B7FEF551"/>
    <w:rsid w:val="BBD68691"/>
    <w:rsid w:val="BFD7C2A8"/>
    <w:rsid w:val="BFDF5E9D"/>
    <w:rsid w:val="BFFFC478"/>
    <w:rsid w:val="C2FF7057"/>
    <w:rsid w:val="CBDA46FA"/>
    <w:rsid w:val="CDF9AD73"/>
    <w:rsid w:val="CEAF22DB"/>
    <w:rsid w:val="CFABA3EB"/>
    <w:rsid w:val="CFBDAEF9"/>
    <w:rsid w:val="CFFF1593"/>
    <w:rsid w:val="D7F8DDAE"/>
    <w:rsid w:val="D99D7B6E"/>
    <w:rsid w:val="DBF64670"/>
    <w:rsid w:val="DE5EFF5E"/>
    <w:rsid w:val="DFDD6831"/>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0DE3C2E"/>
    <w:rsid w:val="F1B927A4"/>
    <w:rsid w:val="F3FF92B4"/>
    <w:rsid w:val="F54E1163"/>
    <w:rsid w:val="F56E2A6E"/>
    <w:rsid w:val="F5EEDA60"/>
    <w:rsid w:val="F5EFB180"/>
    <w:rsid w:val="F6DFFC0C"/>
    <w:rsid w:val="F73F225B"/>
    <w:rsid w:val="FABE4737"/>
    <w:rsid w:val="FB3760F9"/>
    <w:rsid w:val="FBDF91EB"/>
    <w:rsid w:val="FBFF7EF4"/>
    <w:rsid w:val="FCEF4E65"/>
    <w:rsid w:val="FD375179"/>
    <w:rsid w:val="FD6C9E97"/>
    <w:rsid w:val="FD6EB3EE"/>
    <w:rsid w:val="FDBDD900"/>
    <w:rsid w:val="FDF59568"/>
    <w:rsid w:val="FEA64923"/>
    <w:rsid w:val="FED769C8"/>
    <w:rsid w:val="FF3362C6"/>
    <w:rsid w:val="FF6F6FFE"/>
    <w:rsid w:val="FF7BF13D"/>
    <w:rsid w:val="FF943FE1"/>
    <w:rsid w:val="FF9F8E8F"/>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9</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2026-02-06T08:22:00Z</dcterms:created>
  <dc:creator>Arthur (Xiao) Dong</dc:creator>
  <cp:lastModifiedBy>Arthur (Xiao) Dong</cp:lastModifiedBy>
  <dcterms:modified xsi:type="dcterms:W3CDTF">2026-06-19T23:37:23Z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