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2869C2"/>
    <w:p w14:paraId="556E0ADF">
      <w:pPr>
        <w:rPr>
          <w:lang w:eastAsia="zh-Hans"/>
        </w:rPr>
      </w:pPr>
    </w:p>
    <w:p w14:paraId="79A3ED37">
      <w:pPr>
        <w:pStyle w:val="3"/>
        <w:spacing w:line="400" w:lineRule="exact"/>
        <w:jc w:val="center"/>
        <w:rPr>
          <w:sz w:val="32"/>
          <w:szCs w:val="32"/>
        </w:rPr>
      </w:pPr>
      <w:bookmarkStart w:id="0" w:name="_Toc529118594"/>
      <w:bookmarkStart w:id="1" w:name="_Toc529118738"/>
      <w:r>
        <w:rPr>
          <w:rFonts w:hint="eastAsia" w:ascii="黑体" w:hAnsi="宋体" w:eastAsia="黑体" w:cs="仿宋"/>
          <w:bCs/>
          <w:kern w:val="2"/>
          <w:sz w:val="30"/>
          <w:szCs w:val="30"/>
          <w:lang w:val="en-US" w:eastAsia="zh-CN" w:bidi="ar"/>
        </w:rPr>
        <w:t>主观第一阶段模考——刑诉法评阅分析</w:t>
      </w:r>
    </w:p>
    <w:bookmarkEnd w:id="0"/>
    <w:bookmarkEnd w:id="1"/>
    <w:p w14:paraId="20D05FE0"/>
    <w:p w14:paraId="74FAE8D1">
      <w:pPr>
        <w:pStyle w:val="3"/>
        <w:rPr>
          <w:bCs w:val="0"/>
          <w:color w:val="000000" w:themeColor="text1"/>
          <w14:textFill>
            <w14:solidFill>
              <w14:schemeClr w14:val="tx1"/>
            </w14:solidFill>
          </w14:textFill>
        </w:rPr>
      </w:pPr>
      <w:r>
        <w:rPr>
          <w:rFonts w:hint="eastAsia"/>
          <w:bCs w:val="0"/>
          <w:color w:val="000000" w:themeColor="text1"/>
          <w14:textFill>
            <w14:solidFill>
              <w14:schemeClr w14:val="tx1"/>
            </w14:solidFill>
          </w14:textFill>
        </w:rPr>
        <w:t>第一题</w:t>
      </w:r>
    </w:p>
    <w:p w14:paraId="58C28EF6"/>
    <w:p w14:paraId="3AF368EE">
      <w:pPr>
        <w:spacing w:line="360" w:lineRule="auto"/>
        <w:ind w:firstLine="422" w:firstLineChars="200"/>
      </w:pPr>
      <w:r>
        <w:rPr>
          <w:rFonts w:hint="eastAsia" w:ascii="宋体" w:hAnsi="宋体" w:eastAsia="宋体" w:cs="宋体"/>
          <w:b/>
        </w:rPr>
        <w:t>一、总体评价</w:t>
      </w:r>
    </w:p>
    <w:p w14:paraId="270D4C14">
      <w:pPr>
        <w:spacing w:line="360" w:lineRule="auto"/>
        <w:ind w:firstLine="420" w:firstLineChars="200"/>
      </w:pPr>
      <w:r>
        <w:rPr>
          <w:rFonts w:hint="eastAsia" w:ascii="宋体" w:hAnsi="宋体" w:eastAsia="宋体" w:cs="宋体"/>
        </w:rPr>
        <w:t>本题得分主要在11-20分之间，整体难度较高，尤其是第六问（二审抗诉与上级人民检察院的处理权限）几乎无人取得满分，第一问（“认罪”的认定）、第四问（前科记录在不同诉讼用途中的运用）失分也较为普遍，考生普遍应对不佳。本题综合考查了认罪认罚从宽制度与“认罪”的认定标准、证人证言的审查与认定、鉴定意见的审查与排除、证据的关联性、羁押必要性审查、量刑酌定情节、侦查实验的基本要求与笔录审查、二审抗诉与上级人民检察院的处理权限等知识点。阅卷中出现的主要问题有：</w:t>
      </w:r>
    </w:p>
    <w:p w14:paraId="442C5808">
      <w:pPr>
        <w:spacing w:line="360" w:lineRule="auto"/>
        <w:ind w:firstLine="420" w:firstLineChars="200"/>
      </w:pPr>
      <w:r>
        <w:rPr>
          <w:rFonts w:hint="eastAsia" w:ascii="宋体" w:hAnsi="宋体" w:eastAsia="宋体" w:cs="宋体"/>
        </w:rPr>
        <w:t>1.对分层、多用途类设问准备不足。第四问要求区分羁押必要性审查、量刑、定罪三种不同用途，第六问要求从抗诉主体与期限、补充抗诉理由与补充抗诉意见的边界、被告人辩护权三个层面展开，但多数考生只答出其中一层，缺乏对同一情节在不同程序阶段中不同评价的梳理，导致失分严重。</w:t>
      </w:r>
    </w:p>
    <w:p w14:paraId="743A10A8">
      <w:pPr>
        <w:spacing w:line="360" w:lineRule="auto"/>
        <w:ind w:firstLine="420" w:firstLineChars="200"/>
      </w:pPr>
      <w:r>
        <w:rPr>
          <w:rFonts w:hint="eastAsia" w:ascii="宋体" w:hAnsi="宋体" w:eastAsia="宋体" w:cs="宋体"/>
        </w:rPr>
        <w:t>2.部分考生材料信息获取不全面，遗漏材料关键信息。如第一问未抓住郑某“仅对危险驾驶罪认罪、始终否认妨害公务罪”这一细节，第三问未注意“抽血前使用含乙醇消毒液”这一关键事实，第五问未识别侦查实验对象“未饮酒”与郑某案发时状态的差异，回答不够精确和完整。</w:t>
      </w:r>
    </w:p>
    <w:p w14:paraId="729DF07E">
      <w:pPr>
        <w:spacing w:line="360" w:lineRule="auto"/>
        <w:ind w:firstLine="420" w:firstLineChars="200"/>
      </w:pPr>
      <w:r>
        <w:rPr>
          <w:rFonts w:hint="eastAsia" w:ascii="宋体" w:hAnsi="宋体" w:eastAsia="宋体" w:cs="宋体"/>
        </w:rPr>
        <w:t>3.部分考生基础知识掌握不足，缺乏分析的知识储备，导致作答内容偏差。在鉴定意见部分，不少考生对《法院解释》关于鉴定意见排除的规定掌握不清，未能同时点出“违反国家标准”与“检材被污染”两项理由；在侦查实验部分，对“按照原来的条件加以重演”这一基本要求理解不深；在二审抗诉部分，对二审抗诉的提起主体、期限以及上级人民检察院的处理方式缺乏系统认识。</w:t>
      </w:r>
    </w:p>
    <w:p w14:paraId="30200E88">
      <w:pPr>
        <w:spacing w:line="360" w:lineRule="auto"/>
        <w:ind w:firstLine="420" w:firstLineChars="200"/>
      </w:pPr>
      <w:r>
        <w:rPr>
          <w:rFonts w:hint="eastAsia" w:ascii="宋体" w:hAnsi="宋体" w:eastAsia="宋体" w:cs="宋体"/>
        </w:rPr>
        <w:t>4.答题规范性不足。部分考生结论不明确、理由不充分，或仅罗列“三性”“合法性、真实性”等笼统标准而不展开具体审查要点（第二问尤为突出），或法条引用错误、用途未作区分，影响整体得分。一些考生未能形成完整的逻辑链条，只回答出部分要点，回答不全面。</w:t>
      </w:r>
    </w:p>
    <w:p w14:paraId="58DA3B84">
      <w:pPr>
        <w:spacing w:line="360" w:lineRule="auto"/>
      </w:pPr>
    </w:p>
    <w:p w14:paraId="472A1510">
      <w:pPr>
        <w:spacing w:line="360" w:lineRule="auto"/>
        <w:ind w:firstLine="422" w:firstLineChars="200"/>
      </w:pPr>
      <w:r>
        <w:rPr>
          <w:rFonts w:hint="eastAsia" w:ascii="宋体" w:hAnsi="宋体" w:eastAsia="宋体" w:cs="宋体"/>
          <w:b/>
        </w:rPr>
        <w:t>二、知识点问题</w:t>
      </w:r>
    </w:p>
    <w:p w14:paraId="3476E60C">
      <w:pPr>
        <w:spacing w:line="360" w:lineRule="auto"/>
        <w:ind w:firstLine="422" w:firstLineChars="200"/>
      </w:pPr>
      <w:r>
        <w:rPr>
          <w:rFonts w:hint="eastAsia" w:ascii="宋体" w:hAnsi="宋体" w:eastAsia="宋体" w:cs="宋体"/>
          <w:b/>
        </w:rPr>
        <w:t>第一问：</w:t>
      </w:r>
      <w:r>
        <w:rPr>
          <w:rFonts w:hint="eastAsia" w:ascii="宋体" w:hAnsi="宋体" w:eastAsia="宋体" w:cs="宋体"/>
        </w:rPr>
        <w:t>本题考查认罪认罚从宽制度与“认罪”的认定标准，涉及“犯数罪而仅认一罪是否构成认罪”以及审查起诉、审判两个阶段的分别判断。解答此题的关键，一方面要把握“犯数罪而仅如实供述其中一罪的，全案不作‘认罪’认定”这一核心规则，另一方面要注意题目并未限定主体，须同时审视检察院审查起诉阶段与法院审判阶段能否适用。从作答情况来看，学员本题正确率较低，失分的主要原因在于：</w:t>
      </w:r>
    </w:p>
    <w:p w14:paraId="50642F07">
      <w:pPr>
        <w:spacing w:line="360" w:lineRule="auto"/>
        <w:ind w:firstLine="420" w:firstLineChars="200"/>
      </w:pPr>
      <w:r>
        <w:rPr>
          <w:rFonts w:hint="eastAsia" w:ascii="宋体" w:hAnsi="宋体" w:eastAsia="宋体" w:cs="宋体"/>
        </w:rPr>
        <w:t>1.普遍遗漏审判阶段的判断。绝大多数考生答出了审查起诉阶段“仅认一罪、全案不作认罪认定”，却未指出一审法院最终认定的恰是郑某始终否认的妨害公务罪，对该罪不构成“认罪”，这一得分点失分最为集中。</w:t>
      </w:r>
    </w:p>
    <w:p w14:paraId="2E6D0320">
      <w:pPr>
        <w:spacing w:line="360" w:lineRule="auto"/>
        <w:ind w:firstLine="420" w:firstLineChars="200"/>
      </w:pPr>
      <w:r>
        <w:rPr>
          <w:rFonts w:hint="eastAsia" w:ascii="宋体" w:hAnsi="宋体" w:eastAsia="宋体" w:cs="宋体"/>
        </w:rPr>
        <w:t>2.部分考生结论判断错误，认为本案可以对郑某适用认罪认罚从宽制度，方向性失误直接导致失分。</w:t>
      </w:r>
    </w:p>
    <w:p w14:paraId="271DA576">
      <w:pPr>
        <w:spacing w:line="360" w:lineRule="auto"/>
        <w:ind w:firstLine="420" w:firstLineChars="200"/>
      </w:pPr>
      <w:r>
        <w:rPr>
          <w:rFonts w:hint="eastAsia" w:ascii="宋体" w:hAnsi="宋体" w:eastAsia="宋体" w:cs="宋体"/>
        </w:rPr>
        <w:t>3.部分考生未答出“犯数罪仅认一罪、全案不作‘认罪’认定”这一规则，仅泛泛讨论认罪态度，未落到《关于适用认罪认罚从宽制度的指导意见》第6条的标准上。</w:t>
      </w:r>
    </w:p>
    <w:p w14:paraId="37617A9B">
      <w:pPr>
        <w:spacing w:line="360" w:lineRule="auto"/>
        <w:ind w:firstLine="420" w:firstLineChars="200"/>
      </w:pPr>
      <w:r>
        <w:rPr>
          <w:rFonts w:hint="eastAsia" w:ascii="宋体" w:hAnsi="宋体" w:eastAsia="宋体" w:cs="宋体"/>
        </w:rPr>
        <w:t>4.部分考生未区分审查起诉与审判两个阶段，将两阶段混为一谈，分析不完整。</w:t>
      </w:r>
    </w:p>
    <w:p w14:paraId="31A964E0">
      <w:pPr>
        <w:spacing w:line="360" w:lineRule="auto"/>
      </w:pPr>
    </w:p>
    <w:p w14:paraId="4A8FB3AD">
      <w:pPr>
        <w:spacing w:line="360" w:lineRule="auto"/>
        <w:ind w:firstLine="422" w:firstLineChars="200"/>
      </w:pPr>
      <w:r>
        <w:rPr>
          <w:rFonts w:hint="eastAsia" w:ascii="宋体" w:hAnsi="宋体" w:eastAsia="宋体" w:cs="宋体"/>
          <w:b/>
        </w:rPr>
        <w:t>第二问：</w:t>
      </w:r>
      <w:r>
        <w:rPr>
          <w:rFonts w:hint="eastAsia" w:ascii="宋体" w:hAnsi="宋体" w:eastAsia="宋体" w:cs="宋体"/>
        </w:rPr>
        <w:t>本题考查证人证言的法定审查内容，要求结合《法院解释》第87条、第88条，从内容、程序、印证三个层面对王某等证人的证言进行审查。本题是全卷得分情况最好的一问，学员正确率较高，但仍有失分，主要原因在于：</w:t>
      </w:r>
    </w:p>
    <w:p w14:paraId="05ECC693">
      <w:pPr>
        <w:spacing w:line="360" w:lineRule="auto"/>
        <w:ind w:firstLine="420" w:firstLineChars="200"/>
      </w:pPr>
      <w:r>
        <w:rPr>
          <w:rFonts w:hint="eastAsia" w:ascii="宋体" w:hAnsi="宋体" w:eastAsia="宋体" w:cs="宋体"/>
        </w:rPr>
        <w:t>1.部分考生只笼统回答“三性”（客观性、关联性、真实性）或“合法性、真实性”，未列出具体审查要点，导致几乎不得分。本题问的是“从哪些方面审查”，应直接列举审查项目，而非反复回答“依据某某条”。</w:t>
      </w:r>
    </w:p>
    <w:p w14:paraId="678A96E5">
      <w:pPr>
        <w:spacing w:line="360" w:lineRule="auto"/>
        <w:ind w:firstLine="420" w:firstLineChars="200"/>
      </w:pPr>
      <w:r>
        <w:rPr>
          <w:rFonts w:hint="eastAsia" w:ascii="宋体" w:hAnsi="宋体" w:eastAsia="宋体" w:cs="宋体"/>
        </w:rPr>
        <w:t>2.较多考生遗漏程序层面的审查要点，如询问是否个别进行、询问笔录的制作与修改是否合法、有无以非法方法收集证言。</w:t>
      </w:r>
    </w:p>
    <w:p w14:paraId="4ACBB073">
      <w:pPr>
        <w:spacing w:line="360" w:lineRule="auto"/>
        <w:ind w:firstLine="420" w:firstLineChars="200"/>
      </w:pPr>
      <w:r>
        <w:rPr>
          <w:rFonts w:hint="eastAsia" w:ascii="宋体" w:hAnsi="宋体" w:eastAsia="宋体" w:cs="宋体"/>
        </w:rPr>
        <w:t>3.部分考生遗漏“证言是否为证人直接感知”或“证人与本案当事人、案件处理结果有无利害关系”等内容，未达到要求的要点数量。</w:t>
      </w:r>
    </w:p>
    <w:p w14:paraId="033CFCC7">
      <w:pPr>
        <w:spacing w:line="360" w:lineRule="auto"/>
        <w:ind w:firstLine="420" w:firstLineChars="200"/>
      </w:pPr>
      <w:r>
        <w:rPr>
          <w:rFonts w:hint="eastAsia" w:ascii="宋体" w:hAnsi="宋体" w:eastAsia="宋体" w:cs="宋体"/>
        </w:rPr>
        <w:t>4.个别考生把“关联性”当作证人证言审查的独立要点作答，方向有误，不能得分。</w:t>
      </w:r>
    </w:p>
    <w:p w14:paraId="55BA1F54">
      <w:pPr>
        <w:spacing w:line="360" w:lineRule="auto"/>
      </w:pPr>
    </w:p>
    <w:p w14:paraId="6050CCD5">
      <w:pPr>
        <w:spacing w:line="360" w:lineRule="auto"/>
        <w:ind w:firstLine="422" w:firstLineChars="200"/>
      </w:pPr>
      <w:r>
        <w:rPr>
          <w:rFonts w:hint="eastAsia" w:ascii="宋体" w:hAnsi="宋体" w:eastAsia="宋体" w:cs="宋体"/>
          <w:b/>
        </w:rPr>
        <w:t>第三问：</w:t>
      </w:r>
      <w:r>
        <w:rPr>
          <w:rFonts w:hint="eastAsia" w:ascii="宋体" w:hAnsi="宋体" w:eastAsia="宋体" w:cs="宋体"/>
        </w:rPr>
        <w:t>本题考查鉴定意见的审查与排除规则，要求沿“抽血前使用含乙醇消毒液违反规范→检材可能被污染→鉴定意见不得作为定案根据”的链条说理。从作答情况来看，学员本题正确率中等，失分的主要原因在于：</w:t>
      </w:r>
    </w:p>
    <w:p w14:paraId="16CEE6C4">
      <w:pPr>
        <w:spacing w:line="360" w:lineRule="auto"/>
        <w:ind w:firstLine="420" w:firstLineChars="200"/>
      </w:pPr>
      <w:r>
        <w:rPr>
          <w:rFonts w:hint="eastAsia" w:ascii="宋体" w:hAnsi="宋体" w:eastAsia="宋体" w:cs="宋体"/>
        </w:rPr>
        <w:t>1.理由普遍只答出一半。本题理由有两个并列得分点——“使用含乙醇消毒液违反《车辆驾驶人员血液、呼气酒精含量阈值与检验》强制性国家标准的规范要求”与“送检血样可能因混入乙醇而被污染、不具备鉴定条件”，多数考生只答出其中之一，另一点失分。</w:t>
      </w:r>
    </w:p>
    <w:p w14:paraId="1A77A973">
      <w:pPr>
        <w:spacing w:line="360" w:lineRule="auto"/>
        <w:ind w:firstLine="420" w:firstLineChars="200"/>
      </w:pPr>
      <w:r>
        <w:rPr>
          <w:rFonts w:hint="eastAsia" w:ascii="宋体" w:hAnsi="宋体" w:eastAsia="宋体" w:cs="宋体"/>
        </w:rPr>
        <w:t>2.部分考生结论错误，认为该鉴定意见可以作为定案的根据。</w:t>
      </w:r>
    </w:p>
    <w:p w14:paraId="7BAC55C0">
      <w:pPr>
        <w:spacing w:line="360" w:lineRule="auto"/>
        <w:ind w:firstLine="420" w:firstLineChars="200"/>
      </w:pPr>
      <w:r>
        <w:rPr>
          <w:rFonts w:hint="eastAsia" w:ascii="宋体" w:hAnsi="宋体" w:eastAsia="宋体" w:cs="宋体"/>
        </w:rPr>
        <w:t>3.部分考生理由方向跑偏，以“酒精会代谢”“检材提取程序违法”或“侦查实验已补正”为由展开，未对应得分点。</w:t>
      </w:r>
    </w:p>
    <w:p w14:paraId="6955F6B8">
      <w:pPr>
        <w:spacing w:line="360" w:lineRule="auto"/>
      </w:pPr>
    </w:p>
    <w:p w14:paraId="21E6ECED">
      <w:pPr>
        <w:spacing w:line="360" w:lineRule="auto"/>
        <w:ind w:firstLine="422" w:firstLineChars="200"/>
      </w:pPr>
      <w:r>
        <w:rPr>
          <w:rFonts w:hint="eastAsia" w:ascii="宋体" w:hAnsi="宋体" w:eastAsia="宋体" w:cs="宋体"/>
          <w:b/>
        </w:rPr>
        <w:t>第四问：</w:t>
      </w:r>
      <w:r>
        <w:rPr>
          <w:rFonts w:hint="eastAsia" w:ascii="宋体" w:hAnsi="宋体" w:eastAsia="宋体" w:cs="宋体"/>
        </w:rPr>
        <w:t>本题考查证据的关联性、羁押必要性审查与量刑情节，核心在于区分“人”的社会危险性与“事”的证据关联性，并按羁押必要性审查、量刑、定罪三种用途分别作答。从作答情况来看，学员本题正确率较低，失分的主要原因在于：</w:t>
      </w:r>
    </w:p>
    <w:p w14:paraId="331C1225">
      <w:pPr>
        <w:spacing w:line="360" w:lineRule="auto"/>
        <w:ind w:firstLine="420" w:firstLineChars="200"/>
      </w:pPr>
      <w:r>
        <w:rPr>
          <w:rFonts w:hint="eastAsia" w:ascii="宋体" w:hAnsi="宋体" w:eastAsia="宋体" w:cs="宋体"/>
        </w:rPr>
        <w:t>1.未区分三种用途是最突出的问题。不少考生“一刀切”——或全盘肯定（认为前科记录连定罪都能作为依据），或全盘否定（认为羁押必要性审查、量刑也都不能用），未按用途分层判断。</w:t>
      </w:r>
    </w:p>
    <w:p w14:paraId="56F0EB4F">
      <w:pPr>
        <w:spacing w:line="360" w:lineRule="auto"/>
        <w:ind w:firstLine="420" w:firstLineChars="200"/>
      </w:pPr>
      <w:r>
        <w:rPr>
          <w:rFonts w:hint="eastAsia" w:ascii="宋体" w:hAnsi="宋体" w:eastAsia="宋体" w:cs="宋体"/>
        </w:rPr>
        <w:t>2.较多考生错误地否定了量刑用途，只承认可作为羁押必要性审查依据而漏掉量刑，或反之。</w:t>
      </w:r>
    </w:p>
    <w:p w14:paraId="738015AE">
      <w:pPr>
        <w:spacing w:line="360" w:lineRule="auto"/>
        <w:ind w:firstLine="420" w:firstLineChars="200"/>
      </w:pPr>
      <w:r>
        <w:rPr>
          <w:rFonts w:hint="eastAsia" w:ascii="宋体" w:hAnsi="宋体" w:eastAsia="宋体" w:cs="宋体"/>
        </w:rPr>
        <w:t>3.结论不完整，只写“可以作为羁押必要性审查和量刑的依据”，遗漏“不能作为定罪依据”这一关键结论。</w:t>
      </w:r>
    </w:p>
    <w:p w14:paraId="13CCA834">
      <w:pPr>
        <w:spacing w:line="360" w:lineRule="auto"/>
        <w:ind w:firstLine="420" w:firstLineChars="200"/>
      </w:pPr>
      <w:r>
        <w:rPr>
          <w:rFonts w:hint="eastAsia" w:ascii="宋体" w:hAnsi="宋体" w:eastAsia="宋体" w:cs="宋体"/>
        </w:rPr>
        <w:t>4.定罪部分理由缺失，未说明“过往类似违法行为与本案待证事实之间一般不具有证据关联性，作为定罪依据会形成预断偏见、可能导致错判”。个别考生误将该前科作为累犯等法定从重情节，但本案前科系行政处罚记录，并不构成累犯。</w:t>
      </w:r>
    </w:p>
    <w:p w14:paraId="2D5D8D43">
      <w:pPr>
        <w:spacing w:line="360" w:lineRule="auto"/>
      </w:pPr>
    </w:p>
    <w:p w14:paraId="790109EB">
      <w:pPr>
        <w:spacing w:line="360" w:lineRule="auto"/>
        <w:ind w:firstLine="422" w:firstLineChars="200"/>
      </w:pPr>
      <w:r>
        <w:rPr>
          <w:rFonts w:hint="eastAsia" w:ascii="宋体" w:hAnsi="宋体" w:eastAsia="宋体" w:cs="宋体"/>
          <w:b/>
        </w:rPr>
        <w:t>第五问：</w:t>
      </w:r>
      <w:r>
        <w:rPr>
          <w:rFonts w:hint="eastAsia" w:ascii="宋体" w:hAnsi="宋体" w:eastAsia="宋体" w:cs="宋体"/>
        </w:rPr>
        <w:t>本题考查侦查实验的基本要求与笔录审查，关键在于把握“按照原来的条件加以重演”这一要求，并将本案实验条件与案发条件作对比。从作答情况来看，学员本题正确率中等，失分的主要原因在于：</w:t>
      </w:r>
    </w:p>
    <w:p w14:paraId="37E6809F">
      <w:pPr>
        <w:spacing w:line="360" w:lineRule="auto"/>
        <w:ind w:firstLine="420" w:firstLineChars="200"/>
      </w:pPr>
      <w:r>
        <w:rPr>
          <w:rFonts w:hint="eastAsia" w:ascii="宋体" w:hAnsi="宋体" w:eastAsia="宋体" w:cs="宋体"/>
        </w:rPr>
        <w:t>1.约半数考生结论判断失误，认为该侦查实验适当（应为不适当）。</w:t>
      </w:r>
    </w:p>
    <w:p w14:paraId="20E11E2B">
      <w:pPr>
        <w:spacing w:line="360" w:lineRule="auto"/>
        <w:ind w:firstLine="420" w:firstLineChars="200"/>
      </w:pPr>
      <w:r>
        <w:rPr>
          <w:rFonts w:hint="eastAsia" w:ascii="宋体" w:hAnsi="宋体" w:eastAsia="宋体" w:cs="宋体"/>
        </w:rPr>
        <w:t>2.理由分析泛泛。不少考生只说“条件不同”“样本不一致”“剂量不同”，未具体指出实验对象处于“未饮酒”状态、与郑某案发时“饮酒后”的状态存在明显差异，未落到“原条件重演”的要求上。</w:t>
      </w:r>
    </w:p>
    <w:p w14:paraId="774F1941">
      <w:pPr>
        <w:spacing w:line="360" w:lineRule="auto"/>
        <w:ind w:firstLine="420" w:firstLineChars="200"/>
      </w:pPr>
      <w:r>
        <w:rPr>
          <w:rFonts w:hint="eastAsia" w:ascii="宋体" w:hAnsi="宋体" w:eastAsia="宋体" w:cs="宋体"/>
        </w:rPr>
        <w:t>3.部分考生围绕鉴定程序或检材问题展开，偏离本问“侦查实验是否适当”的核心。</w:t>
      </w:r>
    </w:p>
    <w:p w14:paraId="3088D750">
      <w:pPr>
        <w:spacing w:line="360" w:lineRule="auto"/>
      </w:pPr>
    </w:p>
    <w:p w14:paraId="0CB8E5EB">
      <w:pPr>
        <w:spacing w:line="360" w:lineRule="auto"/>
        <w:ind w:firstLine="422" w:firstLineChars="200"/>
      </w:pPr>
      <w:r>
        <w:rPr>
          <w:rFonts w:hint="eastAsia" w:ascii="宋体" w:hAnsi="宋体" w:eastAsia="宋体" w:cs="宋体"/>
          <w:b/>
        </w:rPr>
        <w:t>第六问：</w:t>
      </w:r>
      <w:r>
        <w:rPr>
          <w:rFonts w:hint="eastAsia" w:ascii="宋体" w:hAnsi="宋体" w:eastAsia="宋体" w:cs="宋体"/>
        </w:rPr>
        <w:t>本题考查二审抗诉的提起主体与期限、上级人民检察院的处理权限以及抗诉书范围对被告人辩护权的影响，属于开放式设问，最佳立场是认为甲市检察院补充抗诉“不妥当”。本题为全卷难度最大、得分最低的一问，几乎无人取得满分，失分的主要原因在于：</w:t>
      </w:r>
    </w:p>
    <w:p w14:paraId="2C591149">
      <w:pPr>
        <w:spacing w:line="360" w:lineRule="auto"/>
        <w:ind w:firstLine="420" w:firstLineChars="200"/>
      </w:pPr>
      <w:r>
        <w:rPr>
          <w:rFonts w:hint="eastAsia" w:ascii="宋体" w:hAnsi="宋体" w:eastAsia="宋体" w:cs="宋体"/>
        </w:rPr>
        <w:t>1.理由严重不全。本题理由分为三层——抗诉主体与期限（兼及与再审抗诉的混淆）、上级检察院只能在下级抗诉范围内变更补充抗诉理由而不能补充新的抗诉意见、超出抗诉书范围会限制被告人辩护权，多数考生只答出一层甚至未能展开，因此普遍只能拿到结论分。</w:t>
      </w:r>
    </w:p>
    <w:p w14:paraId="6FF8D7BC">
      <w:pPr>
        <w:spacing w:line="360" w:lineRule="auto"/>
        <w:ind w:firstLine="420" w:firstLineChars="200"/>
      </w:pPr>
      <w:r>
        <w:rPr>
          <w:rFonts w:hint="eastAsia" w:ascii="宋体" w:hAnsi="宋体" w:eastAsia="宋体" w:cs="宋体"/>
        </w:rPr>
        <w:t>2.多数考生遗漏“上级检察院在抗诉期满后自行补充抗诉违反主体与期限规定，且与再审抗诉相混淆”这一层理由。</w:t>
      </w:r>
    </w:p>
    <w:p w14:paraId="38794CAC">
      <w:pPr>
        <w:spacing w:line="360" w:lineRule="auto"/>
        <w:ind w:firstLine="420" w:firstLineChars="200"/>
      </w:pPr>
      <w:r>
        <w:rPr>
          <w:rFonts w:hint="eastAsia" w:ascii="宋体" w:hAnsi="宋体" w:eastAsia="宋体" w:cs="宋体"/>
        </w:rPr>
        <w:t>3.多数考生遗漏“超出抗诉书范围会使被告人无法充分准备辩护、可能影响公正审判”这一理由。</w:t>
      </w:r>
    </w:p>
    <w:p w14:paraId="207F2240">
      <w:pPr>
        <w:spacing w:line="360" w:lineRule="auto"/>
        <w:ind w:firstLine="420" w:firstLineChars="200"/>
      </w:pPr>
      <w:r>
        <w:rPr>
          <w:rFonts w:hint="eastAsia" w:ascii="宋体" w:hAnsi="宋体" w:eastAsia="宋体" w:cs="宋体"/>
        </w:rPr>
        <w:t>4.部分考生选择“妥当”观点，或虽选“不妥当”却引用上诉不加刑等不相关原则，说理与得分点不匹配。</w:t>
      </w:r>
    </w:p>
    <w:p w14:paraId="4851BAD4">
      <w:pPr>
        <w:spacing w:line="360" w:lineRule="auto"/>
      </w:pPr>
    </w:p>
    <w:p w14:paraId="02793F18">
      <w:pPr>
        <w:spacing w:line="360" w:lineRule="auto"/>
        <w:ind w:firstLine="422" w:firstLineChars="200"/>
      </w:pPr>
      <w:r>
        <w:rPr>
          <w:rFonts w:hint="eastAsia" w:ascii="宋体" w:hAnsi="宋体" w:eastAsia="宋体" w:cs="宋体"/>
          <w:b/>
        </w:rPr>
        <w:t>三、答题方式问题</w:t>
      </w:r>
    </w:p>
    <w:p w14:paraId="00763AAA">
      <w:pPr>
        <w:spacing w:line="360" w:lineRule="auto"/>
        <w:ind w:firstLine="420" w:firstLineChars="200"/>
      </w:pPr>
      <w:r>
        <w:rPr>
          <w:rFonts w:hint="eastAsia" w:ascii="宋体" w:hAnsi="宋体" w:eastAsia="宋体" w:cs="宋体"/>
        </w:rPr>
        <w:t>1.基础知识掌握不牢。本题涉及刑事诉讼法多个高频考点，但部分考生对认罪认罚“认罪”标准、鉴定意见排除规则、侦查实验“原条件重演”要求、二审抗诉主体与期限等知识点理解不深，导致结论偏离、要点缺失。</w:t>
      </w:r>
    </w:p>
    <w:p w14:paraId="52B52F0D">
      <w:pPr>
        <w:spacing w:line="360" w:lineRule="auto"/>
        <w:ind w:firstLine="420" w:firstLineChars="200"/>
      </w:pPr>
      <w:r>
        <w:rPr>
          <w:rFonts w:hint="eastAsia" w:ascii="宋体" w:hAnsi="宋体" w:eastAsia="宋体" w:cs="宋体"/>
        </w:rPr>
        <w:t>2.分层、多用途类设问适应能力差。本题第四问要求按三种用途分别判断，第六问要求分三层说理，但部分考生未能按要求分层作答，反映出对“同一情节在不同程序阶段评价不同”这一思路缺乏训练。应当练习“先区分用途或层次，再各依其法展开”的作答方式。</w:t>
      </w:r>
    </w:p>
    <w:p w14:paraId="0BDAE567">
      <w:pPr>
        <w:spacing w:line="360" w:lineRule="auto"/>
        <w:ind w:firstLine="420" w:firstLineChars="200"/>
      </w:pPr>
      <w:r>
        <w:rPr>
          <w:rFonts w:hint="eastAsia" w:ascii="宋体" w:hAnsi="宋体" w:eastAsia="宋体" w:cs="宋体"/>
        </w:rPr>
        <w:t>3.理由分析不充分。部分考生虽结论正确，但理由缺少对法条、规范、国家标准的支撑，未能展现完整的推理过程；尤其在第三、五、六问中，常常“结论对、理由空”，影响得分。</w:t>
      </w:r>
    </w:p>
    <w:p w14:paraId="679F656D">
      <w:pPr>
        <w:spacing w:line="360" w:lineRule="auto"/>
        <w:ind w:firstLine="420" w:firstLineChars="200"/>
      </w:pPr>
      <w:r>
        <w:rPr>
          <w:rFonts w:hint="eastAsia" w:ascii="宋体" w:hAnsi="宋体" w:eastAsia="宋体" w:cs="宋体"/>
        </w:rPr>
        <w:t>4.时间节点与事实细节把握不细。如第一问“仅认一罪”、第三问“抽血前含乙醇消毒”、第五问“实验对象未饮酒”、第六问“抗诉期满后补充抗诉”等关键事实，部分考生未能准确识别，直接影响判断。</w:t>
      </w:r>
    </w:p>
    <w:p w14:paraId="6902EB99">
      <w:pPr>
        <w:spacing w:line="360" w:lineRule="auto"/>
        <w:ind w:firstLine="420" w:firstLineChars="200"/>
      </w:pPr>
      <w:r>
        <w:rPr>
          <w:rFonts w:hint="eastAsia" w:ascii="宋体" w:hAnsi="宋体" w:eastAsia="宋体" w:cs="宋体"/>
        </w:rPr>
        <w:t>5.答题结构混乱，结论不突出。个别考生回答层次不清晰、关键点难寻，或将结论藏匿于冗长的分析之中，影响阅卷效率与得分。答题要注意组织语言、分清结构、结论先行。</w:t>
      </w:r>
    </w:p>
    <w:p w14:paraId="30154717">
      <w:pPr>
        <w:spacing w:line="360" w:lineRule="auto"/>
        <w:ind w:firstLine="420" w:firstLineChars="200"/>
      </w:pPr>
      <w:r>
        <w:rPr>
          <w:rFonts w:hint="eastAsia" w:ascii="宋体" w:hAnsi="宋体" w:eastAsia="宋体" w:cs="宋体"/>
        </w:rPr>
        <w:t>6.对关键得分点、构成要件的回答还不足，因此答对方向但依据部分不足。如第二问只列笼统标准而不展开具体审查项目，导致“答了却没踩到点”。</w:t>
      </w:r>
    </w:p>
    <w:p w14:paraId="4A4DCC00">
      <w:pPr>
        <w:spacing w:line="360" w:lineRule="auto"/>
        <w:ind w:firstLine="420" w:firstLineChars="200"/>
        <w:rPr>
          <w:rFonts w:hint="eastAsia" w:ascii="宋体" w:hAnsi="宋体" w:eastAsia="宋体" w:cs="宋体"/>
        </w:rPr>
      </w:pPr>
      <w:r>
        <w:rPr>
          <w:rFonts w:hint="eastAsia" w:ascii="宋体" w:hAnsi="宋体" w:eastAsia="宋体" w:cs="宋体"/>
        </w:rPr>
        <w:t>7.部分考生存在错别字，甚至是对答题有关键影响的错别字，如将“利害关系”写成“厉害关系”、“检察院”写成“检查院”、“鉴定意见”写成“坚定意见”、“危险驾驶罪”写成“危险加强罪”等，因多字、错字、少字失分就很遗憾，因此一定要注意。</w:t>
      </w:r>
    </w:p>
    <w:p w14:paraId="34403070">
      <w:pPr>
        <w:spacing w:line="360" w:lineRule="auto"/>
        <w:ind w:firstLine="420" w:firstLineChars="200"/>
        <w:rPr>
          <w:rFonts w:hint="eastAsia" w:ascii="宋体" w:hAnsi="宋体" w:eastAsia="宋体" w:cs="宋体"/>
        </w:rPr>
      </w:pPr>
    </w:p>
    <w:p w14:paraId="7ECD7DBF">
      <w:pPr>
        <w:spacing w:line="360" w:lineRule="auto"/>
        <w:rPr>
          <w:rFonts w:hint="eastAsia" w:ascii="宋体" w:hAnsi="宋体" w:eastAsia="宋体" w:cs="宋体"/>
        </w:rPr>
      </w:pPr>
    </w:p>
    <w:p w14:paraId="3ADE631F">
      <w:pPr>
        <w:spacing w:line="360" w:lineRule="auto"/>
        <w:rPr>
          <w:rFonts w:hint="eastAsia" w:ascii="宋体" w:hAnsi="宋体" w:eastAsia="宋体" w:cs="宋体"/>
        </w:rPr>
      </w:pPr>
    </w:p>
    <w:p w14:paraId="08321808">
      <w:pPr>
        <w:pStyle w:val="3"/>
        <w:rPr>
          <w:rFonts w:hint="eastAsia"/>
          <w:bCs w:val="0"/>
          <w:color w:val="000000" w:themeColor="text1"/>
          <w14:textFill>
            <w14:solidFill>
              <w14:schemeClr w14:val="tx1"/>
            </w14:solidFill>
          </w14:textFill>
        </w:rPr>
      </w:pPr>
      <w:r>
        <w:rPr>
          <w:rFonts w:hint="eastAsia"/>
          <w:bCs w:val="0"/>
          <w:color w:val="000000" w:themeColor="text1"/>
          <w14:textFill>
            <w14:solidFill>
              <w14:schemeClr w14:val="tx1"/>
            </w14:solidFill>
          </w14:textFill>
        </w:rPr>
        <w:t>第</w:t>
      </w:r>
      <w:r>
        <w:rPr>
          <w:rFonts w:hint="eastAsia"/>
          <w:bCs w:val="0"/>
          <w:color w:val="000000" w:themeColor="text1"/>
          <w:lang w:val="en-US" w:eastAsia="zh-CN"/>
          <w14:textFill>
            <w14:solidFill>
              <w14:schemeClr w14:val="tx1"/>
            </w14:solidFill>
          </w14:textFill>
        </w:rPr>
        <w:t>二</w:t>
      </w:r>
      <w:r>
        <w:rPr>
          <w:rFonts w:hint="eastAsia"/>
          <w:bCs w:val="0"/>
          <w:color w:val="000000" w:themeColor="text1"/>
          <w14:textFill>
            <w14:solidFill>
              <w14:schemeClr w14:val="tx1"/>
            </w14:solidFill>
          </w14:textFill>
        </w:rPr>
        <w:t>题</w:t>
      </w:r>
    </w:p>
    <w:p w14:paraId="04D0ADE5"/>
    <w:p w14:paraId="4FCA3C49">
      <w:pPr>
        <w:spacing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一、总体评价</w:t>
      </w:r>
    </w:p>
    <w:p w14:paraId="1AA5C468">
      <w:pPr>
        <w:spacing w:line="360" w:lineRule="auto"/>
        <w:ind w:firstLine="420" w:firstLineChars="200"/>
        <w:rPr>
          <w:rFonts w:hint="eastAsia" w:ascii="宋体" w:hAnsi="宋体" w:eastAsia="宋体" w:cs="宋体"/>
          <w:sz w:val="21"/>
          <w:szCs w:val="21"/>
          <w:lang w:eastAsia="zh-Hans"/>
        </w:rPr>
      </w:pPr>
      <w:r>
        <w:rPr>
          <w:rFonts w:hint="eastAsia" w:ascii="宋体" w:hAnsi="宋体" w:eastAsia="宋体" w:cs="宋体"/>
          <w:sz w:val="21"/>
          <w:szCs w:val="21"/>
          <w:lang w:eastAsia="zh-Hans"/>
        </w:rPr>
        <w:t>从作答情况看，得分普遍在12-22分之间，</w:t>
      </w:r>
      <w:r>
        <w:rPr>
          <w:rFonts w:hint="eastAsia" w:ascii="宋体" w:hAnsi="宋体" w:eastAsia="宋体" w:cs="宋体"/>
          <w:sz w:val="21"/>
          <w:szCs w:val="21"/>
          <w:lang w:val="en-US" w:eastAsia="zh-CN"/>
        </w:rPr>
        <w:t>题目</w:t>
      </w:r>
      <w:r>
        <w:rPr>
          <w:rFonts w:hint="eastAsia" w:ascii="宋体" w:hAnsi="宋体" w:eastAsia="宋体" w:cs="宋体"/>
          <w:sz w:val="21"/>
          <w:szCs w:val="21"/>
          <w:lang w:eastAsia="zh-Hans"/>
        </w:rPr>
        <w:t>整体难度中等偏上。试题综合考查了取保候审的执行程序、刑事和解的适用条件、委托辩护与法律援助辩护的效力位阶、认罪认罚从宽制度中“认罪”的实质性认定、二审抗诉的法定理由，以及二审法院在认罪认罚案件中的审理与裁判方式。阅卷中出现的主要问题有：</w:t>
      </w:r>
    </w:p>
    <w:p w14:paraId="5F1FF8FD">
      <w:pPr>
        <w:spacing w:line="360" w:lineRule="auto"/>
        <w:ind w:firstLine="420" w:firstLineChars="200"/>
        <w:rPr>
          <w:rFonts w:hint="eastAsia" w:ascii="宋体" w:hAnsi="宋体" w:eastAsia="宋体" w:cs="宋体"/>
          <w:sz w:val="21"/>
          <w:szCs w:val="21"/>
          <w:lang w:eastAsia="zh-Hans"/>
        </w:rPr>
      </w:pPr>
      <w:r>
        <w:rPr>
          <w:rFonts w:hint="eastAsia" w:ascii="宋体" w:hAnsi="宋体" w:eastAsia="宋体" w:cs="宋体"/>
          <w:sz w:val="21"/>
          <w:szCs w:val="21"/>
          <w:lang w:val="en-US" w:eastAsia="zh-CN"/>
        </w:rPr>
        <w:t>1.部分</w:t>
      </w:r>
      <w:r>
        <w:rPr>
          <w:rFonts w:hint="eastAsia" w:ascii="宋体" w:hAnsi="宋体" w:eastAsia="宋体" w:cs="宋体"/>
          <w:sz w:val="21"/>
          <w:szCs w:val="21"/>
          <w:lang w:eastAsia="zh-Hans"/>
        </w:rPr>
        <w:t>考生对于基础知识掌握不足，缺乏分析的基础知识储备，导致作答内容偏差，结论错误。</w:t>
      </w:r>
    </w:p>
    <w:p w14:paraId="4043F573">
      <w:pPr>
        <w:spacing w:line="360" w:lineRule="auto"/>
        <w:ind w:firstLine="420" w:firstLineChars="200"/>
        <w:rPr>
          <w:rFonts w:hint="eastAsia" w:ascii="宋体" w:hAnsi="宋体" w:eastAsia="宋体" w:cs="宋体"/>
          <w:sz w:val="21"/>
          <w:szCs w:val="21"/>
          <w:lang w:eastAsia="zh-Hans"/>
        </w:rPr>
      </w:pPr>
      <w:r>
        <w:rPr>
          <w:rFonts w:hint="eastAsia" w:ascii="宋体" w:hAnsi="宋体" w:eastAsia="宋体" w:cs="宋体"/>
          <w:sz w:val="21"/>
          <w:szCs w:val="21"/>
          <w:lang w:val="en-US" w:eastAsia="zh-CN"/>
        </w:rPr>
        <w:t>2.</w:t>
      </w:r>
      <w:r>
        <w:rPr>
          <w:rFonts w:hint="eastAsia" w:ascii="宋体" w:hAnsi="宋体" w:eastAsia="宋体" w:cs="宋体"/>
          <w:sz w:val="21"/>
          <w:szCs w:val="21"/>
          <w:lang w:eastAsia="zh-Hans"/>
        </w:rPr>
        <w:t>审题不细致，材料信息获取不全面，分析不深入，一方面，表现在遗漏材料关键信息，导致判断错误；另一方面，部分</w:t>
      </w:r>
      <w:r>
        <w:rPr>
          <w:rFonts w:hint="eastAsia" w:ascii="宋体" w:hAnsi="宋体" w:eastAsia="宋体" w:cs="宋体"/>
          <w:sz w:val="21"/>
          <w:szCs w:val="21"/>
          <w:lang w:eastAsia="zh-CN"/>
        </w:rPr>
        <w:t>考生</w:t>
      </w:r>
      <w:r>
        <w:rPr>
          <w:rFonts w:hint="eastAsia" w:ascii="宋体" w:hAnsi="宋体" w:eastAsia="宋体" w:cs="宋体"/>
          <w:sz w:val="21"/>
          <w:szCs w:val="21"/>
          <w:lang w:eastAsia="zh-Hans"/>
        </w:rPr>
        <w:t>着眼于材料信息表层，未能从后续信息中获取隐藏信息。</w:t>
      </w:r>
      <w:r>
        <w:rPr>
          <w:rFonts w:hint="eastAsia" w:ascii="宋体" w:hAnsi="宋体" w:eastAsia="宋体" w:cs="宋体"/>
          <w:sz w:val="21"/>
          <w:szCs w:val="21"/>
          <w:lang w:val="en-US" w:eastAsia="zh-CN"/>
        </w:rPr>
        <w:t>例如</w:t>
      </w:r>
      <w:r>
        <w:rPr>
          <w:rFonts w:hint="eastAsia" w:ascii="宋体" w:hAnsi="宋体" w:eastAsia="宋体" w:cs="宋体"/>
          <w:sz w:val="21"/>
          <w:szCs w:val="21"/>
          <w:lang w:eastAsia="zh-Hans"/>
        </w:rPr>
        <w:t>被“烟雾弹”干扰。例如第二题被“赔偿谅解”迷惑，第四题被“签署认罪认罚具结书”迷惑，未能提取关键信息、识别命题陷阱。</w:t>
      </w:r>
    </w:p>
    <w:p w14:paraId="4674D3EA">
      <w:pPr>
        <w:spacing w:line="360" w:lineRule="auto"/>
        <w:ind w:firstLine="420" w:firstLineChars="200"/>
        <w:rPr>
          <w:rFonts w:hint="eastAsia" w:ascii="宋体" w:hAnsi="宋体" w:eastAsia="宋体" w:cs="宋体"/>
          <w:sz w:val="21"/>
          <w:szCs w:val="21"/>
          <w:lang w:eastAsia="zh-Hans"/>
        </w:rPr>
      </w:pPr>
      <w:r>
        <w:rPr>
          <w:rFonts w:hint="eastAsia" w:ascii="宋体" w:hAnsi="宋体" w:eastAsia="宋体" w:cs="宋体"/>
          <w:sz w:val="21"/>
          <w:szCs w:val="21"/>
          <w:lang w:val="en-US" w:eastAsia="zh-CN"/>
        </w:rPr>
        <w:t>3.</w:t>
      </w:r>
      <w:r>
        <w:rPr>
          <w:rFonts w:hint="eastAsia" w:ascii="宋体" w:hAnsi="宋体" w:eastAsia="宋体" w:cs="宋体"/>
          <w:sz w:val="21"/>
          <w:szCs w:val="21"/>
          <w:lang w:eastAsia="zh-Hans"/>
        </w:rPr>
        <w:t>答题结构混乱，结论不突出。</w:t>
      </w:r>
      <w:r>
        <w:rPr>
          <w:rFonts w:hint="eastAsia" w:ascii="宋体" w:hAnsi="宋体" w:eastAsia="宋体" w:cs="宋体"/>
          <w:sz w:val="21"/>
          <w:szCs w:val="21"/>
          <w:lang w:val="en-US" w:eastAsia="zh-CN"/>
        </w:rPr>
        <w:t>部分</w:t>
      </w:r>
      <w:r>
        <w:rPr>
          <w:rFonts w:hint="eastAsia" w:ascii="宋体" w:hAnsi="宋体" w:eastAsia="宋体" w:cs="宋体"/>
          <w:sz w:val="21"/>
          <w:szCs w:val="21"/>
          <w:lang w:eastAsia="zh-Hans"/>
        </w:rPr>
        <w:t>考生将结论藏于大段文字中间，或未使用“不合法/不能适用”等明确判断词，也未使用序号分层作答，</w:t>
      </w:r>
      <w:r>
        <w:rPr>
          <w:rFonts w:hint="eastAsia" w:ascii="宋体" w:hAnsi="宋体" w:eastAsia="宋体" w:cs="宋体"/>
          <w:sz w:val="21"/>
          <w:szCs w:val="21"/>
          <w:lang w:val="en-US" w:eastAsia="zh-CN"/>
        </w:rPr>
        <w:t>例如</w:t>
      </w:r>
      <w:r>
        <w:rPr>
          <w:rFonts w:hint="eastAsia" w:ascii="宋体" w:hAnsi="宋体" w:eastAsia="宋体" w:cs="宋体"/>
          <w:sz w:val="21"/>
          <w:szCs w:val="21"/>
          <w:lang w:eastAsia="zh-Hans"/>
        </w:rPr>
        <w:t>在第六题中未按题干要求的三个维度分别阐述。</w:t>
      </w:r>
    </w:p>
    <w:p w14:paraId="0F56CC99">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val="en-US" w:eastAsia="zh-CN"/>
        </w:rPr>
        <w:t>4.</w:t>
      </w:r>
      <w:r>
        <w:rPr>
          <w:rFonts w:hint="eastAsia" w:ascii="宋体" w:hAnsi="宋体" w:eastAsia="宋体" w:cs="宋体"/>
          <w:sz w:val="21"/>
          <w:szCs w:val="21"/>
          <w:lang w:eastAsia="zh-Hans"/>
        </w:rPr>
        <w:t>理由分析不充分，逻辑链条断裂。部分考生仅给结论不写理由，或理由缺少法条依据</w:t>
      </w:r>
      <w:r>
        <w:rPr>
          <w:rFonts w:hint="eastAsia" w:ascii="宋体" w:hAnsi="宋体" w:eastAsia="宋体" w:cs="宋体"/>
          <w:sz w:val="21"/>
          <w:szCs w:val="21"/>
          <w:lang w:eastAsia="zh-CN"/>
        </w:rPr>
        <w:t>。</w:t>
      </w:r>
      <w:r>
        <w:rPr>
          <w:rFonts w:hint="eastAsia" w:ascii="宋体" w:hAnsi="宋体" w:eastAsia="宋体" w:cs="宋体"/>
          <w:sz w:val="21"/>
          <w:szCs w:val="21"/>
          <w:lang w:eastAsia="zh-Hans"/>
        </w:rPr>
        <w:t>一些考生对所考查的知识没有形成完整的逻辑链条，只回答出了部分，回答不全面。</w:t>
      </w:r>
    </w:p>
    <w:p w14:paraId="5F934AD8">
      <w:pPr>
        <w:spacing w:line="360" w:lineRule="auto"/>
        <w:ind w:firstLine="420" w:firstLineChars="200"/>
        <w:rPr>
          <w:rFonts w:hint="eastAsia" w:ascii="宋体" w:hAnsi="宋体" w:eastAsia="宋体" w:cs="宋体"/>
          <w:sz w:val="21"/>
          <w:szCs w:val="21"/>
          <w:lang w:eastAsia="zh-Hans"/>
        </w:rPr>
      </w:pPr>
      <w:r>
        <w:rPr>
          <w:rFonts w:hint="eastAsia" w:ascii="宋体" w:hAnsi="宋体" w:eastAsia="宋体" w:cs="宋体"/>
          <w:sz w:val="21"/>
          <w:szCs w:val="21"/>
          <w:lang w:val="en-US" w:eastAsia="zh-CN"/>
        </w:rPr>
        <w:t>5.</w:t>
      </w:r>
      <w:r>
        <w:rPr>
          <w:rFonts w:hint="eastAsia" w:ascii="宋体" w:hAnsi="宋体" w:eastAsia="宋体" w:cs="宋体"/>
          <w:sz w:val="21"/>
          <w:szCs w:val="21"/>
          <w:lang w:eastAsia="zh-Hans"/>
        </w:rPr>
        <w:t>语言不规范，法条定位能力弱。使用口语化表述或自创词汇；对《刑事诉讼法》《公安规定》《高检规则》《刑诉解释》等规范性文件中的关键法条位置不熟悉，导致说理缺乏法律支撑。</w:t>
      </w:r>
    </w:p>
    <w:p w14:paraId="05423792">
      <w:pPr>
        <w:spacing w:line="360" w:lineRule="auto"/>
        <w:ind w:firstLine="420" w:firstLineChars="200"/>
        <w:rPr>
          <w:rFonts w:hint="eastAsia" w:ascii="宋体" w:hAnsi="宋体" w:eastAsia="宋体" w:cs="宋体"/>
          <w:sz w:val="21"/>
          <w:szCs w:val="21"/>
          <w:lang w:eastAsia="zh-Hans"/>
        </w:rPr>
      </w:pPr>
      <w:r>
        <w:rPr>
          <w:rFonts w:hint="eastAsia" w:ascii="宋体" w:hAnsi="宋体" w:eastAsia="宋体" w:cs="宋体"/>
          <w:sz w:val="21"/>
          <w:szCs w:val="21"/>
          <w:lang w:val="en-US" w:eastAsia="zh-CN"/>
        </w:rPr>
        <w:t>6.</w:t>
      </w:r>
      <w:r>
        <w:rPr>
          <w:rFonts w:hint="eastAsia" w:ascii="宋体" w:hAnsi="宋体" w:eastAsia="宋体" w:cs="宋体"/>
          <w:sz w:val="21"/>
          <w:szCs w:val="21"/>
          <w:lang w:eastAsia="zh-Hans"/>
        </w:rPr>
        <w:t>答题时间分配不合理，分值意识薄弱。部分考生在理由部分过度复述案情或大量抄写法条原文，浪费宝贵时间。</w:t>
      </w:r>
    </w:p>
    <w:p w14:paraId="2DC14439">
      <w:pPr>
        <w:spacing w:line="360" w:lineRule="auto"/>
        <w:ind w:firstLine="420" w:firstLineChars="200"/>
        <w:rPr>
          <w:rFonts w:hint="eastAsia" w:ascii="宋体" w:hAnsi="宋体" w:eastAsia="宋体" w:cs="宋体"/>
          <w:sz w:val="21"/>
          <w:szCs w:val="21"/>
          <w:lang w:eastAsia="zh-Hans"/>
        </w:rPr>
      </w:pPr>
    </w:p>
    <w:p w14:paraId="3EA80004">
      <w:pPr>
        <w:spacing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二、知识点问题</w:t>
      </w:r>
    </w:p>
    <w:p w14:paraId="68F68346">
      <w:pPr>
        <w:spacing w:line="360" w:lineRule="auto"/>
        <w:ind w:firstLine="422" w:firstLineChars="200"/>
        <w:rPr>
          <w:rFonts w:hint="eastAsia" w:ascii="宋体" w:hAnsi="宋体" w:eastAsia="宋体" w:cs="宋体"/>
          <w:sz w:val="21"/>
          <w:szCs w:val="21"/>
          <w:lang w:val="en-US" w:eastAsia="zh-CN"/>
        </w:rPr>
      </w:pPr>
      <w:r>
        <w:rPr>
          <w:rFonts w:hint="eastAsia" w:ascii="宋体" w:hAnsi="宋体" w:eastAsia="宋体" w:cs="宋体"/>
          <w:b/>
          <w:bCs/>
          <w:sz w:val="21"/>
          <w:szCs w:val="21"/>
        </w:rPr>
        <w:t>第一问：</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本题考查公安机关对被取保候审人违反取保候审规定的处理，包括基层公安机关对保证金的没收权限和被取保候审人违反取保候审规定对取保候审期限的影响。从作答情</w:t>
      </w:r>
      <w:r>
        <w:rPr>
          <w:rFonts w:hint="eastAsia" w:ascii="宋体" w:hAnsi="宋体" w:eastAsia="宋体" w:cs="宋体"/>
          <w:sz w:val="21"/>
          <w:szCs w:val="21"/>
          <w:lang w:val="en-US" w:eastAsia="zh-CN"/>
        </w:rPr>
        <w:t>况来看，考生本题正确率中等，失分的主要原因在于：</w:t>
      </w:r>
    </w:p>
    <w:p w14:paraId="44AE1CEA">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对公安机关没收保证金的权限规定不熟悉。多数考生知道违反规定可没收保证金，但未能结合“8万元”这一数额，定位到《公安机关办理刑事案件程序规定》第97条第2款“决定没收五万元以上保证金的，应当经设区的市一级以上公安机关负责人批准”这一特殊审批程序，导致未能指出此处程序违法。</w:t>
      </w:r>
    </w:p>
    <w:p w14:paraId="64242B40">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对取保候审期限的连续计算规则理解不到位。很多考生忽略了从原理上看，公安机关在未变更强制措施或案件未进入下一阶段时，期限应当连续计算。未能参照《检察规则》第100条第3款和《法院解释》第158条第3款进行判断。</w:t>
      </w:r>
    </w:p>
    <w:p w14:paraId="5103C981">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答案遗漏关键得分点。部分考生仅答出“没收保证金程序违法”，未指出“重新缴纳保证金后应连续计算其取保候审期限（或者不应重新计算）”；或者仅指出结论，未说明“未对黄某变更强制措施或该案未进入下一阶段”这一核心理由。</w:t>
      </w:r>
    </w:p>
    <w:p w14:paraId="5D234518">
      <w:pPr>
        <w:keepNext w:val="0"/>
        <w:keepLines w:val="0"/>
        <w:pageBreakBefore w:val="0"/>
        <w:kinsoku/>
        <w:wordWrap/>
        <w:overflowPunct/>
        <w:topLinePunct w:val="0"/>
        <w:bidi w:val="0"/>
        <w:snapToGrid/>
        <w:spacing w:line="360" w:lineRule="auto"/>
        <w:ind w:firstLine="420" w:firstLineChars="200"/>
        <w:textAlignment w:val="auto"/>
        <w:rPr>
          <w:rFonts w:hint="eastAsia" w:ascii="宋体" w:hAnsi="宋体" w:eastAsia="宋体" w:cs="宋体"/>
          <w:color w:val="000000" w:themeColor="text1"/>
          <w:sz w:val="21"/>
          <w:szCs w:val="21"/>
          <w:lang w:val="en-US" w:eastAsia="zh-CN"/>
          <w14:textFill>
            <w14:solidFill>
              <w14:schemeClr w14:val="tx1"/>
            </w14:solidFill>
          </w14:textFill>
        </w:rPr>
      </w:pPr>
    </w:p>
    <w:p w14:paraId="6F7EB14A">
      <w:pPr>
        <w:keepNext w:val="0"/>
        <w:keepLines w:val="0"/>
        <w:pageBreakBefore w:val="0"/>
        <w:kinsoku/>
        <w:wordWrap/>
        <w:overflowPunct/>
        <w:topLinePunct w:val="0"/>
        <w:bidi w:val="0"/>
        <w:spacing w:line="360" w:lineRule="auto"/>
        <w:ind w:firstLine="422" w:firstLineChars="200"/>
        <w:textAlignment w:val="auto"/>
        <w:rPr>
          <w:rFonts w:hint="eastAsia" w:ascii="宋体" w:hAnsi="宋体" w:eastAsia="宋体" w:cs="宋体"/>
          <w:sz w:val="21"/>
          <w:szCs w:val="21"/>
          <w:lang w:val="en-US" w:eastAsia="zh-CN"/>
        </w:rPr>
      </w:pPr>
      <w:r>
        <w:rPr>
          <w:rFonts w:hint="eastAsia" w:ascii="宋体" w:hAnsi="宋体" w:eastAsia="宋体" w:cs="宋体"/>
          <w:b/>
          <w:bCs/>
          <w:sz w:val="21"/>
          <w:szCs w:val="21"/>
        </w:rPr>
        <w:t>第二问：</w:t>
      </w:r>
      <w:r>
        <w:rPr>
          <w:rFonts w:hint="eastAsia" w:ascii="宋体" w:hAnsi="宋体" w:eastAsia="宋体" w:cs="宋体"/>
          <w:sz w:val="21"/>
          <w:szCs w:val="21"/>
          <w:lang w:val="en-US" w:eastAsia="zh-CN"/>
        </w:rPr>
        <w:t>本题考查适用当事人和解的公诉案件诉讼程序的条件。解答本题，需注意适用刑事和解程序有多维度的要求，包括双方当事人的基本态度、罪名及刑期、是否五年内曾故意犯罪。从作答情况来看，考生本题正确率中等，失分的主要原因在于：</w:t>
      </w:r>
    </w:p>
    <w:p w14:paraId="15DA5D42">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对刑事和解的刑罚条件把握不严。许多考生一看到“故意伤害罪”“赔偿谅解”，就认为可以适用刑事和解，而忽略了《刑事诉讼法》第288条规定的核心条件——“可能判处三年有期徒刑以下刑罚”。未能结合黄二系“故意伤害致人死亡的主犯”这一事实，判断其法定刑远超过三年。</w:t>
      </w:r>
    </w:p>
    <w:p w14:paraId="1BEE10B0">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2.被案情中的“烟雾弹”干扰。材料中明确写了“黄二的母亲对受害人李某的母亲进行了相应赔偿，取得了谅解书”，部分考生被这一情节迷惑，跳过了对刑罚条件的审查，导致结论错误。</w:t>
      </w:r>
    </w:p>
    <w:p w14:paraId="6FA31D71">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z w:val="21"/>
          <w:szCs w:val="21"/>
          <w:lang w:val="en-US" w:eastAsia="zh-CN"/>
        </w:rPr>
        <w:t>3.说理不充分。部分考生虽然结论正确（不能适用），但理由仅停留在“罪名不符合”或“情节严重”，未能精准写出“本案不能判处三年有期徒刑以下刑罚”这一核心得分语句。</w:t>
      </w:r>
    </w:p>
    <w:p w14:paraId="762076B1">
      <w:pPr>
        <w:spacing w:line="360" w:lineRule="auto"/>
        <w:ind w:firstLine="200"/>
        <w:jc w:val="left"/>
        <w:rPr>
          <w:rFonts w:hint="eastAsia" w:ascii="宋体" w:hAnsi="宋体" w:eastAsia="宋体" w:cs="宋体"/>
          <w:b/>
          <w:bCs/>
          <w:sz w:val="21"/>
          <w:szCs w:val="21"/>
        </w:rPr>
      </w:pPr>
    </w:p>
    <w:p w14:paraId="43FF4B31">
      <w:pPr>
        <w:spacing w:line="360" w:lineRule="auto"/>
        <w:ind w:firstLine="422" w:firstLineChars="200"/>
        <w:rPr>
          <w:rFonts w:hint="eastAsia" w:ascii="宋体" w:hAnsi="宋体" w:eastAsia="宋体" w:cs="宋体"/>
          <w:sz w:val="21"/>
          <w:szCs w:val="21"/>
          <w:lang w:val="en-US" w:eastAsia="zh-CN"/>
        </w:rPr>
      </w:pPr>
      <w:r>
        <w:rPr>
          <w:rFonts w:hint="eastAsia" w:ascii="宋体" w:hAnsi="宋体" w:eastAsia="宋体" w:cs="宋体"/>
          <w:b/>
          <w:bCs/>
          <w:sz w:val="21"/>
          <w:szCs w:val="21"/>
        </w:rPr>
        <w:t>第三问：</w:t>
      </w:r>
      <w:r>
        <w:rPr>
          <w:rFonts w:hint="eastAsia" w:ascii="宋体" w:hAnsi="宋体" w:eastAsia="宋体" w:cs="宋体"/>
          <w:sz w:val="21"/>
          <w:szCs w:val="21"/>
          <w:lang w:val="en-US" w:eastAsia="zh-CN"/>
        </w:rPr>
        <w:t>本题考查委托辩护与法律援助辩护之间的关系。解答本题，应牢记委托辩护优先于法律援助辩护这一基本准则，注意法律援助辩护只是委托辩护的补充。从作答情况来看，考生本题正确率中等，失分的主要原因在于：</w:t>
      </w:r>
    </w:p>
    <w:p w14:paraId="2693CDC5">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1.效力位阶观念错误。部分考生认为检察院以“已有法律援助律师”为由拒绝委托辩护是正确的，将法律援助错误地置于优先地位。</w:t>
      </w:r>
    </w:p>
    <w:p w14:paraId="2D033C92">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2.忽略关键程序。很多考生未能答出“黄二母亲可代在押的黄二委托辩护人”这一正确做法。</w:t>
      </w:r>
    </w:p>
    <w:p w14:paraId="0728F03E">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法条依据缺失。未能准确回答出“不得以黄某已有法律援助辩护律师为由限制其委托辩护权”。在理由阐述上未能点出《法律援助法》第27条中关于“不得限制或者损害犯罪嫌疑人、被告人委托辩护人的权利”这一核心规定。导致说理缺乏法律支撑。</w:t>
      </w:r>
    </w:p>
    <w:p w14:paraId="7F2104B3">
      <w:pPr>
        <w:keepNext w:val="0"/>
        <w:keepLines w:val="0"/>
        <w:pageBreakBefore w:val="0"/>
        <w:kinsoku/>
        <w:wordWrap/>
        <w:overflowPunct/>
        <w:topLinePunct w:val="0"/>
        <w:bidi w:val="0"/>
        <w:snapToGrid/>
        <w:spacing w:line="360" w:lineRule="auto"/>
        <w:ind w:firstLine="422" w:firstLineChars="200"/>
        <w:textAlignment w:val="auto"/>
        <w:rPr>
          <w:rFonts w:hint="eastAsia" w:ascii="宋体" w:hAnsi="宋体" w:eastAsia="宋体" w:cs="宋体"/>
          <w:b/>
          <w:bCs/>
          <w:sz w:val="21"/>
          <w:szCs w:val="21"/>
        </w:rPr>
      </w:pPr>
    </w:p>
    <w:p w14:paraId="2C56A2E5">
      <w:pPr>
        <w:spacing w:line="360" w:lineRule="auto"/>
        <w:ind w:firstLine="422" w:firstLineChars="200"/>
        <w:rPr>
          <w:rFonts w:hint="eastAsia" w:ascii="宋体" w:hAnsi="宋体" w:eastAsia="宋体" w:cs="宋体"/>
          <w:sz w:val="21"/>
          <w:szCs w:val="21"/>
          <w:lang w:val="en-US" w:eastAsia="zh-CN"/>
        </w:rPr>
      </w:pPr>
      <w:r>
        <w:rPr>
          <w:rFonts w:hint="eastAsia" w:ascii="宋体" w:hAnsi="宋体" w:eastAsia="宋体" w:cs="宋体"/>
          <w:b/>
          <w:bCs/>
          <w:sz w:val="21"/>
          <w:szCs w:val="21"/>
        </w:rPr>
        <w:t>第四问：</w:t>
      </w:r>
      <w:r>
        <w:rPr>
          <w:rFonts w:hint="eastAsia" w:ascii="宋体" w:hAnsi="宋体" w:eastAsia="宋体" w:cs="Times New Roman"/>
          <w:kern w:val="2"/>
          <w:sz w:val="21"/>
          <w:szCs w:val="21"/>
        </w:rPr>
        <w:t>本</w:t>
      </w:r>
      <w:r>
        <w:rPr>
          <w:rFonts w:hint="eastAsia" w:ascii="宋体" w:hAnsi="宋体" w:eastAsia="宋体" w:cs="宋体"/>
          <w:sz w:val="21"/>
          <w:szCs w:val="21"/>
          <w:lang w:val="en-US" w:eastAsia="zh-CN"/>
        </w:rPr>
        <w:t>题考查认罪认罚从宽制度适用中对“认罪”的把握。解答本题，应准确把握《关于适用认罪认罚从宽制度的指导意见》对“认罪”设立的标准，结合案情深入分析本题中犯罪嫌疑人是否符合“认罪”标准。从作答情况来看，考生本题正确率中等，失分的主要原因在于：</w:t>
      </w:r>
    </w:p>
    <w:p w14:paraId="64CCBD51">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对“认罪”的实质性标准理解流于表面。部分考生看到黄二“签署了认罪认罚具结书”“对量刑建议未提出异议”，就认为适用认罪认罚是妥当的，而未能深入分析《关于适用认罪认罚从宽制度的指导意见》第6条中“认罪”的核心是“承认指控的主要犯罪事实”。</w:t>
      </w:r>
    </w:p>
    <w:p w14:paraId="1FC17A98">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2.未能识别“否认主要犯罪事实”的关键情节。黄二始终否认“持刀追砍李某”，而这一事实直接影响主从犯的认定和量刑幅度。部分考生未从材料中提取这一关键矛盾，导致结论完全错误。</w:t>
      </w:r>
    </w:p>
    <w:p w14:paraId="54A9FBF6">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说理逻辑断裂。有些考生虽指出黄二否认了部分事实，但未进一步分析“持刀追砍”属于“主要犯罪事实”而非“个别事实情节”，也未论证其对量刑的明显影响，导致理由不充分，未拿到“影响主要犯罪的认定”“对量刑有明显影响”“属于未承认部分主要犯罪事实”等关键得分点。</w:t>
      </w:r>
    </w:p>
    <w:p w14:paraId="55B7B550">
      <w:pPr>
        <w:keepNext w:val="0"/>
        <w:keepLines w:val="0"/>
        <w:pageBreakBefore w:val="0"/>
        <w:kinsoku/>
        <w:wordWrap/>
        <w:overflowPunct/>
        <w:topLinePunct w:val="0"/>
        <w:bidi w:val="0"/>
        <w:snapToGrid/>
        <w:spacing w:line="360" w:lineRule="auto"/>
        <w:ind w:firstLine="422" w:firstLineChars="200"/>
        <w:textAlignment w:val="auto"/>
        <w:rPr>
          <w:rFonts w:hint="eastAsia" w:ascii="宋体" w:hAnsi="宋体" w:eastAsia="宋体" w:cs="宋体"/>
          <w:b/>
          <w:bCs/>
          <w:sz w:val="21"/>
          <w:szCs w:val="21"/>
        </w:rPr>
      </w:pPr>
    </w:p>
    <w:p w14:paraId="75225F38">
      <w:pPr>
        <w:spacing w:line="360" w:lineRule="auto"/>
        <w:ind w:firstLine="422" w:firstLineChars="200"/>
        <w:rPr>
          <w:rFonts w:hint="eastAsia" w:ascii="宋体" w:hAnsi="宋体" w:eastAsia="宋体" w:cs="宋体"/>
          <w:sz w:val="21"/>
          <w:szCs w:val="21"/>
          <w:lang w:val="en-US" w:eastAsia="zh-CN"/>
        </w:rPr>
      </w:pPr>
      <w:r>
        <w:rPr>
          <w:rFonts w:hint="eastAsia" w:ascii="宋体" w:hAnsi="宋体" w:eastAsia="宋体" w:cs="宋体"/>
          <w:b/>
          <w:bCs/>
          <w:sz w:val="21"/>
          <w:szCs w:val="21"/>
        </w:rPr>
        <w:t>第</w:t>
      </w:r>
      <w:r>
        <w:rPr>
          <w:rFonts w:hint="eastAsia" w:ascii="宋体" w:hAnsi="宋体" w:eastAsia="宋体" w:cs="宋体"/>
          <w:b/>
          <w:bCs/>
          <w:sz w:val="21"/>
          <w:szCs w:val="21"/>
          <w:lang w:val="en-US" w:eastAsia="zh-CN"/>
        </w:rPr>
        <w:t>五</w:t>
      </w:r>
      <w:r>
        <w:rPr>
          <w:rFonts w:hint="eastAsia" w:ascii="宋体" w:hAnsi="宋体" w:eastAsia="宋体" w:cs="宋体"/>
          <w:b/>
          <w:bCs/>
          <w:sz w:val="21"/>
          <w:szCs w:val="21"/>
        </w:rPr>
        <w:t>问：</w:t>
      </w:r>
      <w:r>
        <w:rPr>
          <w:rFonts w:hint="eastAsia" w:ascii="宋体" w:hAnsi="宋体" w:eastAsia="宋体" w:cs="宋体"/>
          <w:sz w:val="21"/>
          <w:szCs w:val="21"/>
          <w:lang w:val="en-US" w:eastAsia="zh-CN"/>
        </w:rPr>
        <w:t>本题考查检察院的二审抗诉。从作答情况来看，考生本题正确率中等，失分的主要原因在于：</w:t>
      </w:r>
    </w:p>
    <w:p w14:paraId="05AE4E8D">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对抗诉的法定条件理解有偏差。部分考生认为只要被告人上诉导致认罪认罚前提丧失，检察院就可以抗诉，而忽略了《刑事诉讼法》第228条规定的抗诉前提是“一审判决、裁定确有错误”。未能区分“因判决错误抗诉”与“因被告人行为变化而对抗性抗诉”。</w:t>
      </w:r>
    </w:p>
    <w:p w14:paraId="1B875383">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对特殊规定掌握不全面。虽然《人民检察院办理认罪认罚案件开展量刑建议工作的指导意见》第39条规定了被告人反悔致量刑明显不当的，检察院应当抗诉，但本案中检察院的抗诉理由并非“量刑明显不当”，而是简单的“前提不复存在”。部分考生未能结合案情判断该抗诉理由是否正当。</w:t>
      </w:r>
    </w:p>
    <w:p w14:paraId="27CB28C7">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回答缺乏层次。本题允许回答“妥当”并给出合理说理（如认为黄二反悔导致一审量刑过轻），但部分考生选择“妥当”后未能自圆其说，或者选择“不妥当”后未指出“只有一审判决错误检察院才能抗诉”这一核心原则。</w:t>
      </w:r>
    </w:p>
    <w:p w14:paraId="4349E363">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p>
    <w:p w14:paraId="5E6D0130">
      <w:pPr>
        <w:spacing w:line="360" w:lineRule="auto"/>
        <w:ind w:firstLine="422" w:firstLineChars="200"/>
        <w:rPr>
          <w:rFonts w:hint="eastAsia" w:ascii="宋体" w:hAnsi="宋体" w:eastAsia="宋体" w:cs="宋体"/>
          <w:sz w:val="21"/>
          <w:szCs w:val="21"/>
          <w:lang w:val="en-US" w:eastAsia="zh-CN"/>
        </w:rPr>
      </w:pPr>
      <w:r>
        <w:rPr>
          <w:rFonts w:hint="eastAsia" w:ascii="宋体" w:hAnsi="宋体" w:eastAsia="宋体" w:cs="宋体"/>
          <w:b/>
          <w:bCs/>
          <w:sz w:val="21"/>
          <w:szCs w:val="21"/>
        </w:rPr>
        <w:t>第</w:t>
      </w:r>
      <w:r>
        <w:rPr>
          <w:rFonts w:hint="eastAsia" w:ascii="宋体" w:hAnsi="宋体" w:eastAsia="宋体" w:cs="宋体"/>
          <w:b/>
          <w:bCs/>
          <w:sz w:val="21"/>
          <w:szCs w:val="21"/>
          <w:lang w:val="en-US" w:eastAsia="zh-CN"/>
        </w:rPr>
        <w:t>六</w:t>
      </w:r>
      <w:r>
        <w:rPr>
          <w:rFonts w:hint="eastAsia" w:ascii="宋体" w:hAnsi="宋体" w:eastAsia="宋体" w:cs="宋体"/>
          <w:b/>
          <w:bCs/>
          <w:sz w:val="21"/>
          <w:szCs w:val="21"/>
        </w:rPr>
        <w:t>问：</w:t>
      </w:r>
      <w:r>
        <w:rPr>
          <w:rFonts w:hint="eastAsia" w:ascii="宋体" w:hAnsi="宋体" w:eastAsia="宋体" w:cs="宋体"/>
          <w:sz w:val="21"/>
          <w:szCs w:val="21"/>
          <w:lang w:val="en-US" w:eastAsia="zh-CN"/>
        </w:rPr>
        <w:t>本题综合考查二审法院的审理和裁判，涉及二审全面审查原则、不受上诉不加刑限制的情形、对一审适用法律错误或量刑不当的直接改判。从作答情况来看，考生本题正确率较低，失分的主要原因在于：</w:t>
      </w:r>
    </w:p>
    <w:p w14:paraId="3B139CC2">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未按题干要求的维度作答。题干明确要求从“全面审查、是否适用认罪认罚从宽制度、能否改变量刑”三个方面回答，但很多考生只回答了其中一两个方面，遗漏了“全面审查”或“认罪认罚适用”等维度，导致失分严重。</w:t>
      </w:r>
    </w:p>
    <w:p w14:paraId="1AD9D8D6">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对“检察院抗诉”与“上诉不加刑”的关系把握不清。部分考生忽略了检察院已提出抗诉这一关键程序事实，仍然认为二审不能加重黄二的刑罚，未能引用《刑事诉讼法》第237条“人民检察院提出抗诉的，不受上诉不加刑原则的限制”。</w:t>
      </w:r>
    </w:p>
    <w:p w14:paraId="1BFE3AD7">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3.量刑失衡分析不到位。很多考生未能结合共犯的刑罚，论证一审对主犯且未真正悔罪的黄二判处有期徒刑十年“明显不当”，从而未能得出“二审应依法改判适当加重刑罚”的结论。</w:t>
      </w:r>
    </w:p>
    <w:p w14:paraId="05A5C95B">
      <w:pPr>
        <w:spacing w:line="360" w:lineRule="auto"/>
        <w:ind w:firstLine="420" w:firstLineChars="2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4.回答结构混乱。部分考生将全面审查、认罪认罚适用、量刑处理等不同维度的分析混在一起，没有分层分段，导致逻辑不清，阅卷者难以捕捉得分点。</w:t>
      </w:r>
    </w:p>
    <w:p w14:paraId="148922CB">
      <w:pPr>
        <w:spacing w:line="360" w:lineRule="auto"/>
        <w:jc w:val="left"/>
        <w:rPr>
          <w:rFonts w:hint="eastAsia" w:ascii="宋体" w:hAnsi="宋体" w:eastAsia="宋体" w:cs="宋体"/>
          <w:b/>
          <w:bCs/>
          <w:sz w:val="21"/>
          <w:szCs w:val="21"/>
        </w:rPr>
      </w:pPr>
    </w:p>
    <w:p w14:paraId="6392CAED">
      <w:pPr>
        <w:spacing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三、答题方式问题</w:t>
      </w:r>
    </w:p>
    <w:p w14:paraId="388918FB">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基础知识掌握不牢固，法条定位能力弱。本题涉及《刑事诉讼法》《公安机关办理刑事案件程序规定》《人民检察院刑事诉讼规则》《最高人民法院关于适用&lt;中华人民共和国刑事诉讼法&gt;的解释》《法律援助法》《关于适用认罪认罚从宽制度的指导意见》等多个规范性文件。部分考生对“没收五万元以上保证金的审批权限”“取保候审期限连续计算”“刑事和解的刑罚条件”“委托辩护优先原则”“认罪认罚中‘主要犯罪事实’的认定”“二审抗诉的法定理由”等核心知识点记忆模糊，导致结论偏离。例如在第六题中，考生对《刑事诉讼法》第233条（全面审查）、第236条（改判条件）、第237条（上诉不加刑例外）的定位和适用不熟练。</w:t>
      </w:r>
    </w:p>
    <w:p w14:paraId="16EA0B5B">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对多维度、程序性设问的适应能力差。本题六道小题均要求“判断+理由”，部分考生只给结论不写理由，或者理由与结论脱节。第一题和第六题涉及多个程序违法点或多个处理维度，考生容易出现遗漏。部分考生缺乏“按点作答”“分层分段”的答题意识，导致答案杂乱无章。</w:t>
      </w:r>
    </w:p>
    <w:p w14:paraId="2EDB0E69">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审题不细致，被题干中的“烟雾弹”干扰。例如第二题中，许多考生被“赔偿谅解”迷惑，忽略了“刑罚条件”；第四题中，被“签署认罪认罚具结书”迷惑，忽略了当事人对主要事实的否认。这表明考生提取关键信息、识别命题陷阱的能力有待加强。</w:t>
      </w:r>
    </w:p>
    <w:p w14:paraId="25F65FC3">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理由分析不充分，逻辑链条断裂。部分考生虽结论正确，但理由缺少对法条或理论依据的支撑。例如第四题中，仅写“黄二否认持刀，所以不构成认罪”，但未分析“持刀追砍”为何属于“主要犯罪事实”，以及其对主从犯认定和量刑的具体影响。</w:t>
      </w:r>
    </w:p>
    <w:p w14:paraId="56A40054">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答题结构混乱，结论不突出。回答的结构与层次方面，个别同学回答层次不清晰，关键点难寻。答题要注意组织语言与分清结构。部分考生将结论藏匿于冗长的分析之中，影响阅卷效率与得分。比如在第六题中，未按“全面审查”“认罪认罚适用”“能否改变量刑”三个维度分别阐述。</w:t>
      </w:r>
    </w:p>
    <w:p w14:paraId="731C05BC">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6.语言不规范，使用口语化表述或自创词汇。未使用“没收保证金应经上一级公安机关负责人批准”“未承认部分主要犯罪事实”等法言法语。</w:t>
      </w:r>
    </w:p>
    <w:p w14:paraId="7F60169D">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7.答题时间分配不合理，分值意识薄弱。比如部分考生在理由部分</w:t>
      </w:r>
      <w:r>
        <w:rPr>
          <w:rFonts w:hint="eastAsia" w:ascii="宋体" w:hAnsi="宋体" w:eastAsia="宋体" w:cs="宋体"/>
          <w:sz w:val="21"/>
          <w:szCs w:val="21"/>
          <w:lang w:val="en-US" w:eastAsia="zh-Hans"/>
        </w:rPr>
        <w:t>过度</w:t>
      </w:r>
      <w:r>
        <w:rPr>
          <w:rFonts w:hint="eastAsia" w:ascii="宋体" w:hAnsi="宋体" w:eastAsia="宋体" w:cs="宋体"/>
          <w:sz w:val="21"/>
          <w:szCs w:val="21"/>
          <w:lang w:val="en-US" w:eastAsia="zh-CN"/>
        </w:rPr>
        <w:t>复述案情或大量抄写法条原文，浪费了宝贵时间。</w:t>
      </w:r>
    </w:p>
    <w:p w14:paraId="010C8A60">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8.部分考生存在错别字，甚至是对答题有关键影响的错别字，因为多字、错字、少字失分就很遗憾，因此一定要注意。</w:t>
      </w:r>
    </w:p>
    <w:p w14:paraId="772F85DB">
      <w:pPr>
        <w:spacing w:line="360" w:lineRule="auto"/>
        <w:rPr>
          <w:rFonts w:hint="eastAsia" w:ascii="宋体" w:hAnsi="宋体" w:eastAsia="宋体" w:cs="宋体"/>
        </w:rPr>
      </w:pPr>
    </w:p>
    <w:p w14:paraId="5C78E498">
      <w:pPr>
        <w:spacing w:line="360" w:lineRule="auto"/>
        <w:rPr>
          <w:rFonts w:hint="eastAsia" w:ascii="宋体" w:hAnsi="宋体" w:eastAsia="宋体" w:cs="宋体"/>
        </w:rPr>
      </w:pPr>
    </w:p>
    <w:p w14:paraId="68BAFC25">
      <w:pPr>
        <w:spacing w:line="360" w:lineRule="auto"/>
        <w:rPr>
          <w:rFonts w:hint="eastAsia" w:ascii="宋体" w:hAnsi="宋体" w:eastAsia="宋体" w:cs="宋体"/>
        </w:rPr>
      </w:pPr>
    </w:p>
    <w:p w14:paraId="0E9CB048">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rPr>
      </w:pPr>
      <w:r>
        <w:rPr>
          <w:rFonts w:hint="eastAsia"/>
        </w:rPr>
        <w:t>第</w:t>
      </w:r>
      <w:r>
        <w:rPr>
          <w:rFonts w:hint="eastAsia"/>
          <w:lang w:val="en-US" w:eastAsia="zh-CN"/>
        </w:rPr>
        <w:t>三</w:t>
      </w:r>
      <w:r>
        <w:rPr>
          <w:rFonts w:hint="eastAsia"/>
        </w:rPr>
        <w:t>题</w:t>
      </w:r>
    </w:p>
    <w:p w14:paraId="1FAB98DE">
      <w:bookmarkStart w:id="2" w:name="_GoBack"/>
      <w:bookmarkEnd w:id="2"/>
    </w:p>
    <w:p w14:paraId="6972E2BD">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ascii="宋体" w:hAnsi="宋体" w:eastAsia="宋体" w:cs="宋体"/>
          <w:szCs w:val="21"/>
        </w:rPr>
      </w:pPr>
      <w:r>
        <w:rPr>
          <w:rFonts w:hint="eastAsia" w:ascii="宋体" w:hAnsi="宋体" w:eastAsia="宋体" w:cs="宋体"/>
          <w:b/>
          <w:bCs/>
          <w:szCs w:val="21"/>
          <w:lang w:val="en-US" w:eastAsia="zh-CN"/>
        </w:rPr>
        <w:t>一、</w:t>
      </w:r>
      <w:r>
        <w:rPr>
          <w:rFonts w:hint="eastAsia" w:ascii="宋体" w:hAnsi="宋体" w:eastAsia="宋体" w:cs="宋体"/>
          <w:b/>
          <w:bCs/>
          <w:szCs w:val="21"/>
        </w:rPr>
        <w:t>总体评价</w:t>
      </w:r>
    </w:p>
    <w:p w14:paraId="1E4908D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本题总分30分，</w:t>
      </w:r>
      <w:r>
        <w:rPr>
          <w:rFonts w:hint="eastAsia" w:ascii="宋体" w:hAnsi="宋体" w:eastAsia="宋体" w:cs="宋体"/>
          <w:szCs w:val="21"/>
          <w:lang w:eastAsia="zh-CN"/>
        </w:rPr>
        <w:t>同学</w:t>
      </w:r>
      <w:r>
        <w:rPr>
          <w:rFonts w:hint="eastAsia" w:ascii="宋体" w:hAnsi="宋体" w:eastAsia="宋体" w:cs="宋体"/>
          <w:szCs w:val="21"/>
        </w:rPr>
        <w:t>得分主要集中在12—22分之间，本题以抢劫罪、故意伤害致人死亡、未成年人年龄认定、附带民事诉讼赔偿范围及二审程序处理为核心案情，深度考查认罪认罚从宽制度的适用条件、刑事证明标准（排除合理怀疑）与民事证明标准（高度盖然性）的区分、证据的审查认定规则以及未成年人刑事案件的特别程序。整体作答的问题主要为程序法思维薄弱、证明标准混淆、法条引用错位等</w:t>
      </w:r>
      <w:r>
        <w:rPr>
          <w:rFonts w:hint="eastAsia" w:ascii="宋体" w:hAnsi="宋体" w:eastAsia="宋体" w:cs="宋体"/>
          <w:szCs w:val="21"/>
          <w:lang w:eastAsia="zh-CN"/>
        </w:rPr>
        <w:t>，同学</w:t>
      </w:r>
      <w:r>
        <w:rPr>
          <w:rFonts w:hint="eastAsia" w:ascii="宋体" w:hAnsi="宋体" w:eastAsia="宋体" w:cs="宋体"/>
          <w:szCs w:val="21"/>
        </w:rPr>
        <w:t>失分主要集中在以下几个方面：</w:t>
      </w:r>
    </w:p>
    <w:p w14:paraId="06554115">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Cs w:val="21"/>
        </w:rPr>
      </w:pPr>
      <w:r>
        <w:rPr>
          <w:rFonts w:hint="eastAsia" w:ascii="宋体" w:hAnsi="宋体" w:eastAsia="宋体" w:cs="宋体"/>
          <w:szCs w:val="21"/>
        </w:rPr>
        <w:t>核心法条与制度规则记忆不扎实，对认罪认罚从宽、年龄证据审查、附带民事诉讼证明标准等基础规则理解偏差，导致结论错误。</w:t>
      </w:r>
    </w:p>
    <w:p w14:paraId="23B265D7">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Cs w:val="21"/>
        </w:rPr>
      </w:pPr>
      <w:r>
        <w:rPr>
          <w:rFonts w:hint="eastAsia" w:ascii="宋体" w:hAnsi="宋体" w:eastAsia="宋体" w:cs="宋体"/>
          <w:szCs w:val="21"/>
        </w:rPr>
        <w:t>审题不细致，关键案情信息提取不全，被无关情节干扰，对“数罪仅认一罪”“死因与行为无直接关联”“未成年人特别程序”等核心考点识别不足。</w:t>
      </w:r>
    </w:p>
    <w:p w14:paraId="269867F8">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Cs w:val="21"/>
        </w:rPr>
      </w:pPr>
      <w:r>
        <w:rPr>
          <w:rFonts w:hint="eastAsia" w:ascii="宋体" w:hAnsi="宋体" w:eastAsia="宋体" w:cs="宋体"/>
          <w:szCs w:val="21"/>
        </w:rPr>
        <w:t>理由分析不充分，逻辑链条断裂，仅给出结论无法律依据，或仅罗列法条未结合案情分析，未紧扣得分点作答。</w:t>
      </w:r>
    </w:p>
    <w:p w14:paraId="2F2D5BB8">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Cs w:val="21"/>
        </w:rPr>
      </w:pPr>
      <w:r>
        <w:rPr>
          <w:rFonts w:hint="eastAsia" w:ascii="宋体" w:hAnsi="宋体" w:eastAsia="宋体" w:cs="宋体"/>
          <w:szCs w:val="21"/>
        </w:rPr>
        <w:t>法律适用错误，混淆刑事诉讼法与民事诉讼法规范，将民事证据规则、民事诉讼程序错误适用于刑事诉讼问题。法条定位能力薄弱，对《刑事诉讼法》《刑诉解释》《认罪认罚从宽指导意见》中关键条款不熟悉，说理缺乏法律支撑。</w:t>
      </w:r>
    </w:p>
    <w:p w14:paraId="5AE40253">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Cs w:val="21"/>
        </w:rPr>
      </w:pPr>
      <w:r>
        <w:rPr>
          <w:rFonts w:hint="eastAsia" w:ascii="宋体" w:hAnsi="宋体" w:eastAsia="宋体" w:cs="宋体"/>
          <w:szCs w:val="21"/>
        </w:rPr>
        <w:t>答题时间分配不合理，分值意识薄弱，在理由部分过度复述案情或大量抄写法条，遗漏核心得分点。</w:t>
      </w:r>
    </w:p>
    <w:p w14:paraId="7D99DAE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Cs w:val="21"/>
        </w:rPr>
      </w:pPr>
    </w:p>
    <w:p w14:paraId="555FF070">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ascii="宋体" w:hAnsi="宋体" w:eastAsia="宋体" w:cs="宋体"/>
          <w:szCs w:val="21"/>
        </w:rPr>
      </w:pPr>
      <w:r>
        <w:rPr>
          <w:rFonts w:hint="eastAsia" w:ascii="宋体" w:hAnsi="宋体" w:eastAsia="宋体" w:cs="宋体"/>
          <w:b/>
          <w:bCs/>
          <w:szCs w:val="21"/>
          <w:lang w:val="en-US" w:eastAsia="zh-CN"/>
        </w:rPr>
        <w:t>二、</w:t>
      </w:r>
      <w:r>
        <w:rPr>
          <w:rFonts w:hint="eastAsia" w:ascii="宋体" w:hAnsi="宋体" w:eastAsia="宋体" w:cs="宋体"/>
          <w:b/>
          <w:bCs/>
          <w:szCs w:val="21"/>
        </w:rPr>
        <w:t>知识点问题</w:t>
      </w:r>
    </w:p>
    <w:p w14:paraId="420F3D5A">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szCs w:val="21"/>
        </w:rPr>
      </w:pPr>
      <w:r>
        <w:rPr>
          <w:rFonts w:hint="eastAsia" w:ascii="宋体" w:hAnsi="宋体" w:eastAsia="宋体" w:cs="宋体"/>
          <w:b/>
          <w:bCs/>
          <w:szCs w:val="21"/>
        </w:rPr>
        <w:t>第一问：</w:t>
      </w:r>
      <w:r>
        <w:rPr>
          <w:rFonts w:hint="eastAsia" w:ascii="宋体" w:hAnsi="宋体" w:eastAsia="宋体" w:cs="宋体"/>
          <w:b w:val="0"/>
          <w:bCs w:val="0"/>
          <w:szCs w:val="21"/>
        </w:rPr>
        <w:t>考查【认罪认罚从宽制度的适用条件】，本题满分4分，核心考查对涉嫌数罪案件中“认罪”的全面性理解。本问得分率中等，主要失分在于对“认罪”标准的理解偏差。具体表现为：</w:t>
      </w:r>
    </w:p>
    <w:p w14:paraId="062DB9C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lang w:val="en-US" w:eastAsia="zh-CN"/>
        </w:rPr>
        <w:t>1.部分同学错误认为对部分犯罪事实认罪即可适用认罪认罚，未掌握“犯数罪仅如实供述一罪，全案不作认罪认定”的核心规则</w:t>
      </w:r>
      <w:r>
        <w:rPr>
          <w:rFonts w:hint="eastAsia" w:ascii="宋体" w:hAnsi="宋体" w:eastAsia="宋体" w:cs="宋体"/>
          <w:szCs w:val="21"/>
        </w:rPr>
        <w:t>。</w:t>
      </w:r>
    </w:p>
    <w:p w14:paraId="52461CE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lang w:val="en-US" w:eastAsia="zh-CN"/>
        </w:rPr>
        <w:t>2.部分同学混淆“认罪”与“认罚”的界限，或将对行为性质的辩解等同于未如实供述</w:t>
      </w:r>
      <w:r>
        <w:rPr>
          <w:rFonts w:hint="eastAsia" w:ascii="宋体" w:hAnsi="宋体" w:eastAsia="宋体" w:cs="宋体"/>
          <w:szCs w:val="21"/>
        </w:rPr>
        <w:t>。</w:t>
      </w:r>
    </w:p>
    <w:p w14:paraId="14753FB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lang w:val="en-US" w:eastAsia="zh-CN"/>
        </w:rPr>
        <w:t>3.说理缺乏法条支撑，未引用《关于适用认罪认罚从宽制度的指导意见》第6条关于数罪并罚时认罪认定的特殊规定，仅泛泛而谈“自愿性”“悔罪态度”</w:t>
      </w:r>
      <w:r>
        <w:rPr>
          <w:rFonts w:hint="eastAsia" w:ascii="宋体" w:hAnsi="宋体" w:eastAsia="宋体" w:cs="宋体"/>
          <w:szCs w:val="21"/>
        </w:rPr>
        <w:t>。</w:t>
      </w:r>
    </w:p>
    <w:p w14:paraId="62EF9C1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lang w:val="en-US" w:eastAsia="zh-CN"/>
        </w:rPr>
        <w:t>4.结论表述不严谨，出现“部分适用认罪认罚”“对抢劫罪适用，对故意伤害罪不适用”的错误表述，未明确全案不适用的法律后果</w:t>
      </w:r>
      <w:r>
        <w:rPr>
          <w:rFonts w:hint="eastAsia" w:ascii="宋体" w:hAnsi="宋体" w:eastAsia="宋体" w:cs="宋体"/>
          <w:szCs w:val="21"/>
        </w:rPr>
        <w:t>。</w:t>
      </w:r>
    </w:p>
    <w:p w14:paraId="5D2012D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p>
    <w:p w14:paraId="79B0DA8C">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szCs w:val="21"/>
        </w:rPr>
      </w:pPr>
      <w:r>
        <w:rPr>
          <w:rFonts w:hint="eastAsia" w:ascii="宋体" w:hAnsi="宋体" w:eastAsia="宋体" w:cs="宋体"/>
          <w:b/>
          <w:bCs/>
          <w:szCs w:val="21"/>
        </w:rPr>
        <w:t>第二问</w:t>
      </w:r>
      <w:r>
        <w:rPr>
          <w:rFonts w:hint="eastAsia" w:ascii="宋体" w:hAnsi="宋体" w:eastAsia="宋体" w:cs="宋体"/>
          <w:szCs w:val="21"/>
        </w:rPr>
        <w:t>：考查【刑事证明标准、存疑时有利于被告原则】，本题满分6分，核心考查对“证据确实、充分”及“排除合理怀疑”的把握。本问得分情况尚可，但满分率不高，主要问题在于：</w:t>
      </w:r>
    </w:p>
    <w:p w14:paraId="4F04F57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lang w:val="en-US" w:eastAsia="zh-CN"/>
        </w:rPr>
        <w:t>1.同学未找准死亡原因与行为手段的矛盾点，未指出“颅脑损伤（钝器击打）”与“逼迫跳塘（溺水或撞击）”之间的证据断裂；</w:t>
      </w:r>
    </w:p>
    <w:p w14:paraId="084EDBE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lang w:val="en-US" w:eastAsia="zh-CN"/>
        </w:rPr>
        <w:t>2.对“合理怀疑”的阐述流于形式，未具体分析“第三人介入”或“意外事件”导致死亡的可能性，仅机械复述“证据不足”</w:t>
      </w:r>
    </w:p>
    <w:p w14:paraId="31F8BBB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3.法条引用错误，大量同学引用《民诉法》第55条（实为《刑诉法》第55条）或引用不存在的《民诉解释》条款；</w:t>
      </w:r>
    </w:p>
    <w:p w14:paraId="02EB8A3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4.混淆法律概念，将“存疑有利于被告”误写为“存疑有利于被告人”或“疑罪从轻”，未准确使用“疑罪从无”的规范表述。</w:t>
      </w:r>
    </w:p>
    <w:p w14:paraId="4C3EB89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lang w:val="en-US" w:eastAsia="zh-CN"/>
        </w:rPr>
      </w:pPr>
    </w:p>
    <w:p w14:paraId="403FF6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szCs w:val="21"/>
          <w:lang w:eastAsia="zh-CN"/>
        </w:rPr>
      </w:pPr>
      <w:r>
        <w:rPr>
          <w:rFonts w:hint="eastAsia" w:ascii="宋体" w:hAnsi="宋体" w:eastAsia="宋体" w:cs="宋体"/>
          <w:b/>
          <w:bCs/>
          <w:szCs w:val="21"/>
        </w:rPr>
        <w:t>第三问：</w:t>
      </w:r>
      <w:r>
        <w:rPr>
          <w:rFonts w:hint="eastAsia" w:ascii="宋体" w:hAnsi="宋体" w:eastAsia="宋体" w:cs="宋体"/>
          <w:b w:val="0"/>
          <w:bCs w:val="0"/>
          <w:szCs w:val="21"/>
        </w:rPr>
        <w:t>本题满分6分，是全题难度最高、失分最严重的题目。</w:t>
      </w:r>
      <w:r>
        <w:rPr>
          <w:rFonts w:hint="eastAsia" w:ascii="宋体" w:hAnsi="宋体" w:eastAsia="宋体" w:cs="宋体"/>
          <w:b w:val="0"/>
          <w:bCs w:val="0"/>
          <w:szCs w:val="21"/>
          <w:lang w:eastAsia="zh-CN"/>
        </w:rPr>
        <w:t>同学</w:t>
      </w:r>
      <w:r>
        <w:rPr>
          <w:rFonts w:hint="eastAsia" w:ascii="宋体" w:hAnsi="宋体" w:eastAsia="宋体" w:cs="宋体"/>
          <w:b w:val="0"/>
          <w:bCs w:val="0"/>
          <w:szCs w:val="21"/>
        </w:rPr>
        <w:t>普遍未能构建起“刑民证明标准分离”的程序法思维。具体失分原因如下：</w:t>
      </w:r>
    </w:p>
    <w:p w14:paraId="6215F80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lang w:val="en-US" w:eastAsia="zh-CN"/>
        </w:rPr>
        <w:t>1.第一小问结论错误，绝大多数同学认为“刑事不构成犯罪则民事不承担赔偿责任”，未理解附带民事诉讼本质上是民事侵权之诉，适用高度盖然性标准，即便刑事上因证据不足宣告无罪，民事上仍可认定侵权责任；</w:t>
      </w:r>
    </w:p>
    <w:p w14:paraId="4C18733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lang w:val="en-US" w:eastAsia="zh-CN"/>
        </w:rPr>
        <w:t>2.第二小问赔偿范围判断失误，对“死亡赔偿金”是否属于附带民事诉讼赔偿范围认识不清，大量同学错误认为可以支持死亡赔偿金，未掌握刑事附带民事诉讼中通常仅赔偿直接物质损失（如丧葬费）的特殊规则；</w:t>
      </w:r>
    </w:p>
    <w:p w14:paraId="228A19F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3.精神损失费理解偏差，未明确区分刑事附带民事诉讼“一般不予受理”与“绝对不存在”的界限；</w:t>
      </w:r>
    </w:p>
    <w:p w14:paraId="1D4FB3C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4.法条引用混乱，引用《民诉解释》第108条（高度盖然性）时未结合《刑诉解释》第201条（程序适用）展开，说理缺乏体系性。</w:t>
      </w:r>
    </w:p>
    <w:p w14:paraId="603684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Cs w:val="21"/>
          <w:lang w:val="en-US" w:eastAsia="zh-CN"/>
        </w:rPr>
      </w:pPr>
    </w:p>
    <w:p w14:paraId="27BAB256">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szCs w:val="21"/>
        </w:rPr>
      </w:pPr>
      <w:r>
        <w:rPr>
          <w:rFonts w:hint="eastAsia" w:ascii="宋体" w:hAnsi="宋体" w:eastAsia="宋体" w:cs="宋体"/>
          <w:b/>
          <w:bCs/>
          <w:szCs w:val="21"/>
        </w:rPr>
        <w:t>第四问：</w:t>
      </w:r>
      <w:r>
        <w:rPr>
          <w:rFonts w:hint="eastAsia" w:ascii="宋体" w:hAnsi="宋体" w:eastAsia="宋体" w:cs="宋体"/>
          <w:szCs w:val="21"/>
        </w:rPr>
        <w:t>考查【证据的审查与认定、未成年人年龄认定规则】，本题满分8分，分值最高，但平均得分偏低。核心问题在于证据审查逻辑的机械化与片面化。</w:t>
      </w:r>
      <w:r>
        <w:rPr>
          <w:rFonts w:hint="eastAsia" w:ascii="宋体" w:hAnsi="宋体" w:eastAsia="宋体" w:cs="宋体"/>
          <w:szCs w:val="21"/>
          <w:lang w:eastAsia="zh-CN"/>
        </w:rPr>
        <w:t>同学</w:t>
      </w:r>
      <w:r>
        <w:rPr>
          <w:rFonts w:hint="eastAsia" w:ascii="宋体" w:hAnsi="宋体" w:eastAsia="宋体" w:cs="宋体"/>
          <w:szCs w:val="21"/>
        </w:rPr>
        <w:t>失分主要体现在：</w:t>
      </w:r>
    </w:p>
    <w:p w14:paraId="4E7C8CF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lang w:val="en-US" w:eastAsia="zh-CN"/>
        </w:rPr>
        <w:t>1.对利害关系人证言的采信规则理解错误，简单粗暴地认为“亲属证言一律无效”，未掌握“应慎重使用，有印证则可采信”的规则；</w:t>
      </w:r>
    </w:p>
    <w:p w14:paraId="61DFCBA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lang w:val="en-US" w:eastAsia="zh-CN"/>
        </w:rPr>
        <w:t>2.对书证（准生证、毕业纪念册）的审查流于表面，未从书证的真实性、合法性、关联性三性角度展开，而是直接以“单方提供”“真实性存疑”为由否定，缺乏法律依据支撑；</w:t>
      </w:r>
    </w:p>
    <w:p w14:paraId="0DCE032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3.年龄认定的逻辑闭环缺失，未意识到在户籍证明可能存在错误时，应结合出生证明、学籍卡、无利害关系人证言等进行综合判断，而非单一证据定案。</w:t>
      </w:r>
    </w:p>
    <w:p w14:paraId="133ECF9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lang w:val="en-US" w:eastAsia="zh-CN"/>
        </w:rPr>
      </w:pPr>
    </w:p>
    <w:p w14:paraId="68F46AE8">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szCs w:val="21"/>
        </w:rPr>
      </w:pPr>
      <w:r>
        <w:rPr>
          <w:rFonts w:hint="eastAsia" w:ascii="宋体" w:hAnsi="宋体" w:eastAsia="宋体" w:cs="宋体"/>
          <w:b/>
          <w:bCs/>
          <w:szCs w:val="21"/>
        </w:rPr>
        <w:t>第五问：</w:t>
      </w:r>
      <w:r>
        <w:rPr>
          <w:rFonts w:hint="eastAsia" w:ascii="宋体" w:hAnsi="宋体" w:eastAsia="宋体" w:cs="宋体"/>
          <w:szCs w:val="21"/>
        </w:rPr>
        <w:t>考查【二审程序处理、未成年人特别程序的强制性】，本题满分6分，难度较高。</w:t>
      </w:r>
      <w:r>
        <w:rPr>
          <w:rFonts w:hint="eastAsia" w:ascii="宋体" w:hAnsi="宋体" w:eastAsia="宋体" w:cs="宋体"/>
          <w:szCs w:val="21"/>
          <w:lang w:eastAsia="zh-CN"/>
        </w:rPr>
        <w:t>同学</w:t>
      </w:r>
      <w:r>
        <w:rPr>
          <w:rFonts w:hint="eastAsia" w:ascii="宋体" w:hAnsi="宋体" w:eastAsia="宋体" w:cs="宋体"/>
          <w:szCs w:val="21"/>
        </w:rPr>
        <w:t>失分严重，普遍未能识别一审程序违法的本质。具体表现为：</w:t>
      </w:r>
    </w:p>
    <w:p w14:paraId="444D6B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lang w:val="en-US" w:eastAsia="zh-CN"/>
        </w:rPr>
        <w:t>1.</w:t>
      </w:r>
      <w:r>
        <w:rPr>
          <w:rFonts w:hint="eastAsia" w:ascii="宋体" w:hAnsi="宋体" w:eastAsia="宋体" w:cs="宋体"/>
          <w:szCs w:val="21"/>
        </w:rPr>
        <w:t>处理方式错误，多数</w:t>
      </w:r>
      <w:r>
        <w:rPr>
          <w:rFonts w:hint="eastAsia" w:ascii="宋体" w:hAnsi="宋体" w:eastAsia="宋体" w:cs="宋体"/>
          <w:szCs w:val="21"/>
          <w:lang w:eastAsia="zh-CN"/>
        </w:rPr>
        <w:t>同学</w:t>
      </w:r>
      <w:r>
        <w:rPr>
          <w:rFonts w:hint="eastAsia" w:ascii="宋体" w:hAnsi="宋体" w:eastAsia="宋体" w:cs="宋体"/>
          <w:szCs w:val="21"/>
        </w:rPr>
        <w:t>选择“查清事实后改判”，未意识到因一审未对未成年人分案审理、未落实法定代理人到场等，属于严重违反法定诉讼程序，可能影响公正审判，必须发回重审；</w:t>
      </w:r>
    </w:p>
    <w:p w14:paraId="12FACCB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lang w:val="en-US" w:eastAsia="zh-CN"/>
        </w:rPr>
        <w:t>2.</w:t>
      </w:r>
      <w:r>
        <w:rPr>
          <w:rFonts w:hint="eastAsia" w:ascii="宋体" w:hAnsi="宋体" w:eastAsia="宋体" w:cs="宋体"/>
          <w:szCs w:val="21"/>
        </w:rPr>
        <w:t>程序违法点识别遗漏，未指出一审法院剥夺了未成年人特有的诉讼权利（如分案审理权等）；</w:t>
      </w:r>
    </w:p>
    <w:p w14:paraId="04D3F34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lang w:val="en-US" w:eastAsia="zh-CN"/>
        </w:rPr>
        <w:t>3.</w:t>
      </w:r>
      <w:r>
        <w:rPr>
          <w:rFonts w:hint="eastAsia" w:ascii="宋体" w:hAnsi="宋体" w:eastAsia="宋体" w:cs="宋体"/>
          <w:szCs w:val="21"/>
        </w:rPr>
        <w:t>法条依据引用不准确，引用《刑诉法》第236条（原判决事实不清）而非第238条（违反法定程序）作为发回重审的依据；</w:t>
      </w:r>
    </w:p>
    <w:p w14:paraId="68A1132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lang w:val="en-US" w:eastAsia="zh-CN"/>
        </w:rPr>
        <w:t>3.</w:t>
      </w:r>
      <w:r>
        <w:rPr>
          <w:rFonts w:hint="eastAsia" w:ascii="宋体" w:hAnsi="宋体" w:eastAsia="宋体" w:cs="宋体"/>
          <w:szCs w:val="21"/>
        </w:rPr>
        <w:t>说理缺乏深度，仅停留在“年龄认定错误”的事实层面，未上升到“程序公正”与“特殊保护”的价值层面。</w:t>
      </w:r>
    </w:p>
    <w:p w14:paraId="5FF4F4D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lang w:eastAsia="zh-CN"/>
        </w:rPr>
      </w:pPr>
    </w:p>
    <w:p w14:paraId="4B758BF1">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ascii="宋体" w:hAnsi="宋体" w:eastAsia="宋体" w:cs="宋体"/>
          <w:b/>
          <w:bCs/>
          <w:szCs w:val="21"/>
        </w:rPr>
      </w:pPr>
      <w:r>
        <w:rPr>
          <w:rFonts w:hint="eastAsia" w:ascii="宋体" w:hAnsi="宋体" w:eastAsia="宋体" w:cs="宋体"/>
          <w:b/>
          <w:bCs/>
          <w:szCs w:val="21"/>
          <w:lang w:val="en-US" w:eastAsia="zh-CN"/>
        </w:rPr>
        <w:t>三、</w:t>
      </w:r>
      <w:r>
        <w:rPr>
          <w:rFonts w:hint="eastAsia" w:ascii="宋体" w:hAnsi="宋体" w:eastAsia="宋体" w:cs="宋体"/>
          <w:b/>
          <w:bCs/>
          <w:szCs w:val="21"/>
        </w:rPr>
        <w:t>答题方式问题</w:t>
      </w:r>
    </w:p>
    <w:p w14:paraId="1675A81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u w:val="none"/>
        </w:rPr>
      </w:pPr>
      <w:r>
        <w:rPr>
          <w:rFonts w:hint="eastAsia" w:ascii="宋体" w:hAnsi="宋体" w:eastAsia="宋体" w:cs="宋体"/>
          <w:b w:val="0"/>
          <w:bCs w:val="0"/>
          <w:szCs w:val="21"/>
          <w:u w:val="none"/>
          <w:lang w:val="en-US" w:eastAsia="zh-CN"/>
        </w:rPr>
        <w:t>1.</w:t>
      </w:r>
      <w:r>
        <w:rPr>
          <w:rFonts w:hint="eastAsia" w:ascii="宋体" w:hAnsi="宋体" w:eastAsia="宋体" w:cs="宋体"/>
          <w:b w:val="0"/>
          <w:bCs w:val="0"/>
          <w:szCs w:val="21"/>
          <w:u w:val="none"/>
        </w:rPr>
        <w:t>法条引用“张冠李戴”现象严重。从作答情况来看，</w:t>
      </w:r>
      <w:r>
        <w:rPr>
          <w:rFonts w:hint="eastAsia" w:ascii="宋体" w:hAnsi="宋体" w:eastAsia="宋体" w:cs="宋体"/>
          <w:b w:val="0"/>
          <w:bCs w:val="0"/>
          <w:szCs w:val="21"/>
          <w:u w:val="none"/>
          <w:lang w:val="en-US" w:eastAsia="zh-CN"/>
        </w:rPr>
        <w:t>占比比较多的</w:t>
      </w:r>
      <w:r>
        <w:rPr>
          <w:rFonts w:hint="eastAsia" w:ascii="宋体" w:hAnsi="宋体" w:eastAsia="宋体" w:cs="宋体"/>
          <w:b w:val="0"/>
          <w:bCs w:val="0"/>
          <w:szCs w:val="21"/>
          <w:u w:val="none"/>
          <w:lang w:eastAsia="zh-CN"/>
        </w:rPr>
        <w:t>同学</w:t>
      </w:r>
      <w:r>
        <w:rPr>
          <w:rFonts w:hint="eastAsia" w:ascii="宋体" w:hAnsi="宋体" w:eastAsia="宋体" w:cs="宋体"/>
          <w:b w:val="0"/>
          <w:bCs w:val="0"/>
          <w:szCs w:val="21"/>
          <w:u w:val="none"/>
        </w:rPr>
        <w:t>在引用法律依据时出现严重错误。最典型的是将《刑事诉讼法》引用为《民事诉讼法》，将《最高人民法院关于适用〈中华人民共和国刑事诉讼法〉的解释》引用为《民诉解释》。例如，第2问引用“《民诉法》第55条”，第3问引用“《民诉解释》108条”却未结合刑诉解释。这种法条的</w:t>
      </w:r>
      <w:r>
        <w:rPr>
          <w:rFonts w:hint="eastAsia" w:ascii="宋体" w:hAnsi="宋体" w:eastAsia="宋体" w:cs="宋体"/>
          <w:b w:val="0"/>
          <w:bCs w:val="0"/>
          <w:szCs w:val="21"/>
          <w:u w:val="none"/>
          <w:lang w:val="en-US" w:eastAsia="zh-CN"/>
        </w:rPr>
        <w:t>混淆</w:t>
      </w:r>
      <w:r>
        <w:rPr>
          <w:rFonts w:hint="eastAsia" w:ascii="宋体" w:hAnsi="宋体" w:eastAsia="宋体" w:cs="宋体"/>
          <w:b w:val="0"/>
          <w:bCs w:val="0"/>
          <w:szCs w:val="21"/>
          <w:u w:val="none"/>
        </w:rPr>
        <w:t>乱用，直接导致阅卷时无法确认</w:t>
      </w:r>
      <w:r>
        <w:rPr>
          <w:rFonts w:hint="eastAsia" w:ascii="宋体" w:hAnsi="宋体" w:eastAsia="宋体" w:cs="宋体"/>
          <w:b w:val="0"/>
          <w:bCs w:val="0"/>
          <w:szCs w:val="21"/>
          <w:u w:val="none"/>
          <w:lang w:eastAsia="zh-CN"/>
        </w:rPr>
        <w:t>同学</w:t>
      </w:r>
      <w:r>
        <w:rPr>
          <w:rFonts w:hint="eastAsia" w:ascii="宋体" w:hAnsi="宋体" w:eastAsia="宋体" w:cs="宋体"/>
          <w:b w:val="0"/>
          <w:bCs w:val="0"/>
          <w:szCs w:val="21"/>
          <w:u w:val="none"/>
        </w:rPr>
        <w:t>是否掌握正确的法律渊源，严重影响得分。</w:t>
      </w:r>
    </w:p>
    <w:p w14:paraId="286D30F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u w:val="none"/>
        </w:rPr>
      </w:pPr>
      <w:r>
        <w:rPr>
          <w:rFonts w:hint="eastAsia" w:ascii="宋体" w:hAnsi="宋体" w:eastAsia="宋体" w:cs="宋体"/>
          <w:b w:val="0"/>
          <w:bCs w:val="0"/>
          <w:szCs w:val="21"/>
          <w:u w:val="none"/>
          <w:lang w:val="en-US" w:eastAsia="zh-CN"/>
        </w:rPr>
        <w:t>2.</w:t>
      </w:r>
      <w:r>
        <w:rPr>
          <w:rFonts w:hint="eastAsia" w:ascii="宋体" w:hAnsi="宋体" w:eastAsia="宋体" w:cs="宋体"/>
          <w:b w:val="0"/>
          <w:bCs w:val="0"/>
          <w:szCs w:val="21"/>
          <w:u w:val="none"/>
        </w:rPr>
        <w:t>刑民思维混淆，界限模糊。在第3问的作答中，</w:t>
      </w:r>
      <w:r>
        <w:rPr>
          <w:rFonts w:hint="eastAsia" w:ascii="宋体" w:hAnsi="宋体" w:eastAsia="宋体" w:cs="宋体"/>
          <w:b w:val="0"/>
          <w:bCs w:val="0"/>
          <w:szCs w:val="21"/>
          <w:u w:val="none"/>
          <w:lang w:eastAsia="zh-CN"/>
        </w:rPr>
        <w:t>同学</w:t>
      </w:r>
      <w:r>
        <w:rPr>
          <w:rFonts w:hint="eastAsia" w:ascii="宋体" w:hAnsi="宋体" w:eastAsia="宋体" w:cs="宋体"/>
          <w:b w:val="0"/>
          <w:bCs w:val="0"/>
          <w:szCs w:val="21"/>
          <w:u w:val="none"/>
        </w:rPr>
        <w:t>表现出明显的思维混乱。一方面，未能区分刑事定罪的“排除合理怀疑”与民事赔偿的“高度盖然性”，导致结论自相矛盾；另一方面，在赔偿范围上，直接套用普通民事侵权的赔偿标准（支持死亡赔偿金、精神损害抚慰金），忽视了刑事附带民事诉讼的特殊限制。这反映出</w:t>
      </w:r>
      <w:r>
        <w:rPr>
          <w:rFonts w:hint="eastAsia" w:ascii="宋体" w:hAnsi="宋体" w:eastAsia="宋体" w:cs="宋体"/>
          <w:b w:val="0"/>
          <w:bCs w:val="0"/>
          <w:szCs w:val="21"/>
          <w:u w:val="none"/>
          <w:lang w:eastAsia="zh-CN"/>
        </w:rPr>
        <w:t>同学</w:t>
      </w:r>
      <w:r>
        <w:rPr>
          <w:rFonts w:hint="eastAsia" w:ascii="宋体" w:hAnsi="宋体" w:eastAsia="宋体" w:cs="宋体"/>
          <w:b w:val="0"/>
          <w:bCs w:val="0"/>
          <w:szCs w:val="21"/>
          <w:u w:val="none"/>
        </w:rPr>
        <w:t>在复习过程中，对刑诉与民诉的交叉地带缺乏系统梳理。</w:t>
      </w:r>
    </w:p>
    <w:p w14:paraId="1F19999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u w:val="none"/>
        </w:rPr>
      </w:pPr>
      <w:r>
        <w:rPr>
          <w:rFonts w:hint="eastAsia" w:ascii="宋体" w:hAnsi="宋体" w:eastAsia="宋体" w:cs="宋体"/>
          <w:b w:val="0"/>
          <w:bCs w:val="0"/>
          <w:szCs w:val="21"/>
          <w:u w:val="none"/>
          <w:lang w:val="en-US" w:eastAsia="zh-CN"/>
        </w:rPr>
        <w:t>3.</w:t>
      </w:r>
      <w:r>
        <w:rPr>
          <w:rFonts w:hint="eastAsia" w:ascii="宋体" w:hAnsi="宋体" w:eastAsia="宋体" w:cs="宋体"/>
          <w:b w:val="0"/>
          <w:bCs w:val="0"/>
          <w:szCs w:val="21"/>
          <w:u w:val="none"/>
        </w:rPr>
        <w:t>说理逻辑“碎片化”，缺乏体系。刑法主观题讲究“结论+大前提（法条/理论）+小前提（案情）+结论”的三段论结构，但</w:t>
      </w:r>
      <w:r>
        <w:rPr>
          <w:rFonts w:hint="eastAsia" w:ascii="宋体" w:hAnsi="宋体" w:eastAsia="宋体" w:cs="宋体"/>
          <w:b w:val="0"/>
          <w:bCs w:val="0"/>
          <w:szCs w:val="21"/>
          <w:u w:val="none"/>
          <w:lang w:eastAsia="zh-CN"/>
        </w:rPr>
        <w:t>同学</w:t>
      </w:r>
      <w:r>
        <w:rPr>
          <w:rFonts w:hint="eastAsia" w:ascii="宋体" w:hAnsi="宋体" w:eastAsia="宋体" w:cs="宋体"/>
          <w:b w:val="0"/>
          <w:bCs w:val="0"/>
          <w:szCs w:val="21"/>
          <w:u w:val="none"/>
        </w:rPr>
        <w:t>在刑诉作答中往往缺乏这种结构化思维。例如第4问，</w:t>
      </w:r>
      <w:r>
        <w:rPr>
          <w:rFonts w:hint="eastAsia" w:ascii="宋体" w:hAnsi="宋体" w:eastAsia="宋体" w:cs="宋体"/>
          <w:b w:val="0"/>
          <w:bCs w:val="0"/>
          <w:szCs w:val="21"/>
          <w:u w:val="none"/>
          <w:lang w:eastAsia="zh-CN"/>
        </w:rPr>
        <w:t>同学</w:t>
      </w:r>
      <w:r>
        <w:rPr>
          <w:rFonts w:hint="eastAsia" w:ascii="宋体" w:hAnsi="宋体" w:eastAsia="宋体" w:cs="宋体"/>
          <w:b w:val="0"/>
          <w:bCs w:val="0"/>
          <w:szCs w:val="21"/>
          <w:u w:val="none"/>
        </w:rPr>
        <w:t>仅罗列“证人是亲属，所以不可信”“毕业册是单方提供，所以不可信”，缺乏“根据XX规则，对于XX类证据应当XX审查，本案中XX”的规范逻辑。此外，部分</w:t>
      </w:r>
      <w:r>
        <w:rPr>
          <w:rFonts w:hint="eastAsia" w:ascii="宋体" w:hAnsi="宋体" w:eastAsia="宋体" w:cs="宋体"/>
          <w:b w:val="0"/>
          <w:bCs w:val="0"/>
          <w:szCs w:val="21"/>
          <w:u w:val="none"/>
          <w:lang w:eastAsia="zh-CN"/>
        </w:rPr>
        <w:t>同学</w:t>
      </w:r>
      <w:r>
        <w:rPr>
          <w:rFonts w:hint="eastAsia" w:ascii="宋体" w:hAnsi="宋体" w:eastAsia="宋体" w:cs="宋体"/>
          <w:b w:val="0"/>
          <w:bCs w:val="0"/>
          <w:szCs w:val="21"/>
          <w:u w:val="none"/>
        </w:rPr>
        <w:t>在第5问中长篇大论论述未成年人保护的重要性，却遗漏了最关键的“分案审理”“程序违法”等采分点。</w:t>
      </w:r>
    </w:p>
    <w:p w14:paraId="0A272E9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Cs w:val="21"/>
          <w:u w:val="none"/>
        </w:rPr>
      </w:pPr>
      <w:r>
        <w:rPr>
          <w:rFonts w:hint="eastAsia" w:ascii="宋体" w:hAnsi="宋体" w:eastAsia="宋体" w:cs="宋体"/>
          <w:b w:val="0"/>
          <w:bCs w:val="0"/>
          <w:szCs w:val="21"/>
          <w:u w:val="none"/>
          <w:lang w:val="en-US" w:eastAsia="zh-CN"/>
        </w:rPr>
        <w:t>4.</w:t>
      </w:r>
      <w:r>
        <w:rPr>
          <w:rFonts w:hint="eastAsia" w:ascii="宋体" w:hAnsi="宋体" w:eastAsia="宋体" w:cs="宋体"/>
          <w:b w:val="0"/>
          <w:bCs w:val="0"/>
          <w:szCs w:val="21"/>
          <w:u w:val="none"/>
        </w:rPr>
        <w:t>审题不清与笔误频发。具体表现为：①第1问中，将“检察院能否适用”答成“法院能否从宽处罚”，主体错位；②第3问中，将“死亡赔偿金”误写为“死亡补偿金”，将“丧葬费”遗漏；③第4问中，出现“2023年12月15日”</w:t>
      </w:r>
      <w:r>
        <w:rPr>
          <w:rFonts w:hint="eastAsia" w:ascii="宋体" w:hAnsi="宋体" w:eastAsia="宋体" w:cs="宋体"/>
          <w:b w:val="0"/>
          <w:bCs w:val="0"/>
          <w:szCs w:val="21"/>
          <w:u w:val="none"/>
          <w:lang w:val="en-US" w:eastAsia="zh-CN"/>
        </w:rPr>
        <w:t>等</w:t>
      </w:r>
      <w:r>
        <w:rPr>
          <w:rFonts w:hint="eastAsia" w:ascii="宋体" w:hAnsi="宋体" w:eastAsia="宋体" w:cs="宋体"/>
          <w:b w:val="0"/>
          <w:bCs w:val="0"/>
          <w:szCs w:val="21"/>
          <w:u w:val="none"/>
        </w:rPr>
        <w:t>笔误</w:t>
      </w:r>
      <w:r>
        <w:rPr>
          <w:rFonts w:hint="eastAsia" w:ascii="宋体" w:hAnsi="宋体" w:eastAsia="宋体" w:cs="宋体"/>
          <w:b w:val="0"/>
          <w:bCs w:val="0"/>
          <w:szCs w:val="21"/>
          <w:u w:val="none"/>
          <w:lang w:val="en-US" w:eastAsia="zh-CN"/>
        </w:rPr>
        <w:t>情况</w:t>
      </w:r>
      <w:r>
        <w:rPr>
          <w:rFonts w:hint="eastAsia" w:ascii="宋体" w:hAnsi="宋体" w:eastAsia="宋体" w:cs="宋体"/>
          <w:b w:val="0"/>
          <w:bCs w:val="0"/>
          <w:szCs w:val="21"/>
          <w:u w:val="none"/>
        </w:rPr>
        <w:t>（案情为2003年）；④第5问中，混淆“裁定”与“判决”的文书形式，出现“判决发回重审”的错误表述。这些细节问题反映出</w:t>
      </w:r>
      <w:r>
        <w:rPr>
          <w:rFonts w:hint="eastAsia" w:ascii="宋体" w:hAnsi="宋体" w:eastAsia="宋体" w:cs="宋体"/>
          <w:b w:val="0"/>
          <w:bCs w:val="0"/>
          <w:szCs w:val="21"/>
          <w:u w:val="none"/>
          <w:lang w:eastAsia="zh-CN"/>
        </w:rPr>
        <w:t>同学</w:t>
      </w:r>
      <w:r>
        <w:rPr>
          <w:rFonts w:hint="eastAsia" w:ascii="宋体" w:hAnsi="宋体" w:eastAsia="宋体" w:cs="宋体"/>
          <w:b w:val="0"/>
          <w:bCs w:val="0"/>
          <w:szCs w:val="21"/>
          <w:u w:val="none"/>
        </w:rPr>
        <w:t>临场心态</w:t>
      </w:r>
      <w:r>
        <w:rPr>
          <w:rFonts w:hint="eastAsia" w:ascii="宋体" w:hAnsi="宋体" w:eastAsia="宋体" w:cs="宋体"/>
          <w:b w:val="0"/>
          <w:bCs w:val="0"/>
          <w:szCs w:val="21"/>
          <w:u w:val="none"/>
          <w:lang w:val="en-US" w:eastAsia="zh-CN"/>
        </w:rPr>
        <w:t>比较</w:t>
      </w:r>
      <w:r>
        <w:rPr>
          <w:rFonts w:hint="eastAsia" w:ascii="宋体" w:hAnsi="宋体" w:eastAsia="宋体" w:cs="宋体"/>
          <w:b w:val="0"/>
          <w:bCs w:val="0"/>
          <w:szCs w:val="21"/>
          <w:u w:val="none"/>
        </w:rPr>
        <w:t>急躁与基础知识的不牢固。</w:t>
      </w:r>
    </w:p>
    <w:p w14:paraId="08BBF253">
      <w:pPr>
        <w:spacing w:line="360" w:lineRule="auto"/>
        <w:rPr>
          <w:rFonts w:hint="eastAsia" w:ascii="宋体" w:hAnsi="宋体" w:eastAsia="宋体" w:cs="宋体"/>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8D220">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14:paraId="5CBE06A8">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LW7l30AAAAAIBAAAPAAAAAAAAAAEAIAAAACIAAABkcnMvZG93&#10;bnJldi54bWxQSwECFAAUAAAACACHTuJA2uCzlggCAAABBAAADgAAAAAAAAABACAAAAAfAQAAZHJz&#10;L2Uyb0RvYy54bWxQSwUGAAAAAAYABgBZAQAAmQUAAAAA&#10;">
              <v:fill on="f" focussize="0,0"/>
              <v:stroke on="f"/>
              <v:imagedata o:title=""/>
              <o:lock v:ext="edit" aspectratio="f"/>
              <v:textbox inset="0mm,0mm,0mm,0mm" style="mso-fit-shape-to-text:t;">
                <w:txbxContent>
                  <w:p w14:paraId="5CBE06A8">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6A7B8">
    <w:pPr>
      <w:pStyle w:val="7"/>
    </w:pPr>
    <w:r>
      <w:rPr>
        <w:rFonts w:hint="eastAsia"/>
      </w:rPr>
      <w:t>桑磊法考</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2C2954"/>
    <w:multiLevelType w:val="singleLevel"/>
    <w:tmpl w:val="6B2C2954"/>
    <w:lvl w:ilvl="0" w:tentative="0">
      <w:start w:val="1"/>
      <w:numFmt w:val="decimal"/>
      <w:suff w:val="nothing"/>
      <w:lvlText w:val="%1."/>
      <w:lvlJc w:val="left"/>
      <w:pPr>
        <w:ind w:left="454" w:leftChars="0" w:hanging="454"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gwM2M3NTNmMmZiMDcxYTg3MzY1ZWQyNmQxOGRhMjgifQ=="/>
  </w:docVars>
  <w:rsids>
    <w:rsidRoot w:val="00410641"/>
    <w:rsid w:val="000042B3"/>
    <w:rsid w:val="000105A5"/>
    <w:rsid w:val="00011AC6"/>
    <w:rsid w:val="00025B80"/>
    <w:rsid w:val="00033E07"/>
    <w:rsid w:val="00043AC7"/>
    <w:rsid w:val="00043CF1"/>
    <w:rsid w:val="00066306"/>
    <w:rsid w:val="00067353"/>
    <w:rsid w:val="00070C5F"/>
    <w:rsid w:val="00071DAC"/>
    <w:rsid w:val="00077F41"/>
    <w:rsid w:val="00086520"/>
    <w:rsid w:val="00087592"/>
    <w:rsid w:val="000929EC"/>
    <w:rsid w:val="00097E8D"/>
    <w:rsid w:val="000A1C34"/>
    <w:rsid w:val="000B4183"/>
    <w:rsid w:val="000C31ED"/>
    <w:rsid w:val="000F002E"/>
    <w:rsid w:val="000F1CF4"/>
    <w:rsid w:val="00100B04"/>
    <w:rsid w:val="00140FD8"/>
    <w:rsid w:val="00141C06"/>
    <w:rsid w:val="00154489"/>
    <w:rsid w:val="00195C89"/>
    <w:rsid w:val="001A2956"/>
    <w:rsid w:val="001B51B4"/>
    <w:rsid w:val="001C413E"/>
    <w:rsid w:val="001C6251"/>
    <w:rsid w:val="001E6739"/>
    <w:rsid w:val="001F17D3"/>
    <w:rsid w:val="002140A1"/>
    <w:rsid w:val="002229E7"/>
    <w:rsid w:val="002304D6"/>
    <w:rsid w:val="002365DE"/>
    <w:rsid w:val="002A35FB"/>
    <w:rsid w:val="002B4FB0"/>
    <w:rsid w:val="002D4A40"/>
    <w:rsid w:val="002E6D27"/>
    <w:rsid w:val="002E7117"/>
    <w:rsid w:val="002F1E50"/>
    <w:rsid w:val="002F46A6"/>
    <w:rsid w:val="002F7DC7"/>
    <w:rsid w:val="00306D02"/>
    <w:rsid w:val="0031106C"/>
    <w:rsid w:val="003329EE"/>
    <w:rsid w:val="00343408"/>
    <w:rsid w:val="00351F74"/>
    <w:rsid w:val="00354721"/>
    <w:rsid w:val="0035487D"/>
    <w:rsid w:val="003577AE"/>
    <w:rsid w:val="003961C5"/>
    <w:rsid w:val="00396A35"/>
    <w:rsid w:val="003C1B5F"/>
    <w:rsid w:val="003C6D5C"/>
    <w:rsid w:val="003D38C6"/>
    <w:rsid w:val="003E2CD3"/>
    <w:rsid w:val="003E4F5E"/>
    <w:rsid w:val="00402B78"/>
    <w:rsid w:val="00410641"/>
    <w:rsid w:val="00457A0F"/>
    <w:rsid w:val="00494974"/>
    <w:rsid w:val="004A31A8"/>
    <w:rsid w:val="004A3307"/>
    <w:rsid w:val="004B2B6A"/>
    <w:rsid w:val="004D1ADD"/>
    <w:rsid w:val="004E45BC"/>
    <w:rsid w:val="00562227"/>
    <w:rsid w:val="005871D0"/>
    <w:rsid w:val="00596F6B"/>
    <w:rsid w:val="005B3621"/>
    <w:rsid w:val="005D0B48"/>
    <w:rsid w:val="00627B27"/>
    <w:rsid w:val="0065738A"/>
    <w:rsid w:val="006A075A"/>
    <w:rsid w:val="006A5257"/>
    <w:rsid w:val="006B082B"/>
    <w:rsid w:val="006C30DF"/>
    <w:rsid w:val="006D0666"/>
    <w:rsid w:val="006D0B96"/>
    <w:rsid w:val="006D7963"/>
    <w:rsid w:val="006D7BE4"/>
    <w:rsid w:val="006E38E1"/>
    <w:rsid w:val="006F72E5"/>
    <w:rsid w:val="00701BC5"/>
    <w:rsid w:val="0071677B"/>
    <w:rsid w:val="00723814"/>
    <w:rsid w:val="00747E33"/>
    <w:rsid w:val="007520BC"/>
    <w:rsid w:val="00771B78"/>
    <w:rsid w:val="0079014E"/>
    <w:rsid w:val="00792C0E"/>
    <w:rsid w:val="0079711D"/>
    <w:rsid w:val="007A1DDE"/>
    <w:rsid w:val="007C7A67"/>
    <w:rsid w:val="00810A66"/>
    <w:rsid w:val="00833BA4"/>
    <w:rsid w:val="00847A88"/>
    <w:rsid w:val="00886D85"/>
    <w:rsid w:val="008A08EB"/>
    <w:rsid w:val="008A3EEB"/>
    <w:rsid w:val="008A5CD4"/>
    <w:rsid w:val="008A61B0"/>
    <w:rsid w:val="008C7C56"/>
    <w:rsid w:val="008D280F"/>
    <w:rsid w:val="008E2AC5"/>
    <w:rsid w:val="008E2EBD"/>
    <w:rsid w:val="008E414E"/>
    <w:rsid w:val="00901EF2"/>
    <w:rsid w:val="00904ED2"/>
    <w:rsid w:val="00917D76"/>
    <w:rsid w:val="009300C7"/>
    <w:rsid w:val="00931E19"/>
    <w:rsid w:val="00934269"/>
    <w:rsid w:val="00944D4B"/>
    <w:rsid w:val="009529D9"/>
    <w:rsid w:val="00956BA3"/>
    <w:rsid w:val="009657E6"/>
    <w:rsid w:val="0097209F"/>
    <w:rsid w:val="00984E37"/>
    <w:rsid w:val="00985B05"/>
    <w:rsid w:val="009A72E3"/>
    <w:rsid w:val="009B377C"/>
    <w:rsid w:val="009B656E"/>
    <w:rsid w:val="009E382E"/>
    <w:rsid w:val="00A022AF"/>
    <w:rsid w:val="00A128AF"/>
    <w:rsid w:val="00A41C20"/>
    <w:rsid w:val="00A525B8"/>
    <w:rsid w:val="00A53C5E"/>
    <w:rsid w:val="00A7690A"/>
    <w:rsid w:val="00A82597"/>
    <w:rsid w:val="00A87552"/>
    <w:rsid w:val="00A9114D"/>
    <w:rsid w:val="00A943D8"/>
    <w:rsid w:val="00AD2B0F"/>
    <w:rsid w:val="00AE40C4"/>
    <w:rsid w:val="00AF55AD"/>
    <w:rsid w:val="00B24170"/>
    <w:rsid w:val="00B6545B"/>
    <w:rsid w:val="00B71C48"/>
    <w:rsid w:val="00B755D8"/>
    <w:rsid w:val="00B80CF9"/>
    <w:rsid w:val="00B82BD5"/>
    <w:rsid w:val="00B973FD"/>
    <w:rsid w:val="00BB26A4"/>
    <w:rsid w:val="00BB41B8"/>
    <w:rsid w:val="00BE068E"/>
    <w:rsid w:val="00BF4977"/>
    <w:rsid w:val="00C41E36"/>
    <w:rsid w:val="00C6103D"/>
    <w:rsid w:val="00C83510"/>
    <w:rsid w:val="00C93FB9"/>
    <w:rsid w:val="00CC5958"/>
    <w:rsid w:val="00CC6925"/>
    <w:rsid w:val="00CD129A"/>
    <w:rsid w:val="00CE5FE9"/>
    <w:rsid w:val="00CF00C0"/>
    <w:rsid w:val="00CF5EF3"/>
    <w:rsid w:val="00D20C78"/>
    <w:rsid w:val="00D46DF6"/>
    <w:rsid w:val="00D5148B"/>
    <w:rsid w:val="00D55EC2"/>
    <w:rsid w:val="00D606E9"/>
    <w:rsid w:val="00D736FD"/>
    <w:rsid w:val="00D74E61"/>
    <w:rsid w:val="00D847BD"/>
    <w:rsid w:val="00DA5ACD"/>
    <w:rsid w:val="00DB2CE1"/>
    <w:rsid w:val="00E12D79"/>
    <w:rsid w:val="00E21C6F"/>
    <w:rsid w:val="00E33F36"/>
    <w:rsid w:val="00E5287E"/>
    <w:rsid w:val="00E563D4"/>
    <w:rsid w:val="00E62A1C"/>
    <w:rsid w:val="00E64A21"/>
    <w:rsid w:val="00E66149"/>
    <w:rsid w:val="00E667A9"/>
    <w:rsid w:val="00E724C7"/>
    <w:rsid w:val="00E727BA"/>
    <w:rsid w:val="00E73081"/>
    <w:rsid w:val="00E739B5"/>
    <w:rsid w:val="00E73D11"/>
    <w:rsid w:val="00E8445D"/>
    <w:rsid w:val="00E84C95"/>
    <w:rsid w:val="00E90125"/>
    <w:rsid w:val="00EA6298"/>
    <w:rsid w:val="00EA6ACA"/>
    <w:rsid w:val="00EB371F"/>
    <w:rsid w:val="00EB4D09"/>
    <w:rsid w:val="00EC4E62"/>
    <w:rsid w:val="00F044A3"/>
    <w:rsid w:val="00F35D5D"/>
    <w:rsid w:val="00F52F57"/>
    <w:rsid w:val="00F634AF"/>
    <w:rsid w:val="00F91400"/>
    <w:rsid w:val="00FB3937"/>
    <w:rsid w:val="00FF3FC1"/>
    <w:rsid w:val="021D04ED"/>
    <w:rsid w:val="04A1717E"/>
    <w:rsid w:val="05617D66"/>
    <w:rsid w:val="0A1026E6"/>
    <w:rsid w:val="0B2A3CDE"/>
    <w:rsid w:val="0C9511DE"/>
    <w:rsid w:val="0E267974"/>
    <w:rsid w:val="0E7E4BBC"/>
    <w:rsid w:val="0F753717"/>
    <w:rsid w:val="0F9A4F2B"/>
    <w:rsid w:val="10ED3F28"/>
    <w:rsid w:val="11196324"/>
    <w:rsid w:val="129245E0"/>
    <w:rsid w:val="12E33173"/>
    <w:rsid w:val="131A38D3"/>
    <w:rsid w:val="137D703E"/>
    <w:rsid w:val="162C099A"/>
    <w:rsid w:val="18141E90"/>
    <w:rsid w:val="19385918"/>
    <w:rsid w:val="19BD6E2D"/>
    <w:rsid w:val="1B3F107D"/>
    <w:rsid w:val="1D840FC9"/>
    <w:rsid w:val="1E6C03DB"/>
    <w:rsid w:val="1F552C1D"/>
    <w:rsid w:val="1FBA14D6"/>
    <w:rsid w:val="200F27D5"/>
    <w:rsid w:val="219A700D"/>
    <w:rsid w:val="22266AF2"/>
    <w:rsid w:val="226E031E"/>
    <w:rsid w:val="271E5FEA"/>
    <w:rsid w:val="27BB0012"/>
    <w:rsid w:val="28B70E3C"/>
    <w:rsid w:val="290F02E0"/>
    <w:rsid w:val="291833B1"/>
    <w:rsid w:val="299A22A0"/>
    <w:rsid w:val="29C007BE"/>
    <w:rsid w:val="2A5D00FB"/>
    <w:rsid w:val="2C3F712F"/>
    <w:rsid w:val="2D54483D"/>
    <w:rsid w:val="2E3436D9"/>
    <w:rsid w:val="2E5F13C2"/>
    <w:rsid w:val="30001299"/>
    <w:rsid w:val="32D269DD"/>
    <w:rsid w:val="337C7989"/>
    <w:rsid w:val="33CA5530"/>
    <w:rsid w:val="354B68AD"/>
    <w:rsid w:val="360A4586"/>
    <w:rsid w:val="39673821"/>
    <w:rsid w:val="39C40C73"/>
    <w:rsid w:val="3CA1704A"/>
    <w:rsid w:val="3DE7640E"/>
    <w:rsid w:val="3FF3D6C9"/>
    <w:rsid w:val="404838E6"/>
    <w:rsid w:val="41FB36A0"/>
    <w:rsid w:val="41FF0A9A"/>
    <w:rsid w:val="43DD305D"/>
    <w:rsid w:val="440C749E"/>
    <w:rsid w:val="466A0632"/>
    <w:rsid w:val="46AA7837"/>
    <w:rsid w:val="46F26E20"/>
    <w:rsid w:val="48D16F09"/>
    <w:rsid w:val="48E24C72"/>
    <w:rsid w:val="49C5081B"/>
    <w:rsid w:val="49DE186A"/>
    <w:rsid w:val="4A77763C"/>
    <w:rsid w:val="4AC805EA"/>
    <w:rsid w:val="4C10554C"/>
    <w:rsid w:val="4C3917C5"/>
    <w:rsid w:val="4CB608EF"/>
    <w:rsid w:val="4EA50C1B"/>
    <w:rsid w:val="4F5B577E"/>
    <w:rsid w:val="51893750"/>
    <w:rsid w:val="52FF1882"/>
    <w:rsid w:val="5383334C"/>
    <w:rsid w:val="53870F5E"/>
    <w:rsid w:val="5426635A"/>
    <w:rsid w:val="557474D1"/>
    <w:rsid w:val="567A298E"/>
    <w:rsid w:val="577B69BD"/>
    <w:rsid w:val="57D8796C"/>
    <w:rsid w:val="5AA24261"/>
    <w:rsid w:val="5C49708A"/>
    <w:rsid w:val="5E220C7E"/>
    <w:rsid w:val="60746B6D"/>
    <w:rsid w:val="631D6E2D"/>
    <w:rsid w:val="63C27722"/>
    <w:rsid w:val="63FC70D8"/>
    <w:rsid w:val="643E324C"/>
    <w:rsid w:val="65360A49"/>
    <w:rsid w:val="662E109F"/>
    <w:rsid w:val="6A0E546F"/>
    <w:rsid w:val="6B9E30D2"/>
    <w:rsid w:val="6CDA788A"/>
    <w:rsid w:val="6CDF30F3"/>
    <w:rsid w:val="6D5B09CB"/>
    <w:rsid w:val="6DAD31F1"/>
    <w:rsid w:val="6DD657AF"/>
    <w:rsid w:val="6E5E04FB"/>
    <w:rsid w:val="6F631DB9"/>
    <w:rsid w:val="709E4C15"/>
    <w:rsid w:val="716D6F1F"/>
    <w:rsid w:val="71F118FE"/>
    <w:rsid w:val="72086C48"/>
    <w:rsid w:val="741E09A4"/>
    <w:rsid w:val="7430638E"/>
    <w:rsid w:val="74942A15"/>
    <w:rsid w:val="755307EA"/>
    <w:rsid w:val="76C70E7F"/>
    <w:rsid w:val="77B76F94"/>
    <w:rsid w:val="788B412F"/>
    <w:rsid w:val="788D7EA7"/>
    <w:rsid w:val="79935991"/>
    <w:rsid w:val="79B7BF6C"/>
    <w:rsid w:val="7A5C308B"/>
    <w:rsid w:val="7AE55942"/>
    <w:rsid w:val="7BB352D6"/>
    <w:rsid w:val="7BB92D32"/>
    <w:rsid w:val="7BF4E088"/>
    <w:rsid w:val="7D6FF447"/>
    <w:rsid w:val="7EBFDEC0"/>
    <w:rsid w:val="7F2E80DD"/>
    <w:rsid w:val="7F5F89CB"/>
    <w:rsid w:val="AFB340D2"/>
    <w:rsid w:val="B7FB1BD6"/>
    <w:rsid w:val="BB485D23"/>
    <w:rsid w:val="BFAB5E47"/>
    <w:rsid w:val="BFF52596"/>
    <w:rsid w:val="D7FFBED6"/>
    <w:rsid w:val="DEF7D901"/>
    <w:rsid w:val="E9BF04D2"/>
    <w:rsid w:val="F4BDAC45"/>
    <w:rsid w:val="F9FF75EC"/>
    <w:rsid w:val="FEFF18A3"/>
    <w:rsid w:val="FF7D7229"/>
    <w:rsid w:val="FFFBC76C"/>
    <w:rsid w:val="FFFD51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0"/>
    <w:qFormat/>
    <w:uiPriority w:val="0"/>
    <w:pPr>
      <w:spacing w:line="360" w:lineRule="auto"/>
      <w:jc w:val="center"/>
      <w:outlineLvl w:val="0"/>
    </w:pPr>
    <w:rPr>
      <w:rFonts w:ascii="宋体" w:hAnsi="宋体" w:eastAsia="宋体" w:cs="黑体"/>
      <w:b/>
      <w:bCs/>
      <w:sz w:val="28"/>
      <w:szCs w:val="28"/>
    </w:rPr>
  </w:style>
  <w:style w:type="paragraph" w:styleId="3">
    <w:name w:val="heading 2"/>
    <w:basedOn w:val="1"/>
    <w:next w:val="1"/>
    <w:link w:val="21"/>
    <w:unhideWhenUsed/>
    <w:qFormat/>
    <w:uiPriority w:val="0"/>
    <w:pPr>
      <w:spacing w:line="360" w:lineRule="auto"/>
      <w:outlineLvl w:val="1"/>
    </w:pPr>
    <w:rPr>
      <w:rFonts w:ascii="宋体" w:hAnsi="宋体" w:eastAsia="宋体" w:cs="宋体"/>
      <w:b/>
      <w:bCs/>
      <w:sz w:val="28"/>
      <w:szCs w:val="28"/>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22"/>
    <w:qFormat/>
    <w:uiPriority w:val="0"/>
    <w:rPr>
      <w:rFonts w:ascii="宋体" w:eastAsia="宋体"/>
      <w:sz w:val="24"/>
    </w:rPr>
  </w:style>
  <w:style w:type="paragraph" w:styleId="5">
    <w:name w:val="Plain Text"/>
    <w:basedOn w:val="1"/>
    <w:qFormat/>
    <w:uiPriority w:val="0"/>
    <w:rPr>
      <w:rFonts w:hAnsi="Courier New" w:cs="Courier New"/>
      <w:kern w:val="0"/>
      <w:sz w:val="20"/>
      <w:szCs w:val="21"/>
    </w:rPr>
  </w:style>
  <w:style w:type="paragraph" w:styleId="6">
    <w:name w:val="footer"/>
    <w:basedOn w:val="1"/>
    <w:link w:val="16"/>
    <w:qFormat/>
    <w:uiPriority w:val="0"/>
    <w:pPr>
      <w:tabs>
        <w:tab w:val="center" w:pos="4153"/>
        <w:tab w:val="right" w:pos="8306"/>
      </w:tabs>
      <w:snapToGrid w:val="0"/>
      <w:jc w:val="left"/>
    </w:pPr>
    <w:rPr>
      <w:sz w:val="18"/>
      <w:szCs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0"/>
    <w:rPr>
      <w:b/>
      <w:bCs/>
    </w:rPr>
  </w:style>
  <w:style w:type="paragraph" w:customStyle="1" w:styleId="13">
    <w:name w:val="列出段落1"/>
    <w:basedOn w:val="1"/>
    <w:qFormat/>
    <w:uiPriority w:val="34"/>
    <w:pPr>
      <w:ind w:firstLine="420" w:firstLineChars="200"/>
    </w:pPr>
  </w:style>
  <w:style w:type="table" w:customStyle="1" w:styleId="14">
    <w:name w:val="网格型1"/>
    <w:basedOn w:val="9"/>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页眉 字符"/>
    <w:basedOn w:val="11"/>
    <w:link w:val="7"/>
    <w:qFormat/>
    <w:uiPriority w:val="0"/>
    <w:rPr>
      <w:rFonts w:asciiTheme="minorHAnsi" w:hAnsiTheme="minorHAnsi" w:eastAsiaTheme="minorEastAsia" w:cstheme="minorBidi"/>
      <w:kern w:val="2"/>
      <w:sz w:val="18"/>
      <w:szCs w:val="18"/>
    </w:rPr>
  </w:style>
  <w:style w:type="character" w:customStyle="1" w:styleId="16">
    <w:name w:val="页脚 字符"/>
    <w:basedOn w:val="11"/>
    <w:link w:val="6"/>
    <w:qFormat/>
    <w:uiPriority w:val="0"/>
    <w:rPr>
      <w:rFonts w:asciiTheme="minorHAnsi" w:hAnsiTheme="minorHAnsi" w:eastAsiaTheme="minorEastAsia" w:cstheme="minorBidi"/>
      <w:kern w:val="2"/>
      <w:sz w:val="18"/>
      <w:szCs w:val="18"/>
    </w:rPr>
  </w:style>
  <w:style w:type="table" w:customStyle="1" w:styleId="17">
    <w:name w:val="网格型4"/>
    <w:basedOn w:val="9"/>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列表段落1"/>
    <w:basedOn w:val="1"/>
    <w:qFormat/>
    <w:uiPriority w:val="99"/>
    <w:pPr>
      <w:ind w:firstLine="420" w:firstLineChars="200"/>
    </w:pPr>
  </w:style>
  <w:style w:type="paragraph" w:styleId="19">
    <w:name w:val="List Paragraph"/>
    <w:basedOn w:val="1"/>
    <w:qFormat/>
    <w:uiPriority w:val="99"/>
    <w:pPr>
      <w:ind w:firstLine="420" w:firstLineChars="200"/>
    </w:pPr>
  </w:style>
  <w:style w:type="character" w:customStyle="1" w:styleId="20">
    <w:name w:val="标题 1 字符"/>
    <w:basedOn w:val="11"/>
    <w:link w:val="2"/>
    <w:qFormat/>
    <w:uiPriority w:val="0"/>
    <w:rPr>
      <w:rFonts w:ascii="宋体" w:hAnsi="宋体" w:eastAsia="宋体" w:cs="黑体"/>
      <w:b/>
      <w:bCs/>
      <w:kern w:val="2"/>
      <w:sz w:val="28"/>
      <w:szCs w:val="28"/>
    </w:rPr>
  </w:style>
  <w:style w:type="character" w:customStyle="1" w:styleId="21">
    <w:name w:val="标题 2 字符"/>
    <w:basedOn w:val="11"/>
    <w:link w:val="3"/>
    <w:qFormat/>
    <w:uiPriority w:val="0"/>
    <w:rPr>
      <w:rFonts w:ascii="宋体" w:hAnsi="宋体" w:eastAsia="宋体" w:cs="宋体"/>
      <w:b/>
      <w:bCs/>
      <w:kern w:val="2"/>
      <w:sz w:val="28"/>
      <w:szCs w:val="28"/>
    </w:rPr>
  </w:style>
  <w:style w:type="character" w:customStyle="1" w:styleId="22">
    <w:name w:val="文档结构图 字符"/>
    <w:basedOn w:val="11"/>
    <w:link w:val="4"/>
    <w:qFormat/>
    <w:uiPriority w:val="0"/>
    <w:rPr>
      <w:rFonts w:ascii="宋体" w:eastAsia="宋体"/>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2be6c73a-b20b-4df4-9adc-e1ee3c8900b5</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1AA5C468</paraID>
      <start>9</start>
      <end>10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4E6531-FA57-48AA-A860-D33B544EF647}">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3524</Words>
  <Characters>3566</Characters>
  <Lines>25</Lines>
  <Paragraphs>7</Paragraphs>
  <TotalTime>0</TotalTime>
  <ScaleCrop>false</ScaleCrop>
  <LinksUpToDate>false</LinksUpToDate>
  <CharactersWithSpaces>3566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2025-04-05T17:48:00Z</dcterms:created>
  <dc:creator>40579</dc:creator>
  <cp:lastModifiedBy>Cheng</cp:lastModifiedBy>
  <dcterms:modified xsi:type="dcterms:W3CDTF">2026-05-30T03:18:56Z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23D5ED52E3B647DAB31C03D6AA1FACAF_13</vt:lpwstr>
  </property>
  <property fmtid="{D5CDD505-2E9C-101B-9397-08002B2CF9AE}" pid="4" name="KSOTemplateDocerSaveRecord">
    <vt:lpwstr>eyJoZGlkIjoiY2JmN2M2MmI2NDBiMDBlMjJlMDIxOTM3MGYwNGRhOGIiLCJ1c2VySWQiOiI0MDk3NzE4NzUifQ==</vt:lpwstr>
  </property>
</Properties>
</file>