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3502E">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三国法第一讲课堂笔记</w:t>
      </w:r>
    </w:p>
    <w:p w14:paraId="2BD22CED">
      <w:pPr>
        <w:keepNext w:val="0"/>
        <w:keepLines w:val="0"/>
        <w:pageBreakBefore w:val="0"/>
        <w:widowControl w:val="0"/>
        <w:kinsoku/>
        <w:wordWrap/>
        <w:overflowPunct/>
        <w:topLinePunct w:val="0"/>
        <w:autoSpaceDE/>
        <w:autoSpaceDN/>
        <w:bidi w:val="0"/>
        <w:adjustRightInd/>
        <w:snapToGrid/>
        <w:spacing w:line="364" w:lineRule="exact"/>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国际法</w:t>
      </w:r>
    </w:p>
    <w:p w14:paraId="01294B97">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考点1 国际法的渊源与基本原则（19：57-20：34</w:t>
      </w:r>
      <w:bookmarkStart w:id="0" w:name="_GoBack"/>
      <w:bookmarkEnd w:id="0"/>
      <w:r>
        <w:rPr>
          <w:rFonts w:hint="eastAsia" w:ascii="Times New Roman" w:hAnsi="Times New Roman" w:eastAsia="宋体" w:cs="宋体"/>
          <w:b/>
          <w:bCs/>
          <w:sz w:val="24"/>
          <w:szCs w:val="24"/>
          <w:lang w:val="en-US" w:eastAsia="zh-CN"/>
        </w:rPr>
        <w:t>）</w:t>
      </w:r>
    </w:p>
    <w:p w14:paraId="63961FEF">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一、国际法渊源</w:t>
      </w:r>
    </w:p>
    <w:p w14:paraId="457B0B44">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依《国际法院规约》第38条，主要分为国际条约、国际习惯和一般法律原则</w:t>
      </w:r>
    </w:p>
    <w:p w14:paraId="5DCB96A6">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1.国际条约：</w:t>
      </w:r>
      <w:r>
        <w:rPr>
          <w:rFonts w:hint="eastAsia" w:ascii="Times New Roman" w:hAnsi="Times New Roman" w:eastAsia="宋体" w:cs="宋体"/>
          <w:b w:val="0"/>
          <w:bCs w:val="0"/>
          <w:color w:val="auto"/>
          <w:kern w:val="0"/>
          <w:sz w:val="21"/>
          <w:szCs w:val="21"/>
          <w:lang w:val="en-US" w:eastAsia="zh-CN"/>
        </w:rPr>
        <w:t>分为创设普遍规则的造法性条约（如《联合国宪章》）和仅约束缔约方（如双边协定）的契约性条约</w:t>
      </w:r>
    </w:p>
    <w:p w14:paraId="6E4A2A29">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2.国际习惯</w:t>
      </w:r>
    </w:p>
    <w:p w14:paraId="4CD39415">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（1）物质要素：各国重复一致的实践。国际惯例仅有该要素时只是通例而非法律渊源。</w:t>
      </w:r>
    </w:p>
    <w:p w14:paraId="1A8DA30F">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（2）心理要素：法律确信，即认为该实践具有法律拘束力。</w:t>
      </w:r>
    </w:p>
    <w:p w14:paraId="386E2D0D">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（3）持续反对者原则：自始、坚持反对某项习惯规则的国家不受其拘束。</w:t>
      </w:r>
    </w:p>
    <w:p w14:paraId="7D9E673A">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3.一般法律原则：</w:t>
      </w:r>
      <w:r>
        <w:rPr>
          <w:rFonts w:hint="eastAsia" w:ascii="Times New Roman" w:hAnsi="Times New Roman" w:eastAsia="宋体" w:cs="宋体"/>
          <w:b w:val="0"/>
          <w:bCs w:val="0"/>
          <w:color w:val="auto"/>
          <w:kern w:val="0"/>
          <w:sz w:val="21"/>
          <w:szCs w:val="21"/>
          <w:lang w:val="en-US" w:eastAsia="zh-CN"/>
        </w:rPr>
        <w:t>各国国内法共有的原则，填补条约与习惯的空白，处于补充地位。</w:t>
      </w:r>
    </w:p>
    <w:p w14:paraId="46F89B6F">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C00000"/>
          <w:kern w:val="0"/>
          <w:sz w:val="21"/>
          <w:szCs w:val="21"/>
          <w:lang w:val="en-US" w:eastAsia="zh-CN"/>
        </w:rPr>
      </w:pPr>
      <w:r>
        <w:rPr>
          <w:rFonts w:hint="eastAsia" w:ascii="Times New Roman" w:hAnsi="Times New Roman" w:eastAsia="宋体" w:cs="宋体"/>
          <w:b w:val="0"/>
          <w:bCs w:val="0"/>
          <w:color w:val="C00000"/>
          <w:kern w:val="0"/>
          <w:sz w:val="21"/>
          <w:szCs w:val="21"/>
          <w:lang w:val="en-US" w:eastAsia="zh-CN"/>
        </w:rPr>
        <w:tab/>
      </w:r>
      <w:r>
        <w:rPr>
          <w:rFonts w:hint="eastAsia" w:ascii="Times New Roman" w:hAnsi="Times New Roman" w:eastAsia="宋体" w:cs="宋体"/>
          <w:b/>
          <w:bCs/>
          <w:color w:val="C00000"/>
          <w:kern w:val="0"/>
          <w:sz w:val="21"/>
          <w:szCs w:val="21"/>
          <w:lang w:val="en-US" w:eastAsia="zh-CN"/>
        </w:rPr>
        <w:t>※ 注意：国际法院判决、联大决议、学说仅为辅助资料；安理会特定决议有拘束力，但属于法律适用而非渊源本身。</w:t>
      </w:r>
    </w:p>
    <w:p w14:paraId="7784F2BE">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二、国际法基本原则：具有强行法性质，条约不得排除其适用，</w:t>
      </w:r>
      <w:r>
        <w:rPr>
          <w:rFonts w:hint="eastAsia" w:ascii="Times New Roman" w:hAnsi="Times New Roman" w:eastAsia="宋体" w:cs="宋体"/>
          <w:b/>
          <w:bCs/>
          <w:color w:val="4874CB" w:themeColor="accent1"/>
          <w:kern w:val="0"/>
          <w:sz w:val="21"/>
          <w:szCs w:val="21"/>
          <w:lang w:val="en-US" w:eastAsia="zh-CN"/>
          <w14:textFill>
            <w14:solidFill>
              <w14:schemeClr w14:val="accent1"/>
            </w14:solidFill>
          </w14:textFill>
        </w:rPr>
        <w:t>不是第四种法律渊源。</w:t>
      </w:r>
    </w:p>
    <w:p w14:paraId="66BD12DB">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1.国家主权平等原则：</w:t>
      </w:r>
      <w:r>
        <w:rPr>
          <w:rFonts w:hint="eastAsia" w:ascii="Times New Roman" w:hAnsi="Times New Roman" w:eastAsia="宋体" w:cs="宋体"/>
          <w:b w:val="0"/>
          <w:bCs w:val="0"/>
          <w:color w:val="auto"/>
          <w:kern w:val="0"/>
          <w:sz w:val="21"/>
          <w:szCs w:val="21"/>
          <w:lang w:val="en-US" w:eastAsia="zh-CN"/>
        </w:rPr>
        <w:t>各国法律平等，享有领土主权及属地优越权。</w:t>
      </w:r>
    </w:p>
    <w:p w14:paraId="2CE91C11">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2.不干涉内政原则：</w:t>
      </w:r>
      <w:r>
        <w:rPr>
          <w:rFonts w:hint="eastAsia" w:ascii="Times New Roman" w:hAnsi="Times New Roman" w:eastAsia="宋体" w:cs="宋体"/>
          <w:b w:val="0"/>
          <w:bCs w:val="0"/>
          <w:color w:val="auto"/>
          <w:kern w:val="0"/>
          <w:sz w:val="21"/>
          <w:szCs w:val="21"/>
          <w:lang w:val="en-US" w:eastAsia="zh-CN"/>
        </w:rPr>
        <w:t>内政须属国家管辖事务且不违反国际法义务；对种族灭绝等严重国际罪行的干预，不构成干涉内政。</w:t>
      </w:r>
    </w:p>
    <w:p w14:paraId="6D3812EF">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3.禁止使用武力原则：</w:t>
      </w:r>
      <w:r>
        <w:rPr>
          <w:rFonts w:hint="eastAsia" w:ascii="Times New Roman" w:hAnsi="Times New Roman" w:eastAsia="宋体" w:cs="宋体"/>
          <w:b w:val="0"/>
          <w:bCs w:val="0"/>
          <w:color w:val="auto"/>
          <w:kern w:val="0"/>
          <w:sz w:val="21"/>
          <w:szCs w:val="21"/>
          <w:lang w:val="en-US" w:eastAsia="zh-CN"/>
        </w:rPr>
        <w:t>合法武力例外：①受武力攻击时的自卫；②安理会授权的行动。</w:t>
      </w:r>
    </w:p>
    <w:p w14:paraId="42B16258">
      <w:pPr>
        <w:keepNext w:val="0"/>
        <w:keepLines w:val="0"/>
        <w:pageBreakBefore w:val="0"/>
        <w:widowControl w:val="0"/>
        <w:numPr>
          <w:ilvl w:val="0"/>
          <w:numId w:val="0"/>
        </w:numPr>
        <w:kinsoku/>
        <w:wordWrap/>
        <w:overflowPunct/>
        <w:topLinePunct w:val="0"/>
        <w:autoSpaceDE/>
        <w:autoSpaceDN/>
        <w:bidi w:val="0"/>
        <w:adjustRightInd/>
        <w:snapToGri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4.和平解决国际争端：</w:t>
      </w:r>
      <w:r>
        <w:rPr>
          <w:rFonts w:hint="eastAsia" w:ascii="Times New Roman" w:hAnsi="Times New Roman" w:eastAsia="宋体" w:cs="宋体"/>
          <w:b w:val="0"/>
          <w:bCs w:val="0"/>
          <w:color w:val="auto"/>
          <w:kern w:val="0"/>
          <w:sz w:val="21"/>
          <w:szCs w:val="21"/>
          <w:lang w:val="en-US" w:eastAsia="zh-CN"/>
        </w:rPr>
        <w:t>须以谈判、调查、调停、和解、仲裁、司法等和平方法解决争端。</w:t>
      </w:r>
    </w:p>
    <w:p w14:paraId="30C276AC">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考点2 国家的管辖权与主权豁免（20：35-21：26）</w:t>
      </w:r>
    </w:p>
    <w:p w14:paraId="2518409E">
      <w:pPr>
        <w:keepNext w:val="0"/>
        <w:keepLines w:val="0"/>
        <w:pageBreakBefore w:val="0"/>
        <w:widowControl w:val="0"/>
        <w:tabs>
          <w:tab w:val="left" w:pos="279"/>
        </w:tabs>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一、国家的管辖权</w:t>
      </w:r>
    </w:p>
    <w:p w14:paraId="059B8A01">
      <w:pPr>
        <w:keepNext w:val="0"/>
        <w:keepLines w:val="0"/>
        <w:pageBreakBefore w:val="0"/>
        <w:widowControl w:val="0"/>
        <w:kinsoku/>
        <w:wordWrap/>
        <w:overflowPunct/>
        <w:topLinePunct w:val="0"/>
        <w:autoSpaceDE/>
        <w:autoSpaceDN/>
        <w:bidi w:val="0"/>
        <w:adjustRightInd/>
        <w:snapToGrid/>
        <w:spacing w:line="364" w:lineRule="exact"/>
        <w:ind w:firstLine="42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国家管辖权是对特定人、物和事件进行管辖的权利，分为四类：</w:t>
      </w:r>
    </w:p>
    <w:p w14:paraId="34BCB7C4">
      <w:pPr>
        <w:keepNext w:val="0"/>
        <w:keepLines w:val="0"/>
        <w:pageBreakBefore w:val="0"/>
        <w:widowControl w:val="0"/>
        <w:kinsoku/>
        <w:wordWrap/>
        <w:overflowPunct/>
        <w:topLinePunct w:val="0"/>
        <w:autoSpaceDE/>
        <w:autoSpaceDN/>
        <w:bidi w:val="0"/>
        <w:adjustRightInd/>
        <w:snapToGrid/>
        <w:spacing w:line="364" w:lineRule="exact"/>
        <w:ind w:firstLine="42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1.属地管辖权：</w:t>
      </w:r>
      <w:r>
        <w:rPr>
          <w:rFonts w:hint="eastAsia" w:ascii="Times New Roman" w:hAnsi="Times New Roman" w:eastAsia="宋体" w:cs="宋体"/>
          <w:b w:val="0"/>
          <w:bCs w:val="0"/>
          <w:color w:val="auto"/>
          <w:kern w:val="0"/>
          <w:sz w:val="21"/>
          <w:szCs w:val="21"/>
          <w:lang w:val="en-US" w:eastAsia="zh-CN"/>
        </w:rPr>
        <w:t>基于领土，</w:t>
      </w:r>
      <w:r>
        <w:rPr>
          <w:rFonts w:hint="eastAsia" w:ascii="Times New Roman" w:hAnsi="Times New Roman" w:eastAsia="宋体" w:cs="宋体"/>
          <w:b/>
          <w:bCs/>
          <w:color w:val="C00000"/>
          <w:kern w:val="0"/>
          <w:sz w:val="21"/>
          <w:szCs w:val="21"/>
          <w:lang w:val="en-US" w:eastAsia="zh-CN"/>
        </w:rPr>
        <w:t>优先适用</w:t>
      </w:r>
      <w:r>
        <w:rPr>
          <w:rFonts w:hint="eastAsia" w:ascii="Times New Roman" w:hAnsi="Times New Roman" w:eastAsia="宋体" w:cs="宋体"/>
          <w:b w:val="0"/>
          <w:bCs w:val="0"/>
          <w:color w:val="auto"/>
          <w:kern w:val="0"/>
          <w:sz w:val="21"/>
          <w:szCs w:val="21"/>
          <w:lang w:val="en-US" w:eastAsia="zh-CN"/>
        </w:rPr>
        <w:t>，不适用于享有特权与豁免的外国人或外国财产。</w:t>
      </w:r>
    </w:p>
    <w:p w14:paraId="7D28FF5A">
      <w:pPr>
        <w:keepNext w:val="0"/>
        <w:keepLines w:val="0"/>
        <w:pageBreakBefore w:val="0"/>
        <w:widowControl w:val="0"/>
        <w:kinsoku/>
        <w:wordWrap/>
        <w:overflowPunct/>
        <w:topLinePunct w:val="0"/>
        <w:autoSpaceDE/>
        <w:autoSpaceDN/>
        <w:bidi w:val="0"/>
        <w:adjustRightInd/>
        <w:snapToGrid/>
        <w:spacing w:line="364" w:lineRule="exact"/>
        <w:ind w:firstLine="42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2.属人管辖权：</w:t>
      </w:r>
      <w:r>
        <w:rPr>
          <w:rFonts w:hint="eastAsia" w:ascii="Times New Roman" w:hAnsi="Times New Roman" w:eastAsia="宋体" w:cs="宋体"/>
          <w:b w:val="0"/>
          <w:bCs w:val="0"/>
          <w:color w:val="auto"/>
          <w:kern w:val="0"/>
          <w:sz w:val="21"/>
          <w:szCs w:val="21"/>
          <w:lang w:val="en-US" w:eastAsia="zh-CN"/>
        </w:rPr>
        <w:t>基于国籍，及于本国法人、船舶、航空器或航天器等获得国籍的特定物。</w:t>
      </w:r>
    </w:p>
    <w:p w14:paraId="0543291F">
      <w:pPr>
        <w:keepNext w:val="0"/>
        <w:keepLines w:val="0"/>
        <w:pageBreakBefore w:val="0"/>
        <w:widowControl w:val="0"/>
        <w:kinsoku/>
        <w:wordWrap/>
        <w:overflowPunct/>
        <w:topLinePunct w:val="0"/>
        <w:autoSpaceDE/>
        <w:autoSpaceDN/>
        <w:bidi w:val="0"/>
        <w:adjustRightInd/>
        <w:snapToGrid/>
        <w:spacing w:line="364" w:lineRule="exact"/>
        <w:ind w:firstLine="42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3.保护性管辖权：</w:t>
      </w:r>
      <w:r>
        <w:rPr>
          <w:rFonts w:hint="eastAsia" w:ascii="Times New Roman" w:hAnsi="Times New Roman" w:eastAsia="宋体" w:cs="宋体"/>
          <w:b w:val="0"/>
          <w:bCs w:val="0"/>
          <w:color w:val="auto"/>
          <w:kern w:val="0"/>
          <w:sz w:val="21"/>
          <w:szCs w:val="21"/>
          <w:lang w:val="en-US" w:eastAsia="zh-CN"/>
        </w:rPr>
        <w:t>对境外严重侵害本国或本国公民重大利益的外国人行使。</w:t>
      </w:r>
    </w:p>
    <w:p w14:paraId="49E897E3">
      <w:pPr>
        <w:keepNext w:val="0"/>
        <w:keepLines w:val="0"/>
        <w:pageBreakBefore w:val="0"/>
        <w:widowControl w:val="0"/>
        <w:kinsoku/>
        <w:wordWrap/>
        <w:overflowPunct/>
        <w:topLinePunct w:val="0"/>
        <w:autoSpaceDE/>
        <w:autoSpaceDN/>
        <w:bidi w:val="0"/>
        <w:adjustRightInd/>
        <w:snapToGrid/>
        <w:spacing w:line="364" w:lineRule="exact"/>
        <w:ind w:firstLine="42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4.普遍性管辖权：</w:t>
      </w:r>
      <w:r>
        <w:rPr>
          <w:rFonts w:hint="eastAsia" w:ascii="Times New Roman" w:hAnsi="Times New Roman" w:eastAsia="宋体" w:cs="宋体"/>
          <w:b w:val="0"/>
          <w:bCs w:val="0"/>
          <w:color w:val="auto"/>
          <w:kern w:val="0"/>
          <w:sz w:val="21"/>
          <w:szCs w:val="21"/>
          <w:lang w:val="en-US" w:eastAsia="zh-CN"/>
        </w:rPr>
        <w:t>对海盗等危害全人类共同利益的国际罪行，各国均可管辖。</w:t>
      </w:r>
    </w:p>
    <w:p w14:paraId="38C548DE">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二、主权豁免</w:t>
      </w:r>
    </w:p>
    <w:p w14:paraId="63DB3B1B">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（一）概述</w:t>
      </w:r>
    </w:p>
    <w:p w14:paraId="098AE358">
      <w:pPr>
        <w:keepNext w:val="0"/>
        <w:keepLines w:val="0"/>
        <w:pageBreakBefore w:val="0"/>
        <w:widowControl w:val="0"/>
        <w:kinsoku/>
        <w:wordWrap/>
        <w:overflowPunct/>
        <w:topLinePunct w:val="0"/>
        <w:autoSpaceDE/>
        <w:autoSpaceDN/>
        <w:bidi w:val="0"/>
        <w:adjustRightInd/>
        <w:snapToGrid/>
        <w:spacing w:line="364" w:lineRule="exact"/>
        <w:ind w:firstLine="42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国家行为及财产免受他国管辖，分为绝对豁免（一切行为豁免）和限制豁免（商业行为不豁免）。</w:t>
      </w:r>
      <w:r>
        <w:rPr>
          <w:rFonts w:hint="eastAsia" w:ascii="Times New Roman" w:hAnsi="Times New Roman" w:eastAsia="宋体" w:cs="宋体"/>
          <w:b/>
          <w:bCs/>
          <w:color w:val="auto"/>
          <w:kern w:val="0"/>
          <w:sz w:val="21"/>
          <w:szCs w:val="21"/>
          <w:lang w:val="en-US" w:eastAsia="zh-CN"/>
        </w:rPr>
        <w:t>我国《外国国家豁免法》采限制豁免。</w:t>
      </w:r>
    </w:p>
    <w:p w14:paraId="3E41F53F">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（二）豁免的放弃</w:t>
      </w:r>
    </w:p>
    <w:p w14:paraId="5979E617">
      <w:pPr>
        <w:keepNext w:val="0"/>
        <w:keepLines w:val="0"/>
        <w:pageBreakBefore w:val="0"/>
        <w:widowControl w:val="0"/>
        <w:kinsoku/>
        <w:wordWrap/>
        <w:overflowPunct/>
        <w:topLinePunct w:val="0"/>
        <w:autoSpaceDE/>
        <w:autoSpaceDN/>
        <w:bidi w:val="0"/>
        <w:adjustRightInd/>
        <w:snapToGrid/>
        <w:spacing w:line="364" w:lineRule="exact"/>
        <w:ind w:firstLine="42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可放弃。明示放弃通过条约、书面合同或声明；默示放弃通过积极诉讼行为（作为原告起诉、应诉答辩、提起反诉、作为第三人参加诉讼等）。但同意适用他国法律、为主张豁免介入诉讼、出庭作证或未出庭，不构成默示放弃。</w:t>
      </w:r>
    </w:p>
    <w:p w14:paraId="13F867BB">
      <w:pPr>
        <w:keepNext w:val="0"/>
        <w:keepLines w:val="0"/>
        <w:pageBreakBefore w:val="0"/>
        <w:widowControl w:val="0"/>
        <w:kinsoku/>
        <w:wordWrap/>
        <w:overflowPunct/>
        <w:topLinePunct w:val="0"/>
        <w:autoSpaceDE/>
        <w:autoSpaceDN/>
        <w:bidi w:val="0"/>
        <w:adjustRightInd/>
        <w:snapToGrid/>
        <w:spacing w:line="364" w:lineRule="exact"/>
        <w:ind w:firstLine="420" w:firstLineChars="0"/>
        <w:textAlignment w:val="auto"/>
        <w:rPr>
          <w:rFonts w:hint="eastAsia" w:ascii="Times New Roman" w:hAnsi="Times New Roman" w:eastAsia="宋体" w:cs="宋体"/>
          <w:b/>
          <w:bCs/>
          <w:color w:val="C00000"/>
          <w:kern w:val="0"/>
          <w:sz w:val="21"/>
          <w:szCs w:val="21"/>
          <w:lang w:val="en-US" w:eastAsia="zh-CN"/>
        </w:rPr>
      </w:pPr>
      <w:r>
        <w:rPr>
          <w:rFonts w:hint="eastAsia" w:ascii="Times New Roman" w:hAnsi="Times New Roman" w:eastAsia="宋体" w:cs="宋体"/>
          <w:b/>
          <w:bCs/>
          <w:color w:val="C00000"/>
          <w:kern w:val="0"/>
          <w:sz w:val="21"/>
          <w:szCs w:val="21"/>
          <w:lang w:val="en-US" w:eastAsia="zh-CN"/>
        </w:rPr>
        <w:t>注意：放弃管辖豁免≠放弃执行豁免，财产不可直接强制执行。</w:t>
      </w:r>
    </w:p>
    <w:p w14:paraId="232D7407">
      <w:pPr>
        <w:keepNext w:val="0"/>
        <w:keepLines w:val="0"/>
        <w:pageBreakBefore w:val="0"/>
        <w:widowControl w:val="0"/>
        <w:tabs>
          <w:tab w:val="left" w:pos="225"/>
        </w:tabs>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（三）豁免的限制（六种例外，</w:t>
      </w:r>
      <w:r>
        <w:rPr>
          <w:rFonts w:hint="eastAsia" w:ascii="Times New Roman" w:hAnsi="Times New Roman" w:eastAsia="宋体" w:cs="宋体"/>
          <w:b/>
          <w:bCs/>
          <w:color w:val="C00000"/>
          <w:kern w:val="0"/>
          <w:sz w:val="21"/>
          <w:szCs w:val="21"/>
          <w:lang w:val="en-US" w:eastAsia="zh-CN"/>
        </w:rPr>
        <w:t>中国法院可以行使管辖权</w:t>
      </w:r>
      <w:r>
        <w:rPr>
          <w:rFonts w:hint="eastAsia" w:ascii="Times New Roman" w:hAnsi="Times New Roman" w:eastAsia="宋体" w:cs="宋体"/>
          <w:b/>
          <w:bCs/>
          <w:color w:val="auto"/>
          <w:kern w:val="0"/>
          <w:sz w:val="21"/>
          <w:szCs w:val="21"/>
          <w:lang w:val="en-US" w:eastAsia="zh-CN"/>
        </w:rPr>
        <w:t>）</w:t>
      </w:r>
    </w:p>
    <w:p w14:paraId="5DF8239B">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1.商业活动例外：</w:t>
      </w:r>
      <w:r>
        <w:rPr>
          <w:rFonts w:hint="eastAsia" w:ascii="Times New Roman" w:hAnsi="Times New Roman" w:eastAsia="宋体" w:cs="宋体"/>
          <w:b w:val="0"/>
          <w:bCs w:val="0"/>
          <w:color w:val="auto"/>
          <w:kern w:val="0"/>
          <w:sz w:val="21"/>
          <w:szCs w:val="21"/>
          <w:lang w:val="en-US" w:eastAsia="zh-CN"/>
        </w:rPr>
        <w:t>非主权性的商业活动，在中国境内发生或对境内产生直接影响</w:t>
      </w:r>
    </w:p>
    <w:p w14:paraId="1D54B237">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2.仲裁例外：</w:t>
      </w:r>
      <w:r>
        <w:rPr>
          <w:rFonts w:hint="eastAsia" w:ascii="Times New Roman" w:hAnsi="Times New Roman" w:eastAsia="宋体" w:cs="宋体"/>
          <w:b w:val="0"/>
          <w:bCs w:val="0"/>
          <w:color w:val="auto"/>
          <w:kern w:val="0"/>
          <w:sz w:val="21"/>
          <w:szCs w:val="21"/>
          <w:lang w:val="en-US" w:eastAsia="zh-CN"/>
        </w:rPr>
        <w:t>同意仲裁的商业争议或投资争端，就仲裁协议效力、裁决承认/执行/撤销等事项不豁免。</w:t>
      </w:r>
    </w:p>
    <w:p w14:paraId="68CD9D74">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3.劳动合同例外：</w:t>
      </w:r>
      <w:r>
        <w:rPr>
          <w:rFonts w:hint="eastAsia" w:ascii="Times New Roman" w:hAnsi="Times New Roman" w:eastAsia="宋体" w:cs="宋体"/>
          <w:b w:val="0"/>
          <w:bCs w:val="0"/>
          <w:color w:val="auto"/>
          <w:kern w:val="0"/>
          <w:sz w:val="21"/>
          <w:szCs w:val="21"/>
          <w:lang w:val="en-US" w:eastAsia="zh-CN"/>
        </w:rPr>
        <w:t>为个人提供劳务的合同全部或部分在中国境内履行不豁免；但为行使主权职能、受雇者为外交领事人员或起诉时具该国国籍且在中国无经常居所等除外。</w:t>
      </w:r>
    </w:p>
    <w:p w14:paraId="3FFF1F5F">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4.人身伤害与财产损失例外：</w:t>
      </w:r>
      <w:r>
        <w:rPr>
          <w:rFonts w:hint="eastAsia" w:ascii="Times New Roman" w:hAnsi="Times New Roman" w:eastAsia="宋体" w:cs="宋体"/>
          <w:b w:val="0"/>
          <w:bCs w:val="0"/>
          <w:color w:val="auto"/>
          <w:kern w:val="0"/>
          <w:sz w:val="21"/>
          <w:szCs w:val="21"/>
          <w:lang w:val="en-US" w:eastAsia="zh-CN"/>
        </w:rPr>
        <w:t>在中国境内行为造成人身伤亡或财产损失的赔偿诉讼。</w:t>
      </w:r>
    </w:p>
    <w:p w14:paraId="38EC89DE">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5.财产事项例外：</w:t>
      </w:r>
      <w:r>
        <w:rPr>
          <w:rFonts w:hint="eastAsia" w:ascii="Times New Roman" w:hAnsi="Times New Roman" w:eastAsia="宋体" w:cs="宋体"/>
          <w:b w:val="0"/>
          <w:bCs w:val="0"/>
          <w:color w:val="auto"/>
          <w:kern w:val="0"/>
          <w:sz w:val="21"/>
          <w:szCs w:val="21"/>
          <w:lang w:val="en-US" w:eastAsia="zh-CN"/>
        </w:rPr>
        <w:t>涉及中国境内不动产权、继承、赠予及信托、破产清算中该国权益。</w:t>
      </w:r>
    </w:p>
    <w:p w14:paraId="4B8FB156">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6.知识产权例外：</w:t>
      </w:r>
      <w:r>
        <w:rPr>
          <w:rFonts w:hint="eastAsia" w:ascii="Times New Roman" w:hAnsi="Times New Roman" w:eastAsia="宋体" w:cs="宋体"/>
          <w:b w:val="0"/>
          <w:bCs w:val="0"/>
          <w:color w:val="auto"/>
          <w:kern w:val="0"/>
          <w:sz w:val="21"/>
          <w:szCs w:val="21"/>
          <w:lang w:val="en-US" w:eastAsia="zh-CN"/>
        </w:rPr>
        <w:t>确定受中国法律保护的知识产权归属或该国在中国境内侵权的诉讼。</w:t>
      </w:r>
    </w:p>
    <w:p w14:paraId="6A628128">
      <w:pPr>
        <w:keepNext w:val="0"/>
        <w:keepLines w:val="0"/>
        <w:pageBreakBefore w:val="0"/>
        <w:widowControl w:val="0"/>
        <w:kinsoku/>
        <w:wordWrap/>
        <w:overflowPunct/>
        <w:topLinePunct w:val="0"/>
        <w:autoSpaceDE/>
        <w:autoSpaceDN/>
        <w:bidi w:val="0"/>
        <w:adjustRightInd/>
        <w:snapToGrid/>
        <w:spacing w:line="364" w:lineRule="exact"/>
        <w:ind w:left="0" w:leftChars="0" w:firstLine="0" w:firstLineChars="0"/>
        <w:textAlignment w:val="auto"/>
        <w:rPr>
          <w:rFonts w:hint="eastAsia" w:ascii="Times New Roman" w:hAnsi="Times New Roman" w:eastAsia="宋体" w:cs="宋体"/>
          <w:b/>
          <w:bCs/>
          <w:color w:val="C00000"/>
          <w:kern w:val="0"/>
          <w:sz w:val="21"/>
          <w:szCs w:val="21"/>
          <w:lang w:val="en-US" w:eastAsia="zh-CN"/>
        </w:rPr>
      </w:pPr>
      <w:r>
        <w:rPr>
          <w:rFonts w:hint="eastAsia" w:ascii="Times New Roman" w:hAnsi="Times New Roman" w:eastAsia="宋体" w:cs="宋体"/>
          <w:b/>
          <w:bCs/>
          <w:color w:val="C00000"/>
          <w:kern w:val="0"/>
          <w:sz w:val="21"/>
          <w:szCs w:val="21"/>
          <w:lang w:val="en-US" w:eastAsia="zh-CN"/>
        </w:rPr>
        <w:t>上述例外下法院可管辖，但仍不自动取得执行豁免，执行豁免须另行放弃或例外。</w:t>
      </w:r>
    </w:p>
    <w:p w14:paraId="15C5DC19">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考点3 国际组织及联合国体系（21：26-22：14）</w:t>
      </w:r>
    </w:p>
    <w:p w14:paraId="7A71ECDC">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一、国际组织概述</w:t>
      </w:r>
    </w:p>
    <w:p w14:paraId="5BF6CCB2">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（一）主体资格：</w:t>
      </w:r>
      <w:r>
        <w:rPr>
          <w:rFonts w:hint="eastAsia" w:ascii="Times New Roman" w:hAnsi="Times New Roman" w:eastAsia="宋体" w:cs="宋体"/>
          <w:b w:val="0"/>
          <w:bCs w:val="0"/>
          <w:color w:val="auto"/>
          <w:kern w:val="0"/>
          <w:sz w:val="21"/>
          <w:szCs w:val="21"/>
          <w:lang w:val="en-US" w:eastAsia="zh-CN"/>
        </w:rPr>
        <w:t>作为国际法主体的国际组织主要是政府间的国际组织，其是派生性国际法主体，</w:t>
      </w:r>
      <w:r>
        <w:rPr>
          <w:rFonts w:hint="eastAsia" w:ascii="Times New Roman" w:hAnsi="Times New Roman" w:eastAsia="宋体" w:cs="宋体"/>
          <w:b/>
          <w:bCs/>
          <w:color w:val="auto"/>
          <w:kern w:val="0"/>
          <w:sz w:val="21"/>
          <w:szCs w:val="21"/>
          <w:lang w:val="en-US" w:eastAsia="zh-CN"/>
        </w:rPr>
        <w:t>权利能力和行为能力由成员国通过作为国际组织章程的国际协定赋予和限定</w:t>
      </w:r>
      <w:r>
        <w:rPr>
          <w:rFonts w:hint="eastAsia" w:ascii="Times New Roman" w:hAnsi="Times New Roman" w:eastAsia="宋体" w:cs="宋体"/>
          <w:b w:val="0"/>
          <w:bCs w:val="0"/>
          <w:color w:val="auto"/>
          <w:kern w:val="0"/>
          <w:sz w:val="21"/>
          <w:szCs w:val="21"/>
          <w:lang w:val="en-US" w:eastAsia="zh-CN"/>
        </w:rPr>
        <w:t>。</w:t>
      </w:r>
    </w:p>
    <w:p w14:paraId="2A089141">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（二）一般制度</w:t>
      </w:r>
    </w:p>
    <w:p w14:paraId="2063E3DB">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1.成员：分正式成员和非正式成员。</w:t>
      </w:r>
    </w:p>
    <w:p w14:paraId="361B0501">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2.机构：通常设权力与决策机构、执行机构、行政机构。</w:t>
      </w:r>
    </w:p>
    <w:p w14:paraId="618F7FC5">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3.表决制度：包括全体一致同意、多数同意、加权表决、协商一致，由章程决定。</w:t>
      </w:r>
    </w:p>
    <w:p w14:paraId="1B0AFF3B">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二、联合国体系</w:t>
      </w:r>
    </w:p>
    <w:p w14:paraId="3B22D7B0">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联合国依1945年在美国旧金山签订的《联合国宪章》成立。专门机构通过与经社理事会签订关系协定、经大会核准成为专门机构，具有独立法律地位，非联合国附属机构。</w:t>
      </w:r>
    </w:p>
    <w:p w14:paraId="7766DC10">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1.联合国大会：</w:t>
      </w:r>
      <w:r>
        <w:rPr>
          <w:rFonts w:hint="eastAsia" w:ascii="Times New Roman" w:hAnsi="Times New Roman" w:eastAsia="宋体" w:cs="宋体"/>
          <w:b w:val="0"/>
          <w:bCs w:val="0"/>
          <w:color w:val="auto"/>
          <w:kern w:val="0"/>
          <w:sz w:val="21"/>
          <w:szCs w:val="21"/>
          <w:lang w:val="en-US" w:eastAsia="zh-CN"/>
        </w:rPr>
        <w:t>（1）由全体会员国组成。可讨论宪章范围内任何问题，但</w:t>
      </w:r>
      <w:r>
        <w:rPr>
          <w:rFonts w:hint="eastAsia" w:ascii="Times New Roman" w:hAnsi="Times New Roman" w:eastAsia="宋体" w:cs="宋体"/>
          <w:b/>
          <w:bCs/>
          <w:color w:val="C00000"/>
          <w:kern w:val="0"/>
          <w:sz w:val="21"/>
          <w:szCs w:val="21"/>
          <w:lang w:val="en-US" w:eastAsia="zh-CN"/>
        </w:rPr>
        <w:t>安理会正在审议的除外</w:t>
      </w:r>
      <w:r>
        <w:rPr>
          <w:rFonts w:hint="eastAsia" w:ascii="Times New Roman" w:hAnsi="Times New Roman" w:eastAsia="宋体" w:cs="宋体"/>
          <w:b w:val="0"/>
          <w:bCs w:val="0"/>
          <w:color w:val="auto"/>
          <w:kern w:val="0"/>
          <w:sz w:val="21"/>
          <w:szCs w:val="21"/>
          <w:lang w:val="en-US" w:eastAsia="zh-CN"/>
        </w:rPr>
        <w:t>。（2）非立法机构，对联合国内部事务的决议有拘束力，</w:t>
      </w:r>
      <w:r>
        <w:rPr>
          <w:rFonts w:hint="eastAsia" w:ascii="Times New Roman" w:hAnsi="Times New Roman" w:eastAsia="宋体" w:cs="宋体"/>
          <w:b/>
          <w:bCs/>
          <w:color w:val="auto"/>
          <w:kern w:val="0"/>
          <w:sz w:val="21"/>
          <w:szCs w:val="21"/>
          <w:lang w:val="en-US" w:eastAsia="zh-CN"/>
        </w:rPr>
        <w:t>其余仅为建议</w:t>
      </w:r>
      <w:r>
        <w:rPr>
          <w:rFonts w:hint="eastAsia" w:ascii="Times New Roman" w:hAnsi="Times New Roman" w:eastAsia="宋体" w:cs="宋体"/>
          <w:b w:val="0"/>
          <w:bCs w:val="0"/>
          <w:color w:val="auto"/>
          <w:kern w:val="0"/>
          <w:sz w:val="21"/>
          <w:szCs w:val="21"/>
          <w:lang w:val="en-US" w:eastAsia="zh-CN"/>
        </w:rPr>
        <w:t>。（3）表决</w:t>
      </w:r>
      <w:r>
        <w:rPr>
          <w:rFonts w:hint="eastAsia" w:ascii="Times New Roman" w:hAnsi="Times New Roman" w:eastAsia="宋体" w:cs="宋体"/>
          <w:b/>
          <w:bCs/>
          <w:color w:val="auto"/>
          <w:kern w:val="0"/>
          <w:sz w:val="21"/>
          <w:szCs w:val="21"/>
          <w:lang w:val="en-US" w:eastAsia="zh-CN"/>
        </w:rPr>
        <w:t>一国一票</w:t>
      </w:r>
      <w:r>
        <w:rPr>
          <w:rFonts w:hint="eastAsia" w:ascii="Times New Roman" w:hAnsi="Times New Roman" w:eastAsia="宋体" w:cs="宋体"/>
          <w:b w:val="0"/>
          <w:bCs w:val="0"/>
          <w:color w:val="auto"/>
          <w:kern w:val="0"/>
          <w:sz w:val="21"/>
          <w:szCs w:val="21"/>
          <w:lang w:val="en-US" w:eastAsia="zh-CN"/>
        </w:rPr>
        <w:t>，一般问题简单多数，重要问题需2/3多数。重要问题包括维和建议，重要机构选举，新会员接纳，会员国权利中止或开除，托管问题，预算及会费分摊等。</w:t>
      </w:r>
    </w:p>
    <w:p w14:paraId="19A2BCF7">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2.安全理事会：</w:t>
      </w:r>
      <w:r>
        <w:rPr>
          <w:rFonts w:hint="eastAsia" w:ascii="Times New Roman" w:hAnsi="Times New Roman" w:eastAsia="宋体" w:cs="宋体"/>
          <w:b w:val="0"/>
          <w:bCs w:val="0"/>
          <w:color w:val="auto"/>
          <w:kern w:val="0"/>
          <w:sz w:val="21"/>
          <w:szCs w:val="21"/>
          <w:lang w:val="en-US" w:eastAsia="zh-CN"/>
        </w:rPr>
        <w:t>15个理事国（5常+10非常），非常任理事国任期2年不得连选连任。安理会是唯一有权采取强制行动维持国际和平与安全的机关，决议对当事国和所有会员国有法律拘束力。表决每国一票：程序性事项9票通过；</w:t>
      </w:r>
      <w:r>
        <w:rPr>
          <w:rFonts w:hint="eastAsia" w:ascii="Times New Roman" w:hAnsi="Times New Roman" w:eastAsia="宋体" w:cs="宋体"/>
          <w:b/>
          <w:bCs/>
          <w:color w:val="C00000"/>
          <w:kern w:val="0"/>
          <w:sz w:val="21"/>
          <w:szCs w:val="21"/>
          <w:lang w:val="en-US" w:eastAsia="zh-CN"/>
        </w:rPr>
        <w:t>非程序性事项9票+五常均不反对（大国一致原则）</w:t>
      </w:r>
      <w:r>
        <w:rPr>
          <w:rFonts w:hint="eastAsia" w:ascii="Times New Roman" w:hAnsi="Times New Roman" w:eastAsia="宋体" w:cs="宋体"/>
          <w:b w:val="0"/>
          <w:bCs w:val="0"/>
          <w:color w:val="auto"/>
          <w:kern w:val="0"/>
          <w:sz w:val="21"/>
          <w:szCs w:val="21"/>
          <w:lang w:val="en-US" w:eastAsia="zh-CN"/>
        </w:rPr>
        <w:t>，弃权或缺席不视为否决。和平解决争端时，当事国不得投票（强制弃权）；采取强制行动时，当事国可投票，常任理事国即使为侵略国也可使用否决权。若对事项性质产生争议，先表决定性（适用大国一致，常任可第一次否决将其定为实质问题），再表决该事项（常任可第二次否决）。</w:t>
      </w:r>
    </w:p>
    <w:p w14:paraId="15D82C9E">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bCs/>
          <w:color w:val="auto"/>
          <w:kern w:val="0"/>
          <w:sz w:val="21"/>
          <w:szCs w:val="21"/>
          <w:lang w:val="en-US" w:eastAsia="zh-CN"/>
        </w:rPr>
        <w:t>3.其他机关：</w:t>
      </w:r>
      <w:r>
        <w:rPr>
          <w:rFonts w:hint="eastAsia" w:ascii="Times New Roman" w:hAnsi="Times New Roman" w:eastAsia="宋体" w:cs="宋体"/>
          <w:b w:val="0"/>
          <w:bCs w:val="0"/>
          <w:color w:val="auto"/>
          <w:kern w:val="0"/>
          <w:sz w:val="21"/>
          <w:szCs w:val="21"/>
          <w:lang w:val="en-US" w:eastAsia="zh-CN"/>
        </w:rPr>
        <w:t>经社理事会由大会选出的54个理事国组成，任期3年可连任，简单多数表决。托管理事会所有托管协定已终止。秘书处秘书长由安理会推荐、大会简单多数任命，任期5年可连任。国际法院另述。</w:t>
      </w:r>
    </w:p>
    <w:p w14:paraId="29920553">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三、联合国特殊决策程序</w:t>
      </w:r>
    </w:p>
    <w:p w14:paraId="4F2637CC">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（一）接纳新会员：</w:t>
      </w:r>
      <w:r>
        <w:rPr>
          <w:rFonts w:hint="eastAsia" w:ascii="Times New Roman" w:hAnsi="Times New Roman" w:eastAsia="宋体" w:cs="宋体"/>
          <w:b w:val="0"/>
          <w:bCs w:val="0"/>
          <w:color w:val="auto"/>
          <w:kern w:val="0"/>
          <w:sz w:val="21"/>
          <w:szCs w:val="21"/>
          <w:lang w:val="en-US" w:eastAsia="zh-CN"/>
        </w:rPr>
        <w:t>安理会推荐+大会2/3多数决定，五常有一票否决权。</w:t>
      </w:r>
    </w:p>
    <w:p w14:paraId="2AF0FBE3">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（二）秘书长任命：</w:t>
      </w:r>
      <w:r>
        <w:rPr>
          <w:rFonts w:hint="eastAsia" w:ascii="Times New Roman" w:hAnsi="Times New Roman" w:eastAsia="宋体" w:cs="宋体"/>
          <w:b w:val="0"/>
          <w:bCs w:val="0"/>
          <w:color w:val="auto"/>
          <w:kern w:val="0"/>
          <w:sz w:val="21"/>
          <w:szCs w:val="21"/>
          <w:lang w:val="en-US" w:eastAsia="zh-CN"/>
        </w:rPr>
        <w:t>安理会推荐+大会简单多数任命，五常拥有否决权。</w:t>
      </w:r>
    </w:p>
    <w:p w14:paraId="7D51B576">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（三）国际法院法官选举：</w:t>
      </w:r>
      <w:r>
        <w:rPr>
          <w:rFonts w:hint="eastAsia" w:ascii="Times New Roman" w:hAnsi="Times New Roman" w:eastAsia="宋体" w:cs="宋体"/>
          <w:b w:val="0"/>
          <w:bCs w:val="0"/>
          <w:color w:val="auto"/>
          <w:kern w:val="0"/>
          <w:sz w:val="21"/>
          <w:szCs w:val="21"/>
          <w:lang w:val="en-US" w:eastAsia="zh-CN"/>
        </w:rPr>
        <w:t>安理会与大会分别独立选举，需均获绝对多数，</w:t>
      </w:r>
      <w:r>
        <w:rPr>
          <w:rFonts w:hint="eastAsia" w:ascii="Times New Roman" w:hAnsi="Times New Roman" w:eastAsia="宋体" w:cs="宋体"/>
          <w:b/>
          <w:bCs/>
          <w:color w:val="0000FF"/>
          <w:kern w:val="0"/>
          <w:sz w:val="21"/>
          <w:szCs w:val="21"/>
          <w:lang w:val="en-US" w:eastAsia="zh-CN"/>
        </w:rPr>
        <w:t>无五常否决权</w:t>
      </w:r>
      <w:r>
        <w:rPr>
          <w:rFonts w:hint="eastAsia" w:ascii="Times New Roman" w:hAnsi="Times New Roman" w:eastAsia="宋体" w:cs="宋体"/>
          <w:b w:val="0"/>
          <w:bCs w:val="0"/>
          <w:color w:val="0000FF"/>
          <w:kern w:val="0"/>
          <w:sz w:val="21"/>
          <w:szCs w:val="21"/>
          <w:lang w:val="en-US" w:eastAsia="zh-CN"/>
        </w:rPr>
        <w:t>。</w:t>
      </w:r>
    </w:p>
    <w:p w14:paraId="518503FE">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bCs/>
          <w:color w:val="auto"/>
          <w:kern w:val="0"/>
          <w:sz w:val="21"/>
          <w:szCs w:val="21"/>
          <w:lang w:val="en-US" w:eastAsia="zh-CN"/>
        </w:rPr>
        <w:t>（四）修改宪章：</w:t>
      </w:r>
      <w:r>
        <w:rPr>
          <w:rFonts w:hint="eastAsia" w:ascii="Times New Roman" w:hAnsi="Times New Roman" w:eastAsia="宋体" w:cs="宋体"/>
          <w:b w:val="0"/>
          <w:bCs w:val="0"/>
          <w:color w:val="auto"/>
          <w:kern w:val="0"/>
          <w:sz w:val="21"/>
          <w:szCs w:val="21"/>
          <w:lang w:val="en-US" w:eastAsia="zh-CN"/>
        </w:rPr>
        <w:t>大会2/3通过+2/3会员国批准（须含全体常任理事国），五常握最终批准权。</w:t>
      </w:r>
    </w:p>
    <w:p w14:paraId="26E2E471">
      <w:pPr>
        <w:keepNext w:val="0"/>
        <w:keepLines w:val="0"/>
        <w:pageBreakBefore w:val="0"/>
        <w:widowControl w:val="0"/>
        <w:kinsoku/>
        <w:wordWrap/>
        <w:overflowPunct/>
        <w:topLinePunct w:val="0"/>
        <w:autoSpaceDE/>
        <w:autoSpaceDN/>
        <w:bidi w:val="0"/>
        <w:adjustRightInd/>
        <w:snapToGrid/>
        <w:spacing w:line="364" w:lineRule="exact"/>
        <w:ind w:firstLine="420" w:firstLineChars="0"/>
        <w:jc w:val="center"/>
        <w:textAlignment w:val="auto"/>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考点4 国际法上的空间划分（22：14-22：58）</w:t>
      </w:r>
    </w:p>
    <w:p w14:paraId="7087DE6E">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一、领土和领土主权</w:t>
      </w:r>
    </w:p>
    <w:p w14:paraId="02B34434">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color w:val="2E54A1" w:themeColor="accent1" w:themeShade="BF"/>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b/>
          <w:bCs/>
          <w:kern w:val="0"/>
          <w:sz w:val="21"/>
          <w:szCs w:val="21"/>
          <w:lang w:val="en-US" w:eastAsia="zh-CN"/>
        </w:rPr>
        <w:t>1.组成与取得：</w:t>
      </w:r>
      <w:r>
        <w:rPr>
          <w:rFonts w:hint="eastAsia" w:ascii="Times New Roman" w:hAnsi="Times New Roman" w:eastAsia="宋体" w:cs="宋体"/>
          <w:kern w:val="0"/>
          <w:sz w:val="21"/>
          <w:szCs w:val="21"/>
          <w:lang w:val="en-US" w:eastAsia="zh-CN"/>
        </w:rPr>
        <w:t>领土由领陆、领水（内水+领海）、领空（领陆和领空之上）、底土构成。取得方式上，传统方式中的</w:t>
      </w:r>
      <w:r>
        <w:rPr>
          <w:rFonts w:hint="eastAsia" w:ascii="Times New Roman" w:hAnsi="Times New Roman" w:eastAsia="宋体" w:cs="宋体"/>
          <w:b/>
          <w:bCs/>
          <w:kern w:val="0"/>
          <w:sz w:val="21"/>
          <w:szCs w:val="21"/>
          <w:lang w:val="en-US" w:eastAsia="zh-CN"/>
        </w:rPr>
        <w:t>先占</w:t>
      </w:r>
      <w:r>
        <w:rPr>
          <w:rFonts w:hint="eastAsia" w:ascii="Times New Roman" w:hAnsi="Times New Roman" w:eastAsia="宋体" w:cs="宋体"/>
          <w:kern w:val="0"/>
          <w:sz w:val="21"/>
          <w:szCs w:val="21"/>
          <w:lang w:val="en-US" w:eastAsia="zh-CN"/>
        </w:rPr>
        <w:t>（对象已不存在）和</w:t>
      </w:r>
      <w:r>
        <w:rPr>
          <w:rFonts w:hint="eastAsia" w:ascii="Times New Roman" w:hAnsi="Times New Roman" w:eastAsia="宋体" w:cs="宋体"/>
          <w:b/>
          <w:bCs/>
          <w:kern w:val="0"/>
          <w:sz w:val="21"/>
          <w:szCs w:val="21"/>
          <w:lang w:val="en-US" w:eastAsia="zh-CN"/>
        </w:rPr>
        <w:t>征服</w:t>
      </w:r>
      <w:r>
        <w:rPr>
          <w:rFonts w:hint="eastAsia" w:ascii="Times New Roman" w:hAnsi="Times New Roman" w:eastAsia="宋体" w:cs="宋体"/>
          <w:kern w:val="0"/>
          <w:sz w:val="21"/>
          <w:szCs w:val="21"/>
          <w:lang w:val="en-US" w:eastAsia="zh-CN"/>
        </w:rPr>
        <w:t>已被现代国际法禁止；添附合法，但不得损害他国利益；</w:t>
      </w:r>
      <w:r>
        <w:rPr>
          <w:rFonts w:hint="eastAsia" w:ascii="Times New Roman" w:hAnsi="Times New Roman" w:eastAsia="宋体" w:cs="宋体"/>
          <w:b/>
          <w:bCs/>
          <w:kern w:val="0"/>
          <w:sz w:val="21"/>
          <w:szCs w:val="21"/>
          <w:lang w:val="en-US" w:eastAsia="zh-CN"/>
        </w:rPr>
        <w:t>时效方式</w:t>
      </w:r>
      <w:r>
        <w:rPr>
          <w:rFonts w:hint="eastAsia" w:ascii="Times New Roman" w:hAnsi="Times New Roman" w:eastAsia="宋体" w:cs="宋体"/>
          <w:kern w:val="0"/>
          <w:sz w:val="21"/>
          <w:szCs w:val="21"/>
          <w:lang w:val="en-US" w:eastAsia="zh-CN"/>
        </w:rPr>
        <w:t>存在争议。</w:t>
      </w:r>
      <w:r>
        <w:rPr>
          <w:rFonts w:hint="eastAsia" w:ascii="Times New Roman" w:hAnsi="Times New Roman" w:eastAsia="宋体" w:cs="宋体"/>
          <w:b/>
          <w:bCs/>
          <w:color w:val="2E54A1" w:themeColor="accent1" w:themeShade="BF"/>
          <w:kern w:val="0"/>
          <w:sz w:val="21"/>
          <w:szCs w:val="21"/>
          <w:lang w:val="en-US" w:eastAsia="zh-CN"/>
        </w:rPr>
        <w:t>现代方式中的殖民地独立与合法全民公投属于合法取得。</w:t>
      </w:r>
    </w:p>
    <w:p w14:paraId="7794E646">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bCs/>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b/>
          <w:bCs/>
          <w:kern w:val="0"/>
          <w:sz w:val="21"/>
          <w:szCs w:val="21"/>
          <w:lang w:val="en-US" w:eastAsia="zh-CN"/>
        </w:rPr>
        <w:t>2.边界与边境：</w:t>
      </w:r>
      <w:r>
        <w:rPr>
          <w:rFonts w:hint="eastAsia" w:ascii="Times New Roman" w:hAnsi="Times New Roman" w:eastAsia="宋体" w:cs="宋体"/>
          <w:kern w:val="0"/>
          <w:sz w:val="21"/>
          <w:szCs w:val="21"/>
          <w:lang w:val="en-US" w:eastAsia="zh-CN"/>
        </w:rPr>
        <w:t>划界需经母约（边界条约）和子约（议定书、地图）两个步骤。边境制度中，界标</w:t>
      </w:r>
      <w:r>
        <w:rPr>
          <w:rFonts w:hint="eastAsia" w:ascii="Times New Roman" w:hAnsi="Times New Roman" w:eastAsia="宋体" w:cs="宋体"/>
          <w:b/>
          <w:bCs/>
          <w:kern w:val="0"/>
          <w:sz w:val="21"/>
          <w:szCs w:val="21"/>
          <w:lang w:val="en-US" w:eastAsia="zh-CN"/>
        </w:rPr>
        <w:t>双方共管</w:t>
      </w:r>
      <w:r>
        <w:rPr>
          <w:rFonts w:hint="eastAsia" w:ascii="Times New Roman" w:hAnsi="Times New Roman" w:eastAsia="宋体" w:cs="宋体"/>
          <w:kern w:val="0"/>
          <w:sz w:val="21"/>
          <w:szCs w:val="21"/>
          <w:lang w:val="en-US" w:eastAsia="zh-CN"/>
        </w:rPr>
        <w:t>；边境土地使用</w:t>
      </w:r>
      <w:r>
        <w:rPr>
          <w:rFonts w:hint="eastAsia" w:ascii="Times New Roman" w:hAnsi="Times New Roman" w:eastAsia="宋体" w:cs="宋体"/>
          <w:b/>
          <w:bCs/>
          <w:kern w:val="0"/>
          <w:sz w:val="21"/>
          <w:szCs w:val="21"/>
          <w:lang w:val="en-US" w:eastAsia="zh-CN"/>
        </w:rPr>
        <w:t>不得损及邻国</w:t>
      </w:r>
      <w:r>
        <w:rPr>
          <w:rFonts w:hint="eastAsia" w:ascii="Times New Roman" w:hAnsi="Times New Roman" w:eastAsia="宋体" w:cs="宋体"/>
          <w:kern w:val="0"/>
          <w:sz w:val="21"/>
          <w:szCs w:val="21"/>
          <w:lang w:val="en-US" w:eastAsia="zh-CN"/>
        </w:rPr>
        <w:t>（意外事故非国家行为不赔）；界水利用遵循</w:t>
      </w:r>
      <w:r>
        <w:rPr>
          <w:rFonts w:hint="eastAsia" w:ascii="Times New Roman" w:hAnsi="Times New Roman" w:eastAsia="宋体" w:cs="宋体"/>
          <w:b/>
          <w:bCs/>
          <w:kern w:val="0"/>
          <w:sz w:val="21"/>
          <w:szCs w:val="21"/>
          <w:lang w:val="en-US" w:eastAsia="zh-CN"/>
        </w:rPr>
        <w:t>不得使河流改道或泛滥</w:t>
      </w:r>
      <w:r>
        <w:rPr>
          <w:rFonts w:hint="eastAsia" w:ascii="Times New Roman" w:hAnsi="Times New Roman" w:eastAsia="宋体" w:cs="宋体"/>
          <w:kern w:val="0"/>
          <w:sz w:val="21"/>
          <w:szCs w:val="21"/>
          <w:lang w:val="en-US" w:eastAsia="zh-CN"/>
        </w:rPr>
        <w:t>，渔民仅能在</w:t>
      </w:r>
      <w:r>
        <w:rPr>
          <w:rFonts w:hint="eastAsia" w:ascii="Times New Roman" w:hAnsi="Times New Roman" w:eastAsia="宋体" w:cs="宋体"/>
          <w:b/>
          <w:bCs/>
          <w:kern w:val="0"/>
          <w:sz w:val="21"/>
          <w:szCs w:val="21"/>
          <w:lang w:val="en-US" w:eastAsia="zh-CN"/>
        </w:rPr>
        <w:t>本国一侧</w:t>
      </w:r>
      <w:r>
        <w:rPr>
          <w:rFonts w:hint="eastAsia" w:ascii="Times New Roman" w:hAnsi="Times New Roman" w:eastAsia="宋体" w:cs="宋体"/>
          <w:kern w:val="0"/>
          <w:sz w:val="21"/>
          <w:szCs w:val="21"/>
          <w:lang w:val="en-US" w:eastAsia="zh-CN"/>
        </w:rPr>
        <w:t>捕鱼，船舶享有平等航行权但未经许可</w:t>
      </w:r>
      <w:r>
        <w:rPr>
          <w:rFonts w:hint="eastAsia" w:ascii="Times New Roman" w:hAnsi="Times New Roman" w:eastAsia="宋体" w:cs="宋体"/>
          <w:b/>
          <w:bCs/>
          <w:kern w:val="0"/>
          <w:sz w:val="21"/>
          <w:szCs w:val="21"/>
          <w:lang w:val="en-US" w:eastAsia="zh-CN"/>
        </w:rPr>
        <w:t>不得在对方靠岸。</w:t>
      </w:r>
    </w:p>
    <w:p w14:paraId="6C212B66">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二、国际海洋法（依离岸距离记忆）</w:t>
      </w:r>
    </w:p>
    <w:p w14:paraId="0B0625D9">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b/>
          <w:bCs/>
          <w:kern w:val="0"/>
          <w:sz w:val="21"/>
          <w:szCs w:val="21"/>
          <w:lang w:val="en-US" w:eastAsia="zh-CN"/>
        </w:rPr>
        <w:t>1.内水与领海</w:t>
      </w:r>
      <w:r>
        <w:rPr>
          <w:rFonts w:hint="eastAsia" w:ascii="Times New Roman" w:hAnsi="Times New Roman" w:eastAsia="宋体" w:cs="宋体"/>
          <w:kern w:val="0"/>
          <w:sz w:val="21"/>
          <w:szCs w:val="21"/>
          <w:lang w:val="en-US" w:eastAsia="zh-CN"/>
        </w:rPr>
        <w:t>：内水享有完全主权，外国船舶</w:t>
      </w:r>
      <w:r>
        <w:rPr>
          <w:rFonts w:hint="eastAsia" w:ascii="Times New Roman" w:hAnsi="Times New Roman" w:eastAsia="宋体" w:cs="宋体"/>
          <w:b/>
          <w:bCs/>
          <w:kern w:val="0"/>
          <w:sz w:val="21"/>
          <w:szCs w:val="21"/>
          <w:lang w:val="en-US" w:eastAsia="zh-CN"/>
        </w:rPr>
        <w:t>无无害通过权</w:t>
      </w:r>
      <w:r>
        <w:rPr>
          <w:rFonts w:hint="eastAsia" w:ascii="Times New Roman" w:hAnsi="Times New Roman" w:eastAsia="宋体" w:cs="宋体"/>
          <w:kern w:val="0"/>
          <w:sz w:val="21"/>
          <w:szCs w:val="21"/>
          <w:lang w:val="en-US" w:eastAsia="zh-CN"/>
        </w:rPr>
        <w:t>。领海宽度不超过</w:t>
      </w:r>
      <w:r>
        <w:rPr>
          <w:rFonts w:hint="eastAsia" w:ascii="Times New Roman" w:hAnsi="Times New Roman" w:eastAsia="宋体" w:cs="宋体"/>
          <w:b/>
          <w:bCs/>
          <w:kern w:val="0"/>
          <w:sz w:val="21"/>
          <w:szCs w:val="21"/>
          <w:lang w:val="en-US" w:eastAsia="zh-CN"/>
        </w:rPr>
        <w:t>12海里，</w:t>
      </w:r>
      <w:r>
        <w:rPr>
          <w:rFonts w:hint="eastAsia" w:ascii="Times New Roman" w:hAnsi="Times New Roman" w:eastAsia="宋体" w:cs="宋体"/>
          <w:kern w:val="0"/>
          <w:sz w:val="21"/>
          <w:szCs w:val="21"/>
          <w:lang w:val="en-US" w:eastAsia="zh-CN"/>
        </w:rPr>
        <w:t>主权受</w:t>
      </w:r>
      <w:r>
        <w:rPr>
          <w:rFonts w:hint="eastAsia" w:ascii="Times New Roman" w:hAnsi="Times New Roman" w:eastAsia="宋体" w:cs="宋体"/>
          <w:b/>
          <w:bCs/>
          <w:kern w:val="0"/>
          <w:sz w:val="21"/>
          <w:szCs w:val="21"/>
          <w:lang w:val="en-US" w:eastAsia="zh-CN"/>
        </w:rPr>
        <w:t>无害通过权</w:t>
      </w:r>
      <w:r>
        <w:rPr>
          <w:rFonts w:hint="eastAsia" w:ascii="Times New Roman" w:hAnsi="Times New Roman" w:eastAsia="宋体" w:cs="宋体"/>
          <w:kern w:val="0"/>
          <w:sz w:val="21"/>
          <w:szCs w:val="21"/>
          <w:lang w:val="en-US" w:eastAsia="zh-CN"/>
        </w:rPr>
        <w:t>限制；中国规定外国</w:t>
      </w:r>
      <w:r>
        <w:rPr>
          <w:rFonts w:hint="eastAsia" w:ascii="Times New Roman" w:hAnsi="Times New Roman" w:eastAsia="宋体" w:cs="宋体"/>
          <w:b/>
          <w:bCs/>
          <w:kern w:val="0"/>
          <w:sz w:val="21"/>
          <w:szCs w:val="21"/>
          <w:lang w:val="en-US" w:eastAsia="zh-CN"/>
        </w:rPr>
        <w:t>军舰</w:t>
      </w:r>
      <w:r>
        <w:rPr>
          <w:rFonts w:hint="eastAsia" w:ascii="Times New Roman" w:hAnsi="Times New Roman" w:eastAsia="宋体" w:cs="宋体"/>
          <w:kern w:val="0"/>
          <w:sz w:val="21"/>
          <w:szCs w:val="21"/>
          <w:lang w:val="en-US" w:eastAsia="zh-CN"/>
        </w:rPr>
        <w:t>通过领海须经批准。</w:t>
      </w:r>
    </w:p>
    <w:p w14:paraId="02569727">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b/>
          <w:bCs/>
          <w:kern w:val="0"/>
          <w:sz w:val="21"/>
          <w:szCs w:val="21"/>
          <w:lang w:val="en-US" w:eastAsia="zh-CN"/>
        </w:rPr>
        <w:t>2.毗连区与专属经济区：</w:t>
      </w:r>
      <w:r>
        <w:rPr>
          <w:rFonts w:hint="eastAsia" w:ascii="Times New Roman" w:hAnsi="Times New Roman" w:eastAsia="宋体" w:cs="宋体"/>
          <w:kern w:val="0"/>
          <w:sz w:val="21"/>
          <w:szCs w:val="21"/>
          <w:lang w:val="en-US" w:eastAsia="zh-CN"/>
        </w:rPr>
        <w:t>毗连区在领海外</w:t>
      </w:r>
      <w:r>
        <w:rPr>
          <w:rFonts w:hint="eastAsia" w:ascii="Times New Roman" w:hAnsi="Times New Roman" w:eastAsia="宋体" w:cs="宋体"/>
          <w:b/>
          <w:bCs/>
          <w:kern w:val="0"/>
          <w:sz w:val="21"/>
          <w:szCs w:val="21"/>
          <w:lang w:val="en-US" w:eastAsia="zh-CN"/>
        </w:rPr>
        <w:t>12海里</w:t>
      </w:r>
      <w:r>
        <w:rPr>
          <w:rFonts w:hint="eastAsia" w:ascii="Times New Roman" w:hAnsi="Times New Roman" w:eastAsia="宋体" w:cs="宋体"/>
          <w:kern w:val="0"/>
          <w:sz w:val="21"/>
          <w:szCs w:val="21"/>
          <w:lang w:val="en-US" w:eastAsia="zh-CN"/>
        </w:rPr>
        <w:t>内，沿海国仅对</w:t>
      </w:r>
      <w:r>
        <w:rPr>
          <w:rFonts w:hint="eastAsia" w:ascii="Times New Roman" w:hAnsi="Times New Roman" w:eastAsia="宋体" w:cs="宋体"/>
          <w:b/>
          <w:bCs/>
          <w:color w:val="C00000"/>
          <w:kern w:val="0"/>
          <w:sz w:val="21"/>
          <w:szCs w:val="21"/>
          <w:lang w:val="en-US" w:eastAsia="zh-CN"/>
        </w:rPr>
        <w:t>海关、财政、移民、卫生事项</w:t>
      </w:r>
      <w:r>
        <w:rPr>
          <w:rFonts w:hint="eastAsia" w:ascii="Times New Roman" w:hAnsi="Times New Roman" w:eastAsia="宋体" w:cs="宋体"/>
          <w:kern w:val="0"/>
          <w:sz w:val="21"/>
          <w:szCs w:val="21"/>
          <w:lang w:val="en-US" w:eastAsia="zh-CN"/>
        </w:rPr>
        <w:t>有管制权。专属经济区不超过</w:t>
      </w:r>
      <w:r>
        <w:rPr>
          <w:rFonts w:hint="eastAsia" w:ascii="Times New Roman" w:hAnsi="Times New Roman" w:eastAsia="宋体" w:cs="宋体"/>
          <w:b/>
          <w:bCs/>
          <w:kern w:val="0"/>
          <w:sz w:val="21"/>
          <w:szCs w:val="21"/>
          <w:lang w:val="en-US" w:eastAsia="zh-CN"/>
        </w:rPr>
        <w:t>200海里</w:t>
      </w:r>
      <w:r>
        <w:rPr>
          <w:rFonts w:hint="eastAsia" w:ascii="Times New Roman" w:hAnsi="Times New Roman" w:eastAsia="宋体" w:cs="宋体"/>
          <w:kern w:val="0"/>
          <w:sz w:val="21"/>
          <w:szCs w:val="21"/>
          <w:lang w:val="en-US" w:eastAsia="zh-CN"/>
        </w:rPr>
        <w:t>，沿海国对区内自然资源有主权权利，但对他国船舶的违法行为</w:t>
      </w:r>
      <w:r>
        <w:rPr>
          <w:rFonts w:hint="eastAsia" w:ascii="Times New Roman" w:hAnsi="Times New Roman" w:eastAsia="宋体" w:cs="宋体"/>
          <w:b/>
          <w:bCs/>
          <w:kern w:val="0"/>
          <w:sz w:val="21"/>
          <w:szCs w:val="21"/>
          <w:lang w:val="en-US" w:eastAsia="zh-CN"/>
        </w:rPr>
        <w:t>不得处以监禁或体罚。</w:t>
      </w:r>
    </w:p>
    <w:p w14:paraId="285AA879">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kern w:val="0"/>
          <w:sz w:val="21"/>
          <w:szCs w:val="21"/>
          <w:lang w:val="en-US" w:eastAsia="zh-CN"/>
        </w:rPr>
        <w:tab/>
      </w:r>
      <w:r>
        <w:rPr>
          <w:rFonts w:hint="eastAsia" w:ascii="Times New Roman" w:hAnsi="Times New Roman" w:eastAsia="宋体" w:cs="宋体"/>
          <w:b/>
          <w:bCs/>
          <w:kern w:val="0"/>
          <w:sz w:val="21"/>
          <w:szCs w:val="21"/>
          <w:lang w:val="en-US" w:eastAsia="zh-CN"/>
        </w:rPr>
        <w:t>3.大陆架与公海：</w:t>
      </w:r>
      <w:r>
        <w:rPr>
          <w:rFonts w:hint="eastAsia" w:ascii="Times New Roman" w:hAnsi="Times New Roman" w:eastAsia="宋体" w:cs="宋体"/>
          <w:kern w:val="0"/>
          <w:sz w:val="21"/>
          <w:szCs w:val="21"/>
          <w:lang w:val="en-US" w:eastAsia="zh-CN"/>
        </w:rPr>
        <w:t>大陆架自然延伸，开发</w:t>
      </w:r>
      <w:r>
        <w:rPr>
          <w:rFonts w:hint="eastAsia" w:ascii="Times New Roman" w:hAnsi="Times New Roman" w:eastAsia="宋体" w:cs="宋体"/>
          <w:b/>
          <w:bCs/>
          <w:kern w:val="0"/>
          <w:sz w:val="21"/>
          <w:szCs w:val="21"/>
          <w:lang w:val="en-US" w:eastAsia="zh-CN"/>
        </w:rPr>
        <w:t>200海里外</w:t>
      </w:r>
      <w:r>
        <w:rPr>
          <w:rFonts w:hint="eastAsia" w:ascii="Times New Roman" w:hAnsi="Times New Roman" w:eastAsia="宋体" w:cs="宋体"/>
          <w:kern w:val="0"/>
          <w:sz w:val="21"/>
          <w:szCs w:val="21"/>
          <w:lang w:val="en-US" w:eastAsia="zh-CN"/>
        </w:rPr>
        <w:t>非生物资源需向国际海底管理局缴费。公海实行</w:t>
      </w:r>
      <w:r>
        <w:rPr>
          <w:rFonts w:hint="eastAsia" w:ascii="Times New Roman" w:hAnsi="Times New Roman" w:eastAsia="宋体" w:cs="宋体"/>
          <w:b/>
          <w:bCs/>
          <w:color w:val="C00000"/>
          <w:kern w:val="0"/>
          <w:sz w:val="21"/>
          <w:szCs w:val="21"/>
          <w:lang w:val="en-US" w:eastAsia="zh-CN"/>
        </w:rPr>
        <w:t>船旗国管辖</w:t>
      </w:r>
      <w:r>
        <w:rPr>
          <w:rFonts w:hint="eastAsia" w:ascii="Times New Roman" w:hAnsi="Times New Roman" w:eastAsia="宋体" w:cs="宋体"/>
          <w:kern w:val="0"/>
          <w:sz w:val="21"/>
          <w:szCs w:val="21"/>
          <w:lang w:val="en-US" w:eastAsia="zh-CN"/>
        </w:rPr>
        <w:t>，各国对海盗、非法广播、贩奴贩毒等罪行可行使</w:t>
      </w:r>
      <w:r>
        <w:rPr>
          <w:rFonts w:hint="eastAsia" w:ascii="Times New Roman" w:hAnsi="Times New Roman" w:eastAsia="宋体" w:cs="宋体"/>
          <w:b/>
          <w:bCs/>
          <w:kern w:val="0"/>
          <w:sz w:val="21"/>
          <w:szCs w:val="21"/>
          <w:lang w:val="en-US" w:eastAsia="zh-CN"/>
        </w:rPr>
        <w:t>普遍管辖</w:t>
      </w:r>
      <w:r>
        <w:rPr>
          <w:rFonts w:hint="eastAsia" w:ascii="Times New Roman" w:hAnsi="Times New Roman" w:eastAsia="宋体" w:cs="宋体"/>
          <w:kern w:val="0"/>
          <w:sz w:val="21"/>
          <w:szCs w:val="21"/>
          <w:lang w:val="en-US" w:eastAsia="zh-CN"/>
        </w:rPr>
        <w:t>。</w:t>
      </w:r>
      <w:r>
        <w:rPr>
          <w:rFonts w:hint="eastAsia" w:ascii="Times New Roman" w:hAnsi="Times New Roman" w:eastAsia="宋体" w:cs="宋体"/>
          <w:b/>
          <w:bCs/>
          <w:color w:val="C00000"/>
          <w:kern w:val="0"/>
          <w:sz w:val="21"/>
          <w:szCs w:val="21"/>
          <w:lang w:val="en-US" w:eastAsia="zh-CN"/>
        </w:rPr>
        <w:t>公海船只碰撞涉及刑事责任或纪律责任仅船旗国或者人员的国籍国有管辖权。</w:t>
      </w:r>
      <w:r>
        <w:rPr>
          <w:rFonts w:hint="eastAsia" w:ascii="Times New Roman" w:hAnsi="Times New Roman" w:eastAsia="宋体" w:cs="宋体"/>
          <w:b w:val="0"/>
          <w:bCs w:val="0"/>
          <w:color w:val="auto"/>
          <w:kern w:val="0"/>
          <w:sz w:val="21"/>
          <w:szCs w:val="21"/>
          <w:lang w:val="en-US" w:eastAsia="zh-CN"/>
        </w:rPr>
        <w:t>在纪律事项上，船长证书或驾驶执照</w:t>
      </w:r>
      <w:r>
        <w:rPr>
          <w:rFonts w:hint="eastAsia" w:ascii="Times New Roman" w:hAnsi="Times New Roman" w:eastAsia="宋体" w:cs="宋体"/>
          <w:b/>
          <w:bCs/>
          <w:color w:val="auto"/>
          <w:kern w:val="0"/>
          <w:sz w:val="21"/>
          <w:szCs w:val="21"/>
          <w:lang w:val="en-US" w:eastAsia="zh-CN"/>
        </w:rPr>
        <w:t>只有其颁发国家才有权经过正当程序予以撤销</w:t>
      </w:r>
      <w:r>
        <w:rPr>
          <w:rFonts w:hint="eastAsia" w:ascii="Times New Roman" w:hAnsi="Times New Roman" w:eastAsia="宋体" w:cs="宋体"/>
          <w:b w:val="0"/>
          <w:bCs w:val="0"/>
          <w:color w:val="auto"/>
          <w:kern w:val="0"/>
          <w:sz w:val="21"/>
          <w:szCs w:val="21"/>
          <w:lang w:val="en-US" w:eastAsia="zh-CN"/>
        </w:rPr>
        <w:t>，而不论证书持有人的国籍。船旗国以外的任何当局，即使作为一种调查措施，也不得命令逮捕或扣押船舶</w:t>
      </w:r>
    </w:p>
    <w:p w14:paraId="5DF46F51">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eastAsia"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4.</w:t>
      </w:r>
      <w:r>
        <w:rPr>
          <w:rFonts w:hint="eastAsia" w:ascii="Times New Roman" w:hAnsi="Times New Roman" w:eastAsia="宋体" w:cs="宋体"/>
          <w:b/>
          <w:bCs/>
          <w:color w:val="auto"/>
          <w:kern w:val="0"/>
          <w:sz w:val="21"/>
          <w:szCs w:val="21"/>
          <w:lang w:val="en-US" w:eastAsia="zh-CN"/>
        </w:rPr>
        <w:t>临检权：</w:t>
      </w:r>
      <w:r>
        <w:rPr>
          <w:rFonts w:hint="eastAsia" w:ascii="Times New Roman" w:hAnsi="Times New Roman" w:eastAsia="宋体" w:cs="宋体"/>
          <w:b w:val="0"/>
          <w:bCs w:val="0"/>
          <w:color w:val="auto"/>
          <w:kern w:val="0"/>
          <w:sz w:val="21"/>
          <w:szCs w:val="21"/>
          <w:lang w:val="en-US" w:eastAsia="zh-CN"/>
        </w:rPr>
        <w:t>又称登临权，是指一国的军舰、军用飞机或其他得到正式授权、有清楚标志可识别的政府船舶或飞机，对公海上的外国船舶（军舰等享有豁免权的除外），有合理根据认为其从事《联合国海洋法公约》所列不法情况时，拥有登船检查及采取相关措施的权利，此时除上述情况外，涉及</w:t>
      </w:r>
      <w:r>
        <w:rPr>
          <w:rFonts w:hint="eastAsia" w:ascii="Times New Roman" w:hAnsi="Times New Roman" w:eastAsia="宋体" w:cs="宋体"/>
          <w:b/>
          <w:bCs/>
          <w:color w:val="C00000"/>
          <w:kern w:val="0"/>
          <w:sz w:val="21"/>
          <w:szCs w:val="21"/>
          <w:lang w:val="en-US" w:eastAsia="zh-CN"/>
        </w:rPr>
        <w:t>船舶无国籍</w:t>
      </w:r>
      <w:r>
        <w:rPr>
          <w:rFonts w:hint="eastAsia" w:ascii="Times New Roman" w:hAnsi="Times New Roman" w:eastAsia="宋体" w:cs="宋体"/>
          <w:b w:val="0"/>
          <w:bCs w:val="0"/>
          <w:color w:val="auto"/>
          <w:kern w:val="0"/>
          <w:sz w:val="21"/>
          <w:szCs w:val="21"/>
          <w:lang w:val="en-US" w:eastAsia="zh-CN"/>
        </w:rPr>
        <w:t>情况。</w:t>
      </w:r>
    </w:p>
    <w:p w14:paraId="2E1DAE11">
      <w:pPr>
        <w:keepNext w:val="0"/>
        <w:keepLines w:val="0"/>
        <w:pageBreakBefore w:val="0"/>
        <w:widowControl w:val="0"/>
        <w:numPr>
          <w:ilvl w:val="0"/>
          <w:numId w:val="0"/>
        </w:numPr>
        <w:kinsoku/>
        <w:wordWrap/>
        <w:overflowPunct/>
        <w:topLinePunct w:val="0"/>
        <w:autoSpaceDE/>
        <w:autoSpaceDN/>
        <w:bidi w:val="0"/>
        <w:adjustRightInd/>
        <w:spacing w:line="364" w:lineRule="exact"/>
        <w:textAlignment w:val="auto"/>
        <w:rPr>
          <w:rFonts w:hint="default" w:ascii="Times New Roman" w:hAnsi="Times New Roman" w:eastAsia="宋体" w:cs="宋体"/>
          <w:b w:val="0"/>
          <w:bCs w:val="0"/>
          <w:color w:val="auto"/>
          <w:kern w:val="0"/>
          <w:sz w:val="21"/>
          <w:szCs w:val="21"/>
          <w:lang w:val="en-US" w:eastAsia="zh-CN"/>
        </w:rPr>
      </w:pPr>
      <w:r>
        <w:rPr>
          <w:rFonts w:hint="eastAsia" w:ascii="Times New Roman" w:hAnsi="Times New Roman" w:eastAsia="宋体" w:cs="宋体"/>
          <w:b w:val="0"/>
          <w:bCs w:val="0"/>
          <w:color w:val="auto"/>
          <w:kern w:val="0"/>
          <w:sz w:val="21"/>
          <w:szCs w:val="21"/>
          <w:lang w:val="en-US" w:eastAsia="zh-CN"/>
        </w:rPr>
        <w:tab/>
      </w:r>
      <w:r>
        <w:rPr>
          <w:rFonts w:hint="eastAsia" w:ascii="Times New Roman" w:hAnsi="Times New Roman" w:eastAsia="宋体" w:cs="宋体"/>
          <w:b w:val="0"/>
          <w:bCs w:val="0"/>
          <w:color w:val="auto"/>
          <w:kern w:val="0"/>
          <w:sz w:val="21"/>
          <w:szCs w:val="21"/>
          <w:lang w:val="en-US" w:eastAsia="zh-CN"/>
        </w:rPr>
        <w:t>5.</w:t>
      </w:r>
      <w:r>
        <w:rPr>
          <w:rFonts w:hint="eastAsia" w:ascii="Times New Roman" w:hAnsi="Times New Roman" w:eastAsia="宋体" w:cs="宋体"/>
          <w:b/>
          <w:bCs/>
          <w:kern w:val="0"/>
          <w:sz w:val="21"/>
          <w:szCs w:val="21"/>
          <w:lang w:val="en-US" w:eastAsia="zh-CN"/>
        </w:rPr>
        <w:t>紧追权：</w:t>
      </w:r>
      <w:r>
        <w:rPr>
          <w:rFonts w:hint="eastAsia" w:ascii="Times New Roman" w:hAnsi="Times New Roman" w:eastAsia="宋体" w:cs="宋体"/>
          <w:b w:val="0"/>
          <w:bCs w:val="0"/>
          <w:color w:val="auto"/>
          <w:kern w:val="0"/>
          <w:sz w:val="21"/>
          <w:szCs w:val="21"/>
          <w:lang w:val="en-US" w:eastAsia="zh-CN"/>
        </w:rPr>
        <w:t>指沿海国拥有对违反其法规并从该国管辖范围内的海域向公海行驶的外国船舶进行追逐的权利。</w:t>
      </w:r>
      <w:r>
        <w:rPr>
          <w:rFonts w:hint="eastAsia" w:ascii="Times New Roman" w:hAnsi="Times New Roman" w:eastAsia="宋体" w:cs="宋体"/>
          <w:kern w:val="0"/>
          <w:sz w:val="21"/>
          <w:szCs w:val="21"/>
          <w:lang w:val="en-US" w:eastAsia="zh-CN"/>
        </w:rPr>
        <w:t>军舰的</w:t>
      </w:r>
      <w:r>
        <w:rPr>
          <w:rFonts w:hint="eastAsia" w:ascii="Times New Roman" w:hAnsi="Times New Roman" w:eastAsia="宋体" w:cs="宋体"/>
          <w:b/>
          <w:bCs/>
          <w:kern w:val="0"/>
          <w:sz w:val="21"/>
          <w:szCs w:val="21"/>
          <w:lang w:val="en-US" w:eastAsia="zh-CN"/>
        </w:rPr>
        <w:t>紧追权</w:t>
      </w:r>
      <w:r>
        <w:rPr>
          <w:rFonts w:hint="eastAsia" w:ascii="Times New Roman" w:hAnsi="Times New Roman" w:eastAsia="宋体" w:cs="宋体"/>
          <w:kern w:val="0"/>
          <w:sz w:val="21"/>
          <w:szCs w:val="21"/>
          <w:lang w:val="en-US" w:eastAsia="zh-CN"/>
        </w:rPr>
        <w:t>始于管辖海域，止于被追船舶进入</w:t>
      </w:r>
      <w:r>
        <w:rPr>
          <w:rFonts w:hint="eastAsia" w:ascii="Times New Roman" w:hAnsi="Times New Roman" w:eastAsia="宋体" w:cs="宋体"/>
          <w:b/>
          <w:bCs/>
          <w:kern w:val="0"/>
          <w:sz w:val="21"/>
          <w:szCs w:val="21"/>
          <w:lang w:val="en-US" w:eastAsia="zh-CN"/>
        </w:rPr>
        <w:t>本国或第三国领海。</w:t>
      </w:r>
      <w:r>
        <w:rPr>
          <w:rFonts w:hint="eastAsia" w:ascii="Times New Roman" w:hAnsi="Times New Roman" w:eastAsia="宋体" w:cs="宋体"/>
          <w:b w:val="0"/>
          <w:bCs w:val="0"/>
          <w:kern w:val="0"/>
          <w:sz w:val="21"/>
          <w:szCs w:val="21"/>
          <w:lang w:val="en-US" w:eastAsia="zh-CN"/>
        </w:rPr>
        <w:t>紧追</w:t>
      </w:r>
      <w:r>
        <w:rPr>
          <w:rFonts w:hint="eastAsia" w:ascii="Times New Roman" w:hAnsi="Times New Roman" w:eastAsia="宋体" w:cs="宋体"/>
          <w:b w:val="0"/>
          <w:bCs w:val="0"/>
          <w:kern w:val="0"/>
          <w:sz w:val="21"/>
          <w:szCs w:val="21"/>
          <w:lang w:val="en-US" w:eastAsia="zh-CN"/>
        </w:rPr>
        <w:t>始于一国内水、领海、毗连区或专属经济区</w:t>
      </w:r>
      <w:r>
        <w:rPr>
          <w:rFonts w:hint="eastAsia" w:ascii="Times New Roman" w:hAnsi="Times New Roman" w:eastAsia="宋体" w:cs="宋体"/>
          <w:b/>
          <w:bCs/>
          <w:kern w:val="0"/>
          <w:sz w:val="21"/>
          <w:szCs w:val="21"/>
          <w:lang w:val="en-US" w:eastAsia="zh-CN"/>
        </w:rPr>
        <w:t>违反该地区规定</w:t>
      </w:r>
      <w:r>
        <w:rPr>
          <w:rFonts w:hint="eastAsia" w:ascii="Times New Roman" w:hAnsi="Times New Roman" w:eastAsia="宋体" w:cs="宋体"/>
          <w:b w:val="0"/>
          <w:bCs w:val="0"/>
          <w:kern w:val="0"/>
          <w:sz w:val="21"/>
          <w:szCs w:val="21"/>
          <w:lang w:val="en-US" w:eastAsia="zh-CN"/>
        </w:rPr>
        <w:t>，</w:t>
      </w:r>
      <w:r>
        <w:rPr>
          <w:rFonts w:hint="eastAsia" w:ascii="Times New Roman" w:hAnsi="Times New Roman" w:eastAsia="宋体" w:cs="宋体"/>
          <w:b w:val="0"/>
          <w:bCs w:val="0"/>
          <w:kern w:val="0"/>
          <w:sz w:val="21"/>
          <w:szCs w:val="21"/>
          <w:lang w:val="en-US" w:eastAsia="zh-CN"/>
        </w:rPr>
        <w:t>可以追入公海中继续进行，直至追上并依法采取措施，但必须是连续不断的。由毗连区开始的紧追限于外国船舶对该区所管制事项有关法律的违背。</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406698C-F53B-4391-B3ED-B6A3D62F087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75484DA-E61B-4BCB-BA07-749EBD9FBAEC}"/>
  </w:font>
  <w:font w:name="汉仪书宋二简">
    <w:altName w:val="宋体"/>
    <w:panose1 w:val="02010609000101010101"/>
    <w:charset w:val="86"/>
    <w:family w:val="modern"/>
    <w:pitch w:val="default"/>
    <w:sig w:usb0="00000000" w:usb1="00000000" w:usb2="00000012" w:usb3="00000000" w:csb0="00040000" w:csb1="00000000"/>
  </w:font>
  <w:font w:name="汉仪中黑简">
    <w:panose1 w:val="02010600000101010101"/>
    <w:charset w:val="86"/>
    <w:family w:val="modern"/>
    <w:pitch w:val="default"/>
    <w:sig w:usb0="00000001" w:usb1="080E0800" w:usb2="00000002" w:usb3="00000000" w:csb0="00040000" w:csb1="00000000"/>
    <w:embedRegular r:id="rId3" w:fontKey="{A082F060-0357-441D-9F13-19923F5C83C6}"/>
  </w:font>
  <w:font w:name="汉仪书宋一简">
    <w:altName w:val="宋体"/>
    <w:panose1 w:val="02010609000101010101"/>
    <w:charset w:val="86"/>
    <w:family w:val="modern"/>
    <w:pitch w:val="default"/>
    <w:sig w:usb0="00000000" w:usb1="00000000" w:usb2="00000012" w:usb3="00000000" w:csb0="00040000" w:csb1="00000000"/>
    <w:embedRegular r:id="rId4" w:fontKey="{C1C2F76A-9DEC-489B-B917-F52E43B875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B14E6">
    <w:pPr>
      <w:tabs>
        <w:tab w:val="center" w:pos="4153"/>
        <w:tab w:val="right" w:pos="8306"/>
      </w:tabs>
      <w:snapToGrid w:val="0"/>
      <w:ind w:firstLine="420"/>
      <w:jc w:val="right"/>
      <w:rPr>
        <w:rFonts w:ascii="Calibri" w:hAnsi="Calibri" w:eastAsia="宋体" w:cs="Times New Roman"/>
        <w:sz w:val="18"/>
        <w:szCs w:val="18"/>
      </w:rPr>
    </w:pPr>
    <w:r>
      <mc:AlternateContent>
        <mc:Choice Requires="wps">
          <w:drawing>
            <wp:anchor distT="0" distB="0" distL="114300" distR="114300" simplePos="0" relativeHeight="251659264" behindDoc="0" locked="0" layoutInCell="1" allowOverlap="1">
              <wp:simplePos x="0" y="0"/>
              <wp:positionH relativeFrom="margin">
                <wp:posOffset>4772025</wp:posOffset>
              </wp:positionH>
              <wp:positionV relativeFrom="paragraph">
                <wp:posOffset>163830</wp:posOffset>
              </wp:positionV>
              <wp:extent cx="763270" cy="258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63270" cy="258445"/>
                      </a:xfrm>
                      <a:prstGeom prst="rect">
                        <a:avLst/>
                      </a:prstGeom>
                      <a:noFill/>
                      <a:ln>
                        <a:noFill/>
                      </a:ln>
                    </wps:spPr>
                    <wps:txbx>
                      <w:txbxContent>
                        <w:sdt>
                          <w:sdtPr>
                            <w:rPr>
                              <w:rFonts w:hint="eastAsia" w:ascii="汉仪书宋一简" w:hAnsi="Calibri" w:eastAsia="汉仪书宋一简" w:cs="Times New Roman"/>
                              <w:szCs w:val="22"/>
                            </w:rPr>
                            <w:id w:val="-1284727970"/>
                          </w:sdtPr>
                          <w:sdtEndPr>
                            <w:rPr>
                              <w:rFonts w:hint="eastAsia" w:ascii="汉仪书宋一简" w:hAnsi="Calibri" w:eastAsia="汉仪书宋一简" w:cs="Times New Roman"/>
                              <w:sz w:val="18"/>
                              <w:szCs w:val="18"/>
                            </w:rPr>
                          </w:sdtEndPr>
                          <w:sdtContent>
                            <w:p w14:paraId="4CD2FAFF">
                              <w:pPr>
                                <w:tabs>
                                  <w:tab w:val="center" w:pos="4153"/>
                                  <w:tab w:val="right" w:pos="8306"/>
                                </w:tabs>
                                <w:snapToGrid w:val="0"/>
                                <w:ind w:firstLine="0" w:firstLineChars="0"/>
                                <w:jc w:val="right"/>
                                <w:rPr>
                                  <w:rFonts w:ascii="汉仪书宋一简" w:hAnsi="Calibri" w:eastAsia="汉仪书宋一简" w:cs="Times New Roman"/>
                                  <w:sz w:val="18"/>
                                  <w:szCs w:val="18"/>
                                </w:rPr>
                              </w:pPr>
                              <w:r>
                                <w:rPr>
                                  <w:rFonts w:hint="eastAsia" w:ascii="汉仪书宋一简" w:hAnsi="Calibri" w:eastAsia="汉仪书宋一简" w:cs="Times New Roman"/>
                                  <w:sz w:val="18"/>
                                  <w:szCs w:val="18"/>
                                </w:rPr>
                                <w:fldChar w:fldCharType="begin"/>
                              </w:r>
                              <w:r>
                                <w:rPr>
                                  <w:rFonts w:hint="eastAsia" w:ascii="汉仪书宋一简" w:hAnsi="Calibri" w:eastAsia="汉仪书宋一简" w:cs="Times New Roman"/>
                                  <w:sz w:val="18"/>
                                  <w:szCs w:val="18"/>
                                </w:rPr>
                                <w:instrText xml:space="preserve"> PAGE   \* MERGEFORMAT </w:instrText>
                              </w:r>
                              <w:r>
                                <w:rPr>
                                  <w:rFonts w:hint="eastAsia" w:ascii="汉仪书宋一简" w:hAnsi="Calibri" w:eastAsia="汉仪书宋一简" w:cs="Times New Roman"/>
                                  <w:sz w:val="18"/>
                                  <w:szCs w:val="18"/>
                                </w:rPr>
                                <w:fldChar w:fldCharType="separate"/>
                              </w:r>
                              <w:r>
                                <w:rPr>
                                  <w:rFonts w:hint="eastAsia" w:ascii="汉仪书宋一简" w:hAnsi="Calibri" w:eastAsia="汉仪书宋一简" w:cs="Times New Roman"/>
                                  <w:sz w:val="18"/>
                                  <w:szCs w:val="18"/>
                                  <w:lang w:val="zh-CN"/>
                                </w:rPr>
                                <w:t>5</w:t>
                              </w:r>
                              <w:r>
                                <w:rPr>
                                  <w:rFonts w:hint="eastAsia" w:ascii="汉仪书宋一简" w:hAnsi="Calibri" w:eastAsia="汉仪书宋一简" w:cs="Times New Roman"/>
                                  <w:sz w:val="18"/>
                                  <w:szCs w:val="18"/>
                                  <w:lang w:val="zh-CN"/>
                                </w:rPr>
                                <w:fldChar w:fldCharType="end"/>
                              </w:r>
                            </w:p>
                          </w:sdtContent>
                        </w:sdt>
                        <w:p w14:paraId="54F3F8BA">
                          <w:pPr>
                            <w:spacing w:line="240" w:lineRule="auto"/>
                            <w:ind w:firstLine="0" w:firstLineChars="0"/>
                            <w:rPr>
                              <w:rFonts w:ascii="汉仪书宋一简" w:hAnsi="Calibri" w:eastAsia="汉仪书宋一简" w:cs="Times New Roman"/>
                              <w:szCs w:val="22"/>
                            </w:rPr>
                          </w:pPr>
                        </w:p>
                      </w:txbxContent>
                    </wps:txbx>
                    <wps:bodyPr lIns="0" tIns="0" rIns="0" bIns="0" upright="1"/>
                  </wps:wsp>
                </a:graphicData>
              </a:graphic>
            </wp:anchor>
          </w:drawing>
        </mc:Choice>
        <mc:Fallback>
          <w:pict>
            <v:shape id="_x0000_s1026" o:spid="_x0000_s1026" o:spt="202" type="#_x0000_t202" style="position:absolute;left:0pt;margin-left:375.75pt;margin-top:12.9pt;height:20.35pt;width:60.1pt;mso-position-horizontal-relative:margin;z-index:251659264;mso-width-relative:page;mso-height-relative:page;" filled="f" stroked="f" coordsize="21600,21600" o:gfxdata="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yNm7k2AAAAAkBAAAPAAAAAAAAAAEAIAAAACIAAABkcnMvZG93bnJldi54bWxQSwEC&#10;FAAUAAAACACHTuJAsj9zSrsBAABxAwAADgAAAAAAAAABACAAAAAnAQAAZHJzL2Uyb0RvYy54bWxQ&#10;SwUGAAAAAAYABgBZAQAAVAUAAAAA&#10;">
              <v:fill on="f" focussize="0,0"/>
              <v:stroke on="f"/>
              <v:imagedata o:title=""/>
              <o:lock v:ext="edit" aspectratio="f"/>
              <v:textbox inset="0mm,0mm,0mm,0mm">
                <w:txbxContent>
                  <w:sdt>
                    <w:sdtPr>
                      <w:rPr>
                        <w:rFonts w:hint="eastAsia" w:ascii="汉仪书宋一简" w:hAnsi="Calibri" w:eastAsia="汉仪书宋一简" w:cs="Times New Roman"/>
                        <w:szCs w:val="22"/>
                      </w:rPr>
                      <w:id w:val="-1284727970"/>
                    </w:sdtPr>
                    <w:sdtEndPr>
                      <w:rPr>
                        <w:rFonts w:hint="eastAsia" w:ascii="汉仪书宋一简" w:hAnsi="Calibri" w:eastAsia="汉仪书宋一简" w:cs="Times New Roman"/>
                        <w:sz w:val="18"/>
                        <w:szCs w:val="18"/>
                      </w:rPr>
                    </w:sdtEndPr>
                    <w:sdtContent>
                      <w:p w14:paraId="4CD2FAFF">
                        <w:pPr>
                          <w:tabs>
                            <w:tab w:val="center" w:pos="4153"/>
                            <w:tab w:val="right" w:pos="8306"/>
                          </w:tabs>
                          <w:snapToGrid w:val="0"/>
                          <w:ind w:firstLine="0" w:firstLineChars="0"/>
                          <w:jc w:val="right"/>
                          <w:rPr>
                            <w:rFonts w:ascii="汉仪书宋一简" w:hAnsi="Calibri" w:eastAsia="汉仪书宋一简" w:cs="Times New Roman"/>
                            <w:sz w:val="18"/>
                            <w:szCs w:val="18"/>
                          </w:rPr>
                        </w:pPr>
                        <w:r>
                          <w:rPr>
                            <w:rFonts w:hint="eastAsia" w:ascii="汉仪书宋一简" w:hAnsi="Calibri" w:eastAsia="汉仪书宋一简" w:cs="Times New Roman"/>
                            <w:sz w:val="18"/>
                            <w:szCs w:val="18"/>
                          </w:rPr>
                          <w:fldChar w:fldCharType="begin"/>
                        </w:r>
                        <w:r>
                          <w:rPr>
                            <w:rFonts w:hint="eastAsia" w:ascii="汉仪书宋一简" w:hAnsi="Calibri" w:eastAsia="汉仪书宋一简" w:cs="Times New Roman"/>
                            <w:sz w:val="18"/>
                            <w:szCs w:val="18"/>
                          </w:rPr>
                          <w:instrText xml:space="preserve"> PAGE   \* MERGEFORMAT </w:instrText>
                        </w:r>
                        <w:r>
                          <w:rPr>
                            <w:rFonts w:hint="eastAsia" w:ascii="汉仪书宋一简" w:hAnsi="Calibri" w:eastAsia="汉仪书宋一简" w:cs="Times New Roman"/>
                            <w:sz w:val="18"/>
                            <w:szCs w:val="18"/>
                          </w:rPr>
                          <w:fldChar w:fldCharType="separate"/>
                        </w:r>
                        <w:r>
                          <w:rPr>
                            <w:rFonts w:hint="eastAsia" w:ascii="汉仪书宋一简" w:hAnsi="Calibri" w:eastAsia="汉仪书宋一简" w:cs="Times New Roman"/>
                            <w:sz w:val="18"/>
                            <w:szCs w:val="18"/>
                            <w:lang w:val="zh-CN"/>
                          </w:rPr>
                          <w:t>5</w:t>
                        </w:r>
                        <w:r>
                          <w:rPr>
                            <w:rFonts w:hint="eastAsia" w:ascii="汉仪书宋一简" w:hAnsi="Calibri" w:eastAsia="汉仪书宋一简" w:cs="Times New Roman"/>
                            <w:sz w:val="18"/>
                            <w:szCs w:val="18"/>
                            <w:lang w:val="zh-CN"/>
                          </w:rPr>
                          <w:fldChar w:fldCharType="end"/>
                        </w:r>
                      </w:p>
                    </w:sdtContent>
                  </w:sdt>
                  <w:p w14:paraId="54F3F8BA">
                    <w:pPr>
                      <w:spacing w:line="240" w:lineRule="auto"/>
                      <w:ind w:firstLine="0" w:firstLineChars="0"/>
                      <w:rPr>
                        <w:rFonts w:ascii="汉仪书宋一简" w:hAnsi="Calibri" w:eastAsia="汉仪书宋一简" w:cs="Times New Roman"/>
                        <w:szCs w:val="22"/>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0F0A4">
    <w:pPr>
      <w:pStyle w:val="2"/>
      <w:pBdr>
        <w:bottom w:val="none" w:color="auto" w:sz="0" w:space="1"/>
      </w:pBdr>
      <w:spacing w:line="207" w:lineRule="exact"/>
      <w:ind w:firstLine="340"/>
      <w:jc w:val="right"/>
      <w:rPr>
        <w:rFonts w:hint="eastAsia"/>
      </w:rPr>
    </w:pPr>
    <w:r>
      <w:rPr>
        <w:rFonts w:ascii="Arial" w:hAnsi="Arial" w:eastAsia="Arial" w:cs="Arial"/>
        <w:color w:val="FF0000"/>
        <w:sz w:val="17"/>
        <w:szCs w:val="17"/>
      </w:rPr>
      <w:t>|</w:t>
    </w:r>
    <w:r>
      <w:rPr>
        <w:rFonts w:ascii="汉仪中黑简" w:hAnsi="汉仪中黑简" w:eastAsia="汉仪中黑简" w:cs="汉仪中黑简"/>
        <w:color w:val="FF0000"/>
        <w:sz w:val="17"/>
        <w:szCs w:val="17"/>
      </w:rPr>
      <w:t xml:space="preserve"> </w:t>
    </w:r>
    <w:r>
      <w:rPr>
        <w:rFonts w:hint="eastAsia" w:ascii="汉仪中黑简" w:hAnsi="汉仪中黑简" w:eastAsia="汉仪中黑简" w:cs="汉仪中黑简"/>
        <w:color w:val="FF0000"/>
        <w:sz w:val="17"/>
        <w:szCs w:val="17"/>
      </w:rPr>
      <w:t xml:space="preserve">国际法 </w:t>
    </w:r>
    <w:r>
      <w:rPr>
        <w:rFonts w:ascii="Arial" w:hAnsi="Arial" w:eastAsia="Arial" w:cs="Arial"/>
        <w:color w:val="FF0000"/>
        <w:sz w:val="17"/>
        <w:szCs w:val="17"/>
      </w:rPr>
      <w:t>|</w:t>
    </w:r>
  </w:p>
  <w:p w14:paraId="0B8C9DCC">
    <w:pPr>
      <w:pStyle w:val="2"/>
      <w:pBdr>
        <w:bottom w:val="none" w:color="auto" w:sz="0" w:space="1"/>
      </w:pBdr>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52FE5"/>
    <w:rsid w:val="01252FE5"/>
    <w:rsid w:val="01C95473"/>
    <w:rsid w:val="0CAC6D36"/>
    <w:rsid w:val="23CF3744"/>
    <w:rsid w:val="38EA4885"/>
    <w:rsid w:val="42F60635"/>
    <w:rsid w:val="45D264C6"/>
    <w:rsid w:val="56E176B5"/>
    <w:rsid w:val="63B23EAD"/>
    <w:rsid w:val="694E29D2"/>
    <w:rsid w:val="6A384DC6"/>
    <w:rsid w:val="7A7D4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 w:val="clear" w:pos="420"/>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3010</Words>
  <Characters>3066</Characters>
  <Lines>0</Lines>
  <Paragraphs>0</Paragraphs>
  <TotalTime>1</TotalTime>
  <ScaleCrop>false</ScaleCrop>
  <LinksUpToDate>false</LinksUpToDate>
  <CharactersWithSpaces>3102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2026-05-24T05:24:00Z</dcterms:created>
  <dc:creator>yjx</dc:creator>
  <cp:lastModifiedBy>yjx</cp:lastModifiedBy>
  <dcterms:modified xsi:type="dcterms:W3CDTF">2026-05-25T14:58:56Z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274ADAECB1A94A54B89E553A72299315_13</vt:lpwstr>
  </property>
  <property fmtid="{D5CDD505-2E9C-101B-9397-08002B2CF9AE}" pid="4" name="KSOTemplateDocerSaveRecord">
    <vt:lpwstr>eyJoZGlkIjoiMzU1Yzg5MTNmMDUxMzE3MmE5ZDg2NDI0NjZlNWY3YjMiLCJ1c2VySWQiOiI3MzExMzM3NjgifQ==</vt:lpwstr>
  </property>
</Properties>
</file>