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A33E346">
      <w:pPr>
        <w:pStyle w:val="style0"/>
        <w:keepNext/>
        <w:keepLines/>
        <w:spacing w:before="120" w:after="120" w:lineRule="auto" w:line="240"/>
        <w:jc w:val="center"/>
        <w:outlineLvl w:val="0"/>
        <w:rPr>
          <w:rFonts w:ascii="宋体" w:cs="等线" w:eastAsia="宋体" w:hAnsi="宋体" w:hint="eastAsia"/>
          <w:b/>
          <w:bCs/>
          <w:kern w:val="44"/>
          <w:sz w:val="18"/>
          <w:szCs w:val="18"/>
        </w:rPr>
      </w:pPr>
      <w:bookmarkStart w:id="0" w:name="_Toc31148"/>
      <w:r>
        <w:rPr>
          <w:rFonts w:ascii="宋体" w:cs="等线" w:eastAsia="宋体" w:hAnsi="宋体" w:hint="eastAsia"/>
          <w:b/>
          <w:bCs/>
          <w:kern w:val="44"/>
          <w:sz w:val="18"/>
          <w:szCs w:val="18"/>
        </w:rPr>
        <w:t>考点9  当代中国法的正式渊源</w:t>
      </w:r>
      <w:bookmarkEnd w:id="0"/>
      <w:r>
        <w:rPr>
          <w:rFonts w:ascii="宋体" w:cs="等线" w:eastAsia="宋体" w:hAnsi="宋体" w:hint="eastAsia"/>
          <w:b/>
          <w:bCs/>
          <w:kern w:val="44"/>
          <w:sz w:val="18"/>
          <w:szCs w:val="18"/>
        </w:rPr>
        <w:t>（20:02-20:16）</w:t>
      </w:r>
    </w:p>
    <w:p w14:paraId="03A29B65">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一、宪法</w:t>
      </w:r>
    </w:p>
    <w:p w14:paraId="1030368E">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宪法是一个宪政国家最根本的法的渊源，具有最高法律效力。</w:t>
      </w:r>
    </w:p>
    <w:p w14:paraId="0020941D">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二、法律</w:t>
      </w:r>
    </w:p>
    <w:p w14:paraId="4D5E8FBB">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仅指狭义的法律，即全国人大及其常委会制定的规范性文件。法律的地位和效力仅次于宪法。</w:t>
      </w:r>
      <w:r>
        <w:rPr>
          <w:rFonts w:ascii="宋体" w:cs="等线" w:eastAsia="宋体" w:hAnsi="宋体" w:hint="eastAsia"/>
          <w:b/>
          <w:bCs/>
          <w:color w:val="ff0000"/>
          <w:sz w:val="18"/>
          <w:szCs w:val="18"/>
        </w:rPr>
        <w:t>（注意绝对法律保留事项）</w:t>
      </w:r>
    </w:p>
    <w:p w14:paraId="3FBCD88B">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三、行政法规</w:t>
      </w:r>
    </w:p>
    <w:p w14:paraId="594A9E1B">
      <w:pPr>
        <w:pStyle w:val="style0"/>
        <w:spacing w:lineRule="auto" w:line="240"/>
        <w:ind w:firstLine="420" w:firstLineChars="200"/>
        <w:rPr>
          <w:rFonts w:ascii="宋体" w:cs="等线" w:eastAsia="宋体" w:hAnsi="宋体" w:hint="eastAsia"/>
          <w:b/>
          <w:bCs/>
          <w:color w:val="ff0000"/>
          <w:sz w:val="18"/>
          <w:szCs w:val="18"/>
        </w:rPr>
      </w:pPr>
      <w:r>
        <w:rPr>
          <w:rFonts w:ascii="宋体" w:cs="等线" w:eastAsia="宋体" w:hAnsi="宋体" w:hint="eastAsia"/>
          <w:sz w:val="18"/>
          <w:szCs w:val="18"/>
        </w:rPr>
        <w:t>行政法规是国务院制定的规范性文件，其</w:t>
      </w:r>
      <w:r>
        <w:rPr>
          <w:rFonts w:ascii="宋体" w:cs="等线" w:eastAsia="宋体" w:hAnsi="宋体" w:hint="eastAsia"/>
          <w:b/>
          <w:bCs/>
          <w:color w:val="ff0000"/>
          <w:sz w:val="18"/>
          <w:szCs w:val="18"/>
        </w:rPr>
        <w:t>法律地位和效力仅次于宪法和法律。</w:t>
      </w:r>
    </w:p>
    <w:p w14:paraId="1EA0498D">
      <w:pPr>
        <w:pStyle w:val="style0"/>
        <w:spacing w:lineRule="auto" w:line="240"/>
        <w:ind w:firstLine="422" w:firstLineChars="200"/>
        <w:outlineLvl w:val="0"/>
        <w:rPr>
          <w:rFonts w:ascii="宋体" w:cs="等线" w:eastAsia="宋体" w:hAnsi="宋体" w:hint="eastAsia"/>
          <w:sz w:val="18"/>
          <w:szCs w:val="18"/>
        </w:rPr>
      </w:pPr>
      <w:r>
        <w:rPr>
          <w:rFonts w:ascii="宋体" w:cs="等线" w:eastAsia="宋体" w:hAnsi="宋体" w:hint="eastAsia"/>
          <w:b/>
          <w:sz w:val="18"/>
          <w:szCs w:val="18"/>
        </w:rPr>
        <w:t>四、部门规章和地方政府规章（</w:t>
      </w:r>
      <w:r>
        <w:rPr>
          <w:rFonts w:ascii="宋体" w:cs="等线" w:eastAsia="宋体" w:hAnsi="宋体" w:hint="eastAsia"/>
          <w:sz w:val="18"/>
          <w:szCs w:val="18"/>
        </w:rPr>
        <w:t>统称行政规章）</w:t>
      </w:r>
    </w:p>
    <w:p w14:paraId="0632749A">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部门规章指</w:t>
      </w:r>
      <w:r>
        <w:rPr>
          <w:rFonts w:ascii="宋体" w:cs="等线" w:eastAsia="宋体" w:hAnsi="宋体" w:hint="eastAsia"/>
          <w:b/>
          <w:bCs/>
          <w:color w:val="ff0000"/>
          <w:sz w:val="18"/>
          <w:szCs w:val="18"/>
        </w:rPr>
        <w:t>国务院各部委、中国人民银行、审计署和具有行政管理职能的直属机构</w:t>
      </w:r>
      <w:r>
        <w:rPr>
          <w:rFonts w:ascii="宋体" w:cs="等线" w:eastAsia="宋体" w:hAnsi="宋体" w:hint="eastAsia"/>
          <w:sz w:val="18"/>
          <w:szCs w:val="18"/>
        </w:rPr>
        <w:t>根据法律和国务院的行政法规、决定、命令在本部门的权限内制定的规章。</w:t>
      </w:r>
    </w:p>
    <w:p w14:paraId="6FE1A02A">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地方政府规章指</w:t>
      </w:r>
      <w:r>
        <w:rPr>
          <w:rFonts w:ascii="宋体" w:cs="等线" w:eastAsia="宋体" w:hAnsi="宋体" w:hint="eastAsia"/>
          <w:b/>
          <w:bCs/>
          <w:color w:val="ff0000"/>
          <w:sz w:val="18"/>
          <w:szCs w:val="18"/>
        </w:rPr>
        <w:t>省、自治区、直辖市和设区的市、自治州的人民政府</w:t>
      </w:r>
      <w:r>
        <w:rPr>
          <w:rFonts w:ascii="宋体" w:cs="等线" w:eastAsia="宋体" w:hAnsi="宋体" w:hint="eastAsia"/>
          <w:sz w:val="18"/>
          <w:szCs w:val="18"/>
        </w:rPr>
        <w:t>根据法律、行政法规和本省、自治区、直辖市的地方性法规制定、发布的规章。</w:t>
      </w:r>
    </w:p>
    <w:p w14:paraId="3DCA4CE4">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五、地方性法规</w:t>
      </w:r>
    </w:p>
    <w:p w14:paraId="27896AA9">
      <w:pPr>
        <w:pStyle w:val="style0"/>
        <w:spacing w:lineRule="auto" w:line="240"/>
        <w:ind w:firstLine="420" w:firstLineChars="200"/>
        <w:rPr>
          <w:rFonts w:ascii="宋体" w:cs="等线" w:eastAsia="宋体" w:hAnsi="宋体" w:hint="eastAsia"/>
          <w:b/>
          <w:sz w:val="18"/>
          <w:szCs w:val="18"/>
        </w:rPr>
      </w:pPr>
      <w:r>
        <w:rPr>
          <w:rFonts w:ascii="宋体" w:cs="等线" w:eastAsia="宋体" w:hAnsi="宋体" w:hint="eastAsia"/>
          <w:bCs/>
          <w:sz w:val="18"/>
          <w:szCs w:val="18"/>
        </w:rPr>
        <w:t>地方性法规</w:t>
      </w:r>
      <w:r>
        <w:rPr>
          <w:rFonts w:ascii="宋体" w:cs="等线" w:eastAsia="宋体" w:hAnsi="宋体" w:hint="eastAsia"/>
          <w:sz w:val="18"/>
          <w:szCs w:val="18"/>
        </w:rPr>
        <w:t>是</w:t>
      </w:r>
      <w:r>
        <w:rPr>
          <w:rFonts w:ascii="宋体" w:cs="等线" w:eastAsia="宋体" w:hAnsi="宋体" w:hint="eastAsia"/>
          <w:b/>
          <w:bCs/>
          <w:color w:val="ff0000"/>
          <w:sz w:val="18"/>
          <w:szCs w:val="18"/>
        </w:rPr>
        <w:t>省、自治区、直辖市以及设区的市和自治州的人民代表大会及其常委会</w:t>
      </w:r>
      <w:r>
        <w:rPr>
          <w:rFonts w:ascii="宋体" w:cs="等线" w:eastAsia="宋体" w:hAnsi="宋体" w:hint="eastAsia"/>
          <w:sz w:val="18"/>
          <w:szCs w:val="18"/>
        </w:rPr>
        <w:t>制定的规范性文件。可以对城乡建设与管理、生态文明建设、历史文化保护、基层治理等方面的事项制定地方性法规。</w:t>
      </w:r>
    </w:p>
    <w:p w14:paraId="5DCD8F9D">
      <w:pPr>
        <w:pStyle w:val="style0"/>
        <w:spacing w:lineRule="auto" w:line="240"/>
        <w:ind w:firstLine="422" w:firstLineChars="200"/>
        <w:rPr>
          <w:rFonts w:ascii="宋体" w:cs="等线" w:eastAsia="宋体" w:hAnsi="宋体" w:hint="eastAsia"/>
          <w:b/>
          <w:sz w:val="18"/>
          <w:szCs w:val="18"/>
        </w:rPr>
      </w:pPr>
      <w:r>
        <w:rPr>
          <w:rFonts w:ascii="宋体" w:cs="等线" w:eastAsia="宋体" w:hAnsi="宋体" w:hint="eastAsia"/>
          <w:b/>
          <w:sz w:val="18"/>
          <w:szCs w:val="18"/>
        </w:rPr>
        <w:t>六、民族自治法规（</w:t>
      </w:r>
      <w:r>
        <w:rPr>
          <w:rFonts w:ascii="宋体" w:cs="等线" w:eastAsia="宋体" w:hAnsi="宋体" w:hint="eastAsia"/>
          <w:sz w:val="18"/>
          <w:szCs w:val="18"/>
        </w:rPr>
        <w:t>自治条例和单行条例）</w:t>
      </w:r>
    </w:p>
    <w:p w14:paraId="320B590C">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（1）立法主体是</w:t>
      </w:r>
      <w:r>
        <w:rPr>
          <w:rFonts w:ascii="宋体" w:cs="等线" w:eastAsia="宋体" w:hAnsi="宋体" w:hint="eastAsia"/>
          <w:bCs/>
          <w:sz w:val="18"/>
          <w:szCs w:val="18"/>
        </w:rPr>
        <w:t>民族自治地方的人民代表大会（自治区、自治州、自治县）</w:t>
      </w:r>
    </w:p>
    <w:p w14:paraId="2F1E7D1E">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（2）分别</w:t>
      </w:r>
      <w:r>
        <w:rPr>
          <w:rFonts w:ascii="宋体" w:cs="等线" w:eastAsia="宋体" w:hAnsi="宋体" w:hint="eastAsia"/>
          <w:bCs/>
          <w:sz w:val="18"/>
          <w:szCs w:val="18"/>
        </w:rPr>
        <w:t>报请全国人大常委会批准、报请省、自治区、直辖市的人大常委会批准后才能生效，且仅在</w:t>
      </w:r>
      <w:r>
        <w:rPr>
          <w:rFonts w:ascii="宋体" w:cs="等线" w:eastAsia="宋体" w:hAnsi="宋体" w:hint="eastAsia"/>
          <w:sz w:val="18"/>
          <w:szCs w:val="18"/>
        </w:rPr>
        <w:t>本自治区域内有效。</w:t>
      </w:r>
    </w:p>
    <w:p w14:paraId="0C3B7937">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七、国际条约、国际惯例</w:t>
      </w:r>
    </w:p>
    <w:p w14:paraId="60A5FA29">
      <w:pPr>
        <w:pStyle w:val="style0"/>
        <w:spacing w:lineRule="auto" w:line="240"/>
        <w:ind w:firstLine="422" w:firstLineChars="200"/>
        <w:rPr>
          <w:rFonts w:ascii="宋体" w:cs="等线" w:eastAsia="宋体" w:hAnsi="宋体" w:hint="eastAsia"/>
          <w:b/>
          <w:bCs/>
          <w:sz w:val="18"/>
          <w:szCs w:val="18"/>
        </w:rPr>
      </w:pPr>
      <w:r>
        <w:rPr>
          <w:rFonts w:ascii="宋体" w:cs="等线" w:eastAsia="宋体" w:hAnsi="宋体" w:hint="eastAsia"/>
          <w:b/>
          <w:bCs/>
          <w:sz w:val="18"/>
          <w:szCs w:val="18"/>
        </w:rPr>
        <w:t>八、其他的法的正式渊源</w:t>
      </w:r>
    </w:p>
    <w:p w14:paraId="31D77697">
      <w:pPr>
        <w:pStyle w:val="style0"/>
        <w:spacing w:lineRule="auto" w:line="240"/>
        <w:ind w:firstLine="420" w:firstLineChars="200"/>
        <w:rPr>
          <w:rFonts w:ascii="宋体" w:cs="等线" w:eastAsia="宋体" w:hAnsi="宋体" w:hint="eastAsia"/>
          <w:b/>
          <w:bCs/>
          <w:color w:val="ff0000"/>
          <w:sz w:val="18"/>
          <w:szCs w:val="18"/>
        </w:rPr>
      </w:pPr>
      <w:r>
        <w:rPr>
          <w:rFonts w:ascii="宋体" w:cs="等线" w:eastAsia="宋体" w:hAnsi="宋体" w:hint="eastAsia"/>
          <w:sz w:val="18"/>
          <w:szCs w:val="18"/>
        </w:rPr>
        <w:t>其他的法的正式渊源包括：1.中央军事委员会制定的军事法规和军内有关方面制定的军事规章；2.国家监察委制定的监察法规；3.特别行政区的法律；4.经济特区经过全国人大授权制定的规范性法律文件。</w:t>
      </w:r>
      <w:r>
        <w:rPr>
          <w:rFonts w:ascii="宋体" w:cs="等线" w:eastAsia="宋体" w:hAnsi="宋体" w:hint="eastAsia"/>
          <w:b/>
          <w:bCs/>
          <w:color w:val="ff0000"/>
          <w:sz w:val="18"/>
          <w:szCs w:val="18"/>
        </w:rPr>
        <w:t>（需要注意港澳基本法属于法律，不属于特别行政区的法律）</w:t>
      </w:r>
    </w:p>
    <w:p w14:paraId="6BC5E73D">
      <w:pPr>
        <w:pStyle w:val="style0"/>
        <w:spacing w:lineRule="auto" w:line="240"/>
        <w:ind w:firstLine="422" w:firstLineChars="200"/>
        <w:rPr>
          <w:rFonts w:ascii="宋体" w:cs="等线" w:eastAsia="宋体" w:hAnsi="宋体" w:hint="eastAsia"/>
          <w:b/>
          <w:bCs/>
          <w:color w:val="ff0000"/>
          <w:sz w:val="18"/>
          <w:szCs w:val="18"/>
        </w:rPr>
      </w:pPr>
      <w:r>
        <w:rPr>
          <w:rFonts w:ascii="宋体" w:cs="等线" w:eastAsia="宋体" w:hAnsi="宋体" w:hint="eastAsia"/>
          <w:b/>
          <w:bCs/>
          <w:color w:val="ff0000"/>
          <w:sz w:val="18"/>
          <w:szCs w:val="18"/>
        </w:rPr>
        <w:t>判断法的正式渊源的具体类别，主要看立法主体。</w:t>
      </w:r>
    </w:p>
    <w:bookmarkStart w:id="1" w:name="_Toc1095"/>
    <w:p w14:paraId="31ED5E17">
      <w:pPr>
        <w:pStyle w:val="style0"/>
        <w:keepNext/>
        <w:keepLines/>
        <w:spacing w:before="120" w:after="12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考点10  当代中国法的非正式渊源</w:t>
      </w:r>
      <w:bookmarkEnd w:id="1"/>
      <w:r>
        <w:rPr>
          <w:rFonts w:ascii="宋体" w:cs="等线" w:eastAsia="宋体" w:hAnsi="宋体" w:hint="eastAsia"/>
          <w:b/>
          <w:bCs/>
          <w:kern w:val="44"/>
          <w:sz w:val="18"/>
          <w:szCs w:val="18"/>
        </w:rPr>
        <w:t>（20:16-20:30）</w:t>
      </w:r>
    </w:p>
    <w:p w14:paraId="1D4795C1">
      <w:pPr>
        <w:pStyle w:val="style0"/>
        <w:spacing w:lineRule="auto" w:line="240"/>
        <w:ind w:firstLine="422" w:firstLineChars="200"/>
        <w:outlineLvl w:val="0"/>
        <w:rPr>
          <w:rFonts w:ascii="宋体" w:cs="等线" w:eastAsia="宋体" w:hAnsi="宋体" w:hint="eastAsia"/>
          <w:b/>
          <w:color w:val="000000"/>
          <w:sz w:val="18"/>
          <w:szCs w:val="18"/>
        </w:rPr>
      </w:pPr>
      <w:r>
        <w:rPr>
          <w:rFonts w:ascii="宋体" w:cs="等线" w:eastAsia="宋体" w:hAnsi="宋体" w:hint="eastAsia"/>
          <w:b/>
          <w:color w:val="000000"/>
          <w:sz w:val="18"/>
          <w:szCs w:val="18"/>
        </w:rPr>
        <w:t>一、习惯</w:t>
      </w:r>
    </w:p>
    <w:p w14:paraId="242F7817">
      <w:pPr>
        <w:pStyle w:val="style0"/>
        <w:spacing w:lineRule="auto" w:line="240"/>
        <w:ind w:firstLine="420" w:firstLineChars="200"/>
        <w:rPr>
          <w:rFonts w:ascii="宋体" w:cs="仿宋" w:eastAsia="宋体" w:hAnsi="宋体" w:hint="eastAsia"/>
          <w:sz w:val="18"/>
          <w:szCs w:val="18"/>
        </w:rPr>
      </w:pPr>
      <w:r>
        <w:rPr>
          <w:rFonts w:ascii="宋体" w:cs="仿宋" w:eastAsia="宋体" w:hAnsi="宋体" w:hint="eastAsia"/>
          <w:sz w:val="18"/>
          <w:szCs w:val="18"/>
        </w:rPr>
        <w:t>只有不违背法律，并且不违背公序良俗的习惯才可以作为裁判依据。</w:t>
      </w:r>
    </w:p>
    <w:p w14:paraId="4C1ED8E1">
      <w:pPr>
        <w:pStyle w:val="style0"/>
        <w:spacing w:lineRule="auto" w:line="240"/>
        <w:ind w:firstLine="422" w:firstLineChars="200"/>
        <w:rPr>
          <w:rFonts w:ascii="宋体" w:cs="等线" w:eastAsia="宋体" w:hAnsi="宋体" w:hint="eastAsia"/>
          <w:b/>
          <w:sz w:val="18"/>
          <w:szCs w:val="18"/>
        </w:rPr>
      </w:pPr>
      <w:r>
        <w:rPr>
          <w:rFonts w:ascii="宋体" w:cs="等线" w:eastAsia="宋体" w:hAnsi="宋体" w:hint="eastAsia"/>
          <w:b/>
          <w:sz w:val="18"/>
          <w:szCs w:val="18"/>
        </w:rPr>
        <w:t>二、判例（或指导性案例）</w:t>
      </w:r>
    </w:p>
    <w:p w14:paraId="19BDB0CD">
      <w:pPr>
        <w:pStyle w:val="style0"/>
        <w:spacing w:lineRule="auto" w:line="240"/>
        <w:ind w:firstLine="420"/>
        <w:rPr>
          <w:rFonts w:ascii="宋体" w:cs="仿宋" w:eastAsia="宋体" w:hAnsi="宋体" w:hint="eastAsia"/>
          <w:color w:val="000000"/>
          <w:sz w:val="18"/>
          <w:szCs w:val="18"/>
        </w:rPr>
      </w:pPr>
      <w:r>
        <w:rPr>
          <w:rFonts w:ascii="宋体" w:cs="仿宋" w:eastAsia="宋体" w:hAnsi="宋体" w:hint="eastAsia"/>
          <w:color w:val="000000"/>
          <w:sz w:val="18"/>
          <w:szCs w:val="18"/>
        </w:rPr>
        <w:t>最高人民法院发布的指导性案例，各级人民法院审判类似案件时应当参照。</w:t>
      </w:r>
    </w:p>
    <w:p w14:paraId="1D34786C">
      <w:pPr>
        <w:pStyle w:val="style0"/>
        <w:spacing w:lineRule="auto" w:line="240"/>
        <w:ind w:firstLine="420"/>
        <w:rPr>
          <w:rFonts w:ascii="宋体" w:cs="仿宋" w:eastAsia="宋体" w:hAnsi="宋体" w:hint="eastAsia"/>
          <w:b/>
          <w:bCs/>
          <w:color w:val="ff0000"/>
          <w:sz w:val="18"/>
          <w:szCs w:val="18"/>
        </w:rPr>
      </w:pPr>
      <w:r>
        <w:rPr>
          <w:rFonts w:ascii="宋体" w:cs="仿宋" w:eastAsia="宋体" w:hAnsi="宋体" w:hint="eastAsia"/>
          <w:color w:val="000000"/>
          <w:sz w:val="18"/>
          <w:szCs w:val="18"/>
        </w:rPr>
        <w:t>第一，</w:t>
      </w:r>
      <w:r>
        <w:rPr>
          <w:rFonts w:ascii="宋体" w:cs="仿宋" w:eastAsia="宋体" w:hAnsi="宋体" w:hint="eastAsia"/>
          <w:b/>
          <w:bCs/>
          <w:color w:val="ff0000"/>
          <w:sz w:val="18"/>
          <w:szCs w:val="18"/>
        </w:rPr>
        <w:t>指导性案例是当代中国的一种非正式的法的渊源；</w:t>
      </w:r>
    </w:p>
    <w:p w14:paraId="00FC99CF">
      <w:pPr>
        <w:pStyle w:val="style0"/>
        <w:spacing w:lineRule="auto" w:line="240"/>
        <w:ind w:firstLine="420"/>
        <w:rPr>
          <w:rFonts w:ascii="宋体" w:cs="仿宋" w:eastAsia="宋体" w:hAnsi="宋体" w:hint="eastAsia"/>
          <w:color w:val="000000"/>
          <w:sz w:val="18"/>
          <w:szCs w:val="18"/>
        </w:rPr>
      </w:pPr>
      <w:r>
        <w:rPr>
          <w:rFonts w:ascii="宋体" w:cs="仿宋" w:eastAsia="宋体" w:hAnsi="宋体" w:hint="eastAsia"/>
          <w:color w:val="000000"/>
          <w:sz w:val="18"/>
          <w:szCs w:val="18"/>
        </w:rPr>
        <w:t>第二，在法院系统，指导性案例只能由最高人民法院发布。</w:t>
      </w:r>
    </w:p>
    <w:p w14:paraId="6298EC66">
      <w:pPr>
        <w:pStyle w:val="style0"/>
        <w:spacing w:lineRule="auto" w:line="240"/>
        <w:ind w:firstLine="420"/>
        <w:rPr>
          <w:rFonts w:ascii="宋体" w:cs="仿宋" w:eastAsia="宋体" w:hAnsi="宋体" w:hint="eastAsia"/>
          <w:color w:val="000000"/>
          <w:sz w:val="18"/>
          <w:szCs w:val="18"/>
        </w:rPr>
      </w:pPr>
      <w:r>
        <w:rPr>
          <w:rFonts w:ascii="宋体" w:cs="仿宋" w:eastAsia="宋体" w:hAnsi="宋体" w:hint="eastAsia"/>
          <w:color w:val="000000"/>
          <w:sz w:val="18"/>
          <w:szCs w:val="18"/>
        </w:rPr>
        <w:t>第三，“应当参照”对法官具有约束力，但不同于法律上的强约束力。</w:t>
      </w:r>
    </w:p>
    <w:p w14:paraId="1FB1E0D8">
      <w:pPr>
        <w:pStyle w:val="style0"/>
        <w:spacing w:lineRule="auto" w:line="240"/>
        <w:ind w:firstLine="422" w:firstLineChars="200"/>
        <w:rPr>
          <w:rFonts w:ascii="宋体" w:cs="等线" w:eastAsia="宋体" w:hAnsi="宋体" w:hint="eastAsia"/>
          <w:b/>
          <w:color w:val="000000"/>
          <w:sz w:val="18"/>
          <w:szCs w:val="18"/>
        </w:rPr>
      </w:pPr>
      <w:r>
        <w:rPr>
          <w:rFonts w:ascii="宋体" w:cs="等线" w:eastAsia="宋体" w:hAnsi="宋体" w:hint="eastAsia"/>
          <w:b/>
          <w:color w:val="000000"/>
          <w:sz w:val="18"/>
          <w:szCs w:val="18"/>
        </w:rPr>
        <w:t>三、政策</w:t>
      </w:r>
    </w:p>
    <w:p w14:paraId="030D60D6">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1.政策在宪法和法律中加以确认，被整合到法律中后成为当代中国法的正式渊源，成为法定政策或法律政策。</w:t>
      </w:r>
      <w:r>
        <w:rPr>
          <w:rFonts w:ascii="宋体" w:cs="等线" w:eastAsia="宋体" w:hAnsi="宋体" w:hint="eastAsia"/>
          <w:b/>
          <w:sz w:val="18"/>
          <w:szCs w:val="18"/>
        </w:rPr>
        <w:t>注意：</w:t>
      </w:r>
      <w:r>
        <w:rPr>
          <w:rFonts w:ascii="宋体" w:cs="仿宋" w:eastAsia="宋体" w:hAnsi="宋体" w:hint="eastAsia"/>
          <w:sz w:val="18"/>
          <w:szCs w:val="18"/>
        </w:rPr>
        <w:t>作为法的非正式渊源的政策指那些没有被整合到法律中的政策。</w:t>
      </w:r>
    </w:p>
    <w:p w14:paraId="04AF4A41">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2.作为非正式渊源的中国共产党的政策，</w:t>
      </w:r>
      <w:r>
        <w:rPr>
          <w:rFonts w:ascii="宋体" w:cs="等线" w:eastAsia="宋体" w:hAnsi="宋体" w:hint="eastAsia"/>
          <w:b/>
          <w:color w:val="ff0000"/>
          <w:sz w:val="18"/>
          <w:szCs w:val="18"/>
        </w:rPr>
        <w:t>不包括纯粹关于党自身的行动计划的政策。</w:t>
      </w:r>
    </w:p>
    <w:bookmarkStart w:id="2" w:name="_Toc23426"/>
    <w:p w14:paraId="15D2D8ED">
      <w:pPr>
        <w:pStyle w:val="style0"/>
        <w:keepNext/>
        <w:keepLines/>
        <w:spacing w:before="120" w:after="12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考点11  正式的法的渊源的效力原则</w:t>
      </w:r>
      <w:bookmarkEnd w:id="2"/>
      <w:r>
        <w:rPr>
          <w:rFonts w:ascii="宋体" w:cs="等线" w:eastAsia="宋体" w:hAnsi="宋体" w:hint="eastAsia"/>
          <w:b/>
          <w:bCs/>
          <w:kern w:val="44"/>
          <w:sz w:val="18"/>
          <w:szCs w:val="18"/>
        </w:rPr>
        <w:t>（20:41-20:56）</w:t>
      </w:r>
    </w:p>
    <w:p w14:paraId="52830206">
      <w:pPr>
        <w:pStyle w:val="style0"/>
        <w:spacing w:lineRule="auto" w:line="240"/>
        <w:ind w:firstLine="422" w:firstLineChars="200"/>
        <w:rPr>
          <w:rFonts w:ascii="宋体" w:cs="仿宋" w:eastAsia="宋体" w:hAnsi="宋体" w:hint="eastAsia"/>
          <w:b/>
          <w:bCs/>
          <w:color w:val="ff0000"/>
          <w:sz w:val="18"/>
          <w:szCs w:val="18"/>
        </w:rPr>
      </w:pPr>
      <w:r>
        <w:rPr>
          <w:rFonts w:ascii="宋体" w:cs="仿宋" w:eastAsia="宋体" w:hAnsi="宋体" w:hint="eastAsia"/>
          <w:b/>
          <w:bCs/>
          <w:color w:val="ff0000"/>
          <w:sz w:val="18"/>
          <w:szCs w:val="18"/>
        </w:rPr>
        <w:t>判断法的效力位阶，主要看制定机关，即立法主体。制定机关在国家机关体系中的地位越高，其制定的规范性法律文件的效力也越高。</w:t>
      </w:r>
    </w:p>
    <w:p w14:paraId="78631D94">
      <w:pPr>
        <w:pStyle w:val="style179"/>
        <w:numPr>
          <w:ilvl w:val="0"/>
          <w:numId w:val="1"/>
        </w:numPr>
        <w:spacing w:lineRule="auto" w:line="240"/>
        <w:ind w:firstLineChars="0"/>
        <w:rPr>
          <w:rFonts w:ascii="宋体" w:cs="仿宋" w:eastAsia="宋体" w:hAnsi="宋体" w:hint="eastAsia"/>
          <w:b/>
          <w:bCs/>
          <w:sz w:val="18"/>
          <w:szCs w:val="18"/>
        </w:rPr>
      </w:pPr>
      <w:r>
        <w:rPr>
          <w:rFonts w:ascii="宋体" w:cs="仿宋" w:eastAsia="宋体" w:hAnsi="宋体" w:hint="eastAsia"/>
          <w:b/>
          <w:bCs/>
          <w:sz w:val="18"/>
          <w:szCs w:val="18"/>
        </w:rPr>
        <w:t>不同位阶的法的渊源之间的效力冲突的解决原则</w:t>
      </w:r>
    </w:p>
    <w:p w14:paraId="2ECD74C1">
      <w:pPr>
        <w:pStyle w:val="style0"/>
        <w:spacing w:lineRule="auto" w:line="240"/>
        <w:ind w:firstLine="420" w:firstLineChars="200"/>
        <w:rPr>
          <w:rFonts w:ascii="宋体" w:eastAsia="宋体" w:hAnsi="宋体" w:hint="eastAsia"/>
          <w:sz w:val="18"/>
          <w:szCs w:val="18"/>
        </w:rPr>
      </w:pPr>
      <w:r>
        <w:rPr>
          <w:rFonts w:ascii="宋体" w:eastAsia="宋体" w:hAnsi="宋体" w:hint="eastAsia"/>
          <w:sz w:val="18"/>
          <w:szCs w:val="18"/>
        </w:rPr>
        <w:t>宪法至上原则；法律高于行政法规原则；法规高于规章原则；行政法规高于地方性法规原则</w:t>
      </w:r>
    </w:p>
    <w:p w14:paraId="7BF25405">
      <w:pPr>
        <w:pStyle w:val="style179"/>
        <w:numPr>
          <w:ilvl w:val="0"/>
          <w:numId w:val="1"/>
        </w:numPr>
        <w:spacing w:lineRule="auto" w:line="240"/>
        <w:ind w:firstLineChars="0"/>
        <w:rPr>
          <w:rFonts w:ascii="宋体" w:cs="仿宋" w:eastAsia="宋体" w:hAnsi="宋体" w:hint="eastAsia"/>
          <w:b/>
          <w:bCs/>
          <w:sz w:val="18"/>
          <w:szCs w:val="18"/>
        </w:rPr>
      </w:pPr>
      <w:r>
        <w:rPr>
          <w:rFonts w:ascii="宋体" w:cs="仿宋" w:eastAsia="宋体" w:hAnsi="宋体" w:hint="eastAsia"/>
          <w:b/>
          <w:bCs/>
          <w:sz w:val="18"/>
          <w:szCs w:val="18"/>
        </w:rPr>
        <w:t>同一位阶的法的渊源之间的效力冲突的解决原则</w:t>
      </w:r>
    </w:p>
    <w:p w14:paraId="62433EEB">
      <w:pPr>
        <w:pStyle w:val="style0"/>
        <w:spacing w:lineRule="auto" w:line="240"/>
        <w:ind w:firstLine="420" w:firstLineChars="200"/>
        <w:rPr>
          <w:rFonts w:ascii="宋体" w:cs="宋体" w:eastAsia="宋体" w:hAnsi="宋体" w:hint="eastAsia"/>
          <w:sz w:val="18"/>
          <w:szCs w:val="18"/>
        </w:rPr>
      </w:pPr>
      <w:r>
        <w:rPr>
          <w:rFonts w:ascii="宋体" w:cs="仿宋" w:eastAsia="宋体" w:hAnsi="宋体" w:hint="eastAsia"/>
          <w:sz w:val="18"/>
          <w:szCs w:val="18"/>
        </w:rPr>
        <w:t>1</w:t>
      </w:r>
      <w:r>
        <w:rPr>
          <w:rFonts w:ascii="宋体" w:cs="仿宋" w:eastAsia="宋体" w:hAnsi="宋体"/>
          <w:sz w:val="18"/>
          <w:szCs w:val="18"/>
        </w:rPr>
        <w:t>.</w:t>
      </w:r>
      <w:r>
        <w:rPr>
          <w:rFonts w:ascii="宋体" w:cs="仿宋" w:eastAsia="宋体" w:hAnsi="宋体" w:hint="eastAsia"/>
          <w:sz w:val="18"/>
          <w:szCs w:val="18"/>
        </w:rPr>
        <w:t>特别法优先一般法；</w:t>
      </w:r>
      <w:r>
        <w:rPr>
          <w:rFonts w:ascii="宋体" w:cs="宋体" w:eastAsia="宋体" w:hAnsi="宋体" w:hint="eastAsia"/>
          <w:sz w:val="18"/>
          <w:szCs w:val="18"/>
        </w:rPr>
        <w:t>新法优于旧法；</w:t>
      </w:r>
    </w:p>
    <w:p w14:paraId="278E2121">
      <w:pPr>
        <w:pStyle w:val="style0"/>
        <w:spacing w:lineRule="auto" w:line="240"/>
        <w:ind w:firstLine="420" w:firstLineChars="200"/>
        <w:rPr>
          <w:rFonts w:ascii="宋体" w:cs="宋体" w:eastAsia="宋体" w:hAnsi="宋体" w:hint="eastAsia"/>
          <w:sz w:val="18"/>
          <w:szCs w:val="18"/>
        </w:rPr>
      </w:pPr>
      <w:r>
        <w:rPr>
          <w:rFonts w:ascii="宋体" w:cs="宋体" w:eastAsia="宋体" w:hAnsi="宋体" w:hint="eastAsia"/>
          <w:sz w:val="18"/>
          <w:szCs w:val="18"/>
        </w:rPr>
        <w:t>2</w:t>
      </w:r>
      <w:r>
        <w:rPr>
          <w:rFonts w:ascii="宋体" w:cs="宋体" w:eastAsia="宋体" w:hAnsi="宋体"/>
          <w:sz w:val="18"/>
          <w:szCs w:val="18"/>
        </w:rPr>
        <w:t>.</w:t>
      </w:r>
      <w:r>
        <w:rPr>
          <w:rFonts w:ascii="宋体" w:cs="宋体" w:eastAsia="宋体" w:hAnsi="宋体" w:hint="eastAsia"/>
          <w:sz w:val="18"/>
          <w:szCs w:val="18"/>
        </w:rPr>
        <w:t>同一机关制定的新的一般规定与旧的特别规定不一致时，由制定机关裁决：法律——全国人大常务委员会；行政法规——国务院；地方性法规、规章——分别由其制定机关</w:t>
      </w:r>
    </w:p>
    <w:p w14:paraId="72419F02">
      <w:pPr>
        <w:pStyle w:val="style179"/>
        <w:numPr>
          <w:ilvl w:val="0"/>
          <w:numId w:val="1"/>
        </w:numPr>
        <w:spacing w:lineRule="auto" w:line="240"/>
        <w:ind w:firstLineChars="0"/>
        <w:rPr>
          <w:rFonts w:ascii="宋体" w:cs="宋体" w:eastAsia="宋体" w:hAnsi="宋体" w:hint="eastAsia"/>
          <w:b/>
          <w:sz w:val="18"/>
          <w:szCs w:val="18"/>
        </w:rPr>
      </w:pPr>
      <w:r>
        <w:rPr>
          <w:rFonts w:ascii="宋体" w:cs="宋体" w:eastAsia="宋体" w:hAnsi="宋体" w:hint="eastAsia"/>
          <w:b/>
          <w:sz w:val="18"/>
          <w:szCs w:val="18"/>
        </w:rPr>
        <w:t>位阶出现交叉时法的渊源之间效力冲突的解决原则</w:t>
      </w:r>
    </w:p>
    <w:p w14:paraId="2A0B4B2A">
      <w:pPr>
        <w:pStyle w:val="style0"/>
        <w:spacing w:lineRule="auto" w:line="240"/>
        <w:ind w:firstLine="420" w:firstLineChars="200"/>
        <w:rPr>
          <w:rFonts w:ascii="宋体" w:cs="宋体" w:eastAsia="宋体" w:hAnsi="宋体" w:hint="eastAsia"/>
          <w:b/>
          <w:color w:val="ff0000"/>
          <w:sz w:val="18"/>
          <w:szCs w:val="18"/>
        </w:rPr>
      </w:pPr>
      <w:r>
        <w:rPr>
          <w:rFonts w:ascii="宋体" w:cs="宋体" w:eastAsia="宋体" w:hAnsi="宋体" w:hint="eastAsia"/>
          <w:sz w:val="18"/>
          <w:szCs w:val="18"/>
        </w:rPr>
        <w:t>1</w:t>
      </w:r>
      <w:r>
        <w:rPr>
          <w:rFonts w:ascii="宋体" w:cs="宋体" w:eastAsia="宋体" w:hAnsi="宋体"/>
          <w:sz w:val="18"/>
          <w:szCs w:val="18"/>
        </w:rPr>
        <w:t>.</w:t>
      </w:r>
      <w:r>
        <w:rPr>
          <w:rFonts w:ascii="宋体" w:cs="宋体" w:eastAsia="宋体" w:hAnsi="宋体" w:hint="eastAsia"/>
          <w:b/>
          <w:sz w:val="18"/>
          <w:szCs w:val="18"/>
        </w:rPr>
        <w:t xml:space="preserve"> </w:t>
      </w:r>
      <w:r>
        <w:rPr>
          <w:rFonts w:ascii="宋体" w:cs="宋体" w:eastAsia="宋体" w:hAnsi="宋体" w:hint="eastAsia"/>
          <w:bCs/>
          <w:sz w:val="18"/>
          <w:szCs w:val="18"/>
        </w:rPr>
        <w:t>地方性法规与部门规章之间的冲突，由国务院提出意见，国务院认为应当适用地方性法规的，应当决定在该地方适用地方性法规的规定；</w:t>
      </w:r>
      <w:r>
        <w:rPr>
          <w:rFonts w:ascii="宋体" w:cs="宋体" w:eastAsia="宋体" w:hAnsi="宋体" w:hint="eastAsia"/>
          <w:b/>
          <w:color w:val="ff0000"/>
          <w:sz w:val="18"/>
          <w:szCs w:val="18"/>
        </w:rPr>
        <w:t>认为应当适用部门规章的，应当提请全国人民代表大会常务委员会裁决</w:t>
      </w:r>
    </w:p>
    <w:p w14:paraId="47F85197">
      <w:pPr>
        <w:pStyle w:val="style0"/>
        <w:spacing w:lineRule="auto" w:line="240"/>
        <w:ind w:firstLine="420" w:firstLineChars="200"/>
        <w:rPr>
          <w:rFonts w:ascii="宋体" w:cs="宋体" w:eastAsia="宋体" w:hAnsi="宋体" w:hint="eastAsia"/>
          <w:bCs/>
          <w:sz w:val="18"/>
          <w:szCs w:val="18"/>
        </w:rPr>
      </w:pPr>
      <w:r>
        <w:rPr>
          <w:rFonts w:ascii="宋体" w:cs="宋体" w:eastAsia="宋体" w:hAnsi="宋体" w:hint="eastAsia"/>
          <w:bCs/>
          <w:sz w:val="18"/>
          <w:szCs w:val="18"/>
        </w:rPr>
        <w:t>2</w:t>
      </w:r>
      <w:r>
        <w:rPr>
          <w:rFonts w:ascii="宋体" w:cs="宋体" w:eastAsia="宋体" w:hAnsi="宋体"/>
          <w:bCs/>
          <w:sz w:val="18"/>
          <w:szCs w:val="18"/>
        </w:rPr>
        <w:t>.</w:t>
      </w:r>
      <w:r>
        <w:rPr>
          <w:rFonts w:ascii="宋体" w:cs="宋体" w:eastAsia="宋体" w:hAnsi="宋体" w:hint="eastAsia"/>
          <w:bCs/>
          <w:sz w:val="18"/>
          <w:szCs w:val="18"/>
        </w:rPr>
        <w:t xml:space="preserve"> 部门规章之间、部门规章与地方政府规章之间的冲突，由国务院裁决</w:t>
      </w:r>
    </w:p>
    <w:p w14:paraId="44275932">
      <w:pPr>
        <w:pStyle w:val="style0"/>
        <w:spacing w:lineRule="auto" w:line="240"/>
        <w:ind w:left="422"/>
        <w:rPr>
          <w:rFonts w:ascii="宋体" w:cs="宋体" w:eastAsia="宋体" w:hAnsi="宋体" w:hint="eastAsia"/>
          <w:bCs/>
          <w:sz w:val="18"/>
          <w:szCs w:val="18"/>
        </w:rPr>
      </w:pPr>
      <w:r>
        <w:rPr>
          <w:rFonts w:ascii="宋体" w:cs="宋体" w:eastAsia="宋体" w:hAnsi="宋体" w:hint="eastAsia"/>
          <w:bCs/>
          <w:sz w:val="18"/>
          <w:szCs w:val="18"/>
        </w:rPr>
        <w:t>3</w:t>
      </w:r>
      <w:r>
        <w:rPr>
          <w:rFonts w:ascii="宋体" w:cs="宋体" w:eastAsia="宋体" w:hAnsi="宋体"/>
          <w:bCs/>
          <w:sz w:val="18"/>
          <w:szCs w:val="18"/>
        </w:rPr>
        <w:t>.</w:t>
      </w:r>
      <w:r>
        <w:rPr>
          <w:rFonts w:ascii="宋体" w:cs="宋体" w:eastAsia="宋体" w:hAnsi="宋体" w:hint="eastAsia"/>
          <w:bCs/>
          <w:sz w:val="18"/>
          <w:szCs w:val="18"/>
        </w:rPr>
        <w:t xml:space="preserve"> 根据授权制定的法规与法律规定冲突，由全国人民代表大会常务委员会裁决</w:t>
      </w:r>
    </w:p>
    <w:bookmarkStart w:id="3" w:name="_Toc9750"/>
    <w:p w14:paraId="2996F507">
      <w:pPr>
        <w:pStyle w:val="style0"/>
        <w:keepNext/>
        <w:keepLines/>
        <w:spacing w:before="120" w:after="12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考点12  法的效力范围</w:t>
      </w:r>
      <w:bookmarkEnd w:id="3"/>
      <w:r>
        <w:rPr>
          <w:rFonts w:ascii="宋体" w:cs="等线" w:eastAsia="宋体" w:hAnsi="宋体" w:hint="eastAsia"/>
          <w:b/>
          <w:bCs/>
          <w:kern w:val="44"/>
          <w:sz w:val="18"/>
          <w:szCs w:val="18"/>
        </w:rPr>
        <w:t>（20:56-21:15）</w:t>
      </w:r>
    </w:p>
    <w:p w14:paraId="1F42E7D5">
      <w:pPr>
        <w:pStyle w:val="style0"/>
        <w:spacing w:lineRule="auto" w:line="240"/>
        <w:ind w:firstLine="422" w:firstLineChars="200"/>
        <w:rPr>
          <w:rFonts w:ascii="宋体" w:cs="宋体" w:eastAsia="宋体" w:hAnsi="宋体" w:hint="eastAsia"/>
          <w:b/>
          <w:bCs/>
          <w:sz w:val="18"/>
          <w:szCs w:val="18"/>
        </w:rPr>
      </w:pPr>
      <w:r>
        <w:rPr>
          <w:rFonts w:ascii="宋体" w:cs="宋体" w:eastAsia="宋体" w:hAnsi="宋体" w:hint="eastAsia"/>
          <w:b/>
          <w:bCs/>
          <w:sz w:val="18"/>
          <w:szCs w:val="18"/>
        </w:rPr>
        <w:t>一、规范性法律文件及其效力范围</w:t>
      </w:r>
    </w:p>
    <w:p w14:paraId="64C4AB7F">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规范性法律文件是一种总称，包括宪法、法律、各类法规和规章等。</w:t>
      </w:r>
    </w:p>
    <w:p w14:paraId="4939B42B">
      <w:pPr>
        <w:pStyle w:val="style0"/>
        <w:spacing w:lineRule="auto" w:line="240"/>
        <w:ind w:firstLine="422" w:firstLineChars="200"/>
        <w:rPr>
          <w:rFonts w:ascii="宋体" w:cs="仿宋" w:eastAsia="宋体" w:hAnsi="宋体" w:hint="eastAsia"/>
          <w:b/>
          <w:bCs/>
          <w:color w:val="ff0000"/>
          <w:sz w:val="18"/>
          <w:szCs w:val="18"/>
        </w:rPr>
      </w:pPr>
      <w:r>
        <w:rPr>
          <w:rFonts w:ascii="宋体" w:cs="等线" w:eastAsia="宋体" w:hAnsi="宋体" w:hint="eastAsia"/>
          <w:b/>
          <w:sz w:val="18"/>
          <w:szCs w:val="18"/>
        </w:rPr>
        <w:t>特别提醒：</w:t>
      </w:r>
      <w:r>
        <w:rPr>
          <w:rFonts w:ascii="宋体" w:cs="仿宋" w:eastAsia="宋体" w:hAnsi="宋体" w:hint="eastAsia"/>
          <w:b/>
          <w:bCs/>
          <w:color w:val="ff0000"/>
          <w:sz w:val="18"/>
          <w:szCs w:val="18"/>
        </w:rPr>
        <w:t>在我国法律实践中，立法解释、司法解释、行政解释也具有法律约束力，属于规范性法律文件。</w:t>
      </w:r>
    </w:p>
    <w:p w14:paraId="45C1C1BE">
      <w:pPr>
        <w:pStyle w:val="style0"/>
        <w:spacing w:lineRule="auto" w:line="240"/>
        <w:ind w:firstLine="422" w:firstLineChars="200"/>
        <w:rPr>
          <w:rFonts w:ascii="宋体" w:cs="宋体" w:eastAsia="宋体" w:hAnsi="宋体" w:hint="eastAsia"/>
          <w:b/>
          <w:bCs/>
          <w:sz w:val="18"/>
          <w:szCs w:val="18"/>
        </w:rPr>
      </w:pPr>
      <w:r>
        <w:rPr>
          <w:rFonts w:ascii="宋体" w:cs="宋体" w:eastAsia="宋体" w:hAnsi="宋体" w:hint="eastAsia"/>
          <w:b/>
          <w:bCs/>
          <w:sz w:val="18"/>
          <w:szCs w:val="18"/>
        </w:rPr>
        <w:t>二、非规范性法律文件及其效力范围</w:t>
      </w:r>
    </w:p>
    <w:p w14:paraId="6B985BD7">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1</w:t>
      </w:r>
      <w:r>
        <w:rPr>
          <w:rFonts w:ascii="宋体" w:cs="等线" w:eastAsia="宋体" w:hAnsi="宋体"/>
          <w:bCs/>
          <w:sz w:val="18"/>
          <w:szCs w:val="18"/>
        </w:rPr>
        <w:t>.</w:t>
      </w:r>
      <w:r>
        <w:rPr>
          <w:rFonts w:ascii="宋体" w:cs="等线" w:eastAsia="宋体" w:hAnsi="宋体" w:hint="eastAsia"/>
          <w:bCs/>
          <w:sz w:val="18"/>
          <w:szCs w:val="18"/>
        </w:rPr>
        <w:t>一类是具有法律约束力的法律文书，如判决（书）、公证文书、逮捕证、许可证等。</w:t>
      </w:r>
    </w:p>
    <w:p w14:paraId="4F084A61">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2</w:t>
      </w:r>
      <w:r>
        <w:rPr>
          <w:rFonts w:ascii="宋体" w:cs="等线" w:eastAsia="宋体" w:hAnsi="宋体"/>
          <w:bCs/>
          <w:sz w:val="18"/>
          <w:szCs w:val="18"/>
        </w:rPr>
        <w:t>.</w:t>
      </w:r>
      <w:r>
        <w:rPr>
          <w:rFonts w:ascii="宋体" w:cs="等线" w:eastAsia="宋体" w:hAnsi="宋体" w:hint="eastAsia"/>
          <w:bCs/>
          <w:sz w:val="18"/>
          <w:szCs w:val="18"/>
        </w:rPr>
        <w:t>一类是法律主体就特定事项作出的书面记载或者达成的特定协议，如遗嘱、合同等。</w:t>
      </w:r>
    </w:p>
    <w:p w14:paraId="0F58963A">
      <w:pPr>
        <w:pStyle w:val="style0"/>
        <w:spacing w:lineRule="auto" w:line="240"/>
        <w:ind w:firstLine="420" w:firstLineChars="200"/>
        <w:rPr>
          <w:rFonts w:ascii="宋体" w:cs="等线" w:eastAsia="宋体" w:hAnsi="宋体" w:hint="eastAsia"/>
          <w:bCs/>
          <w:sz w:val="18"/>
          <w:szCs w:val="18"/>
        </w:rPr>
      </w:pPr>
      <w:r>
        <w:rPr>
          <w:rFonts w:ascii="宋体" w:cs="等线" w:eastAsia="宋体" w:hAnsi="宋体" w:hint="eastAsia"/>
          <w:bCs/>
          <w:sz w:val="18"/>
          <w:szCs w:val="18"/>
        </w:rPr>
        <w:t>3</w:t>
      </w:r>
      <w:r>
        <w:rPr>
          <w:rFonts w:ascii="宋体" w:cs="等线" w:eastAsia="宋体" w:hAnsi="宋体"/>
          <w:bCs/>
          <w:sz w:val="18"/>
          <w:szCs w:val="18"/>
        </w:rPr>
        <w:t>.</w:t>
      </w:r>
      <w:r>
        <w:rPr>
          <w:rFonts w:ascii="宋体" w:cs="等线" w:eastAsia="宋体" w:hAnsi="宋体" w:hint="eastAsia"/>
          <w:bCs/>
          <w:sz w:val="18"/>
          <w:szCs w:val="18"/>
        </w:rPr>
        <w:t>非规范性法律文件的效力，</w:t>
      </w:r>
      <w:r>
        <w:rPr>
          <w:rFonts w:ascii="宋体" w:cs="等线" w:eastAsia="宋体" w:hAnsi="宋体" w:hint="eastAsia"/>
          <w:b/>
          <w:color w:val="ff0000"/>
          <w:sz w:val="18"/>
          <w:szCs w:val="18"/>
        </w:rPr>
        <w:t>也具有法律效力，但是不具有普遍的约束力</w:t>
      </w:r>
      <w:r>
        <w:rPr>
          <w:rFonts w:ascii="宋体" w:cs="等线" w:eastAsia="宋体" w:hAnsi="宋体" w:hint="eastAsia"/>
          <w:bCs/>
          <w:sz w:val="18"/>
          <w:szCs w:val="18"/>
        </w:rPr>
        <w:t>。</w:t>
      </w:r>
    </w:p>
    <w:p w14:paraId="333FE29E">
      <w:pPr>
        <w:pStyle w:val="style0"/>
        <w:spacing w:lineRule="auto" w:line="240"/>
        <w:ind w:firstLine="420"/>
        <w:rPr>
          <w:rFonts w:ascii="宋体" w:cs="仿宋_GB2312" w:eastAsia="宋体" w:hAnsi="宋体" w:hint="eastAsia"/>
          <w:b/>
          <w:bCs/>
          <w:color w:val="ff0000"/>
          <w:sz w:val="18"/>
          <w:szCs w:val="18"/>
        </w:rPr>
      </w:pPr>
      <w:r>
        <w:rPr>
          <w:rFonts w:ascii="宋体" w:cs="仿宋_GB2312" w:eastAsia="宋体" w:hAnsi="宋体" w:hint="eastAsia"/>
          <w:b/>
          <w:bCs/>
          <w:color w:val="ff0000"/>
          <w:sz w:val="18"/>
          <w:szCs w:val="18"/>
        </w:rPr>
        <w:t>规范性法律文件体系是按照不同的法律渊源形式而构成，而法律体系是由不同法律部门构成。</w:t>
      </w:r>
    </w:p>
    <w:bookmarkStart w:id="4" w:name="_Toc30016"/>
    <w:p w14:paraId="4E102989">
      <w:pPr>
        <w:pStyle w:val="style0"/>
        <w:keepNext/>
        <w:keepLines/>
        <w:spacing w:before="156" w:beforeLines="50" w:after="156" w:afterLines="5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考点13  法的时间效力（包括法的溯及力）</w:t>
      </w:r>
      <w:bookmarkEnd w:id="4"/>
      <w:r>
        <w:rPr>
          <w:rFonts w:ascii="宋体" w:cs="等线" w:eastAsia="宋体" w:hAnsi="宋体" w:hint="eastAsia"/>
          <w:b/>
          <w:bCs/>
          <w:kern w:val="44"/>
          <w:sz w:val="18"/>
          <w:szCs w:val="18"/>
        </w:rPr>
        <w:t>（21:15-21:23）</w:t>
      </w:r>
    </w:p>
    <w:p w14:paraId="095C82E6">
      <w:pPr>
        <w:pStyle w:val="style0"/>
        <w:spacing w:lineRule="auto" w:line="240"/>
        <w:ind w:firstLine="422" w:firstLineChars="200"/>
        <w:rPr>
          <w:rFonts w:ascii="宋体" w:cs="等线" w:eastAsia="宋体" w:hAnsi="宋体" w:hint="eastAsia"/>
          <w:b/>
          <w:bCs/>
          <w:color w:val="ff0000"/>
          <w:sz w:val="18"/>
          <w:szCs w:val="18"/>
        </w:rPr>
      </w:pPr>
      <w:r>
        <w:rPr>
          <w:rFonts w:ascii="宋体" w:cs="等线" w:eastAsia="宋体" w:hAnsi="宋体" w:hint="eastAsia"/>
          <w:b/>
          <w:bCs/>
          <w:sz w:val="18"/>
          <w:szCs w:val="18"/>
        </w:rPr>
        <w:t>1</w:t>
      </w:r>
      <w:r>
        <w:rPr>
          <w:rFonts w:ascii="宋体" w:cs="等线" w:eastAsia="宋体" w:hAnsi="宋体"/>
          <w:b/>
          <w:bCs/>
          <w:sz w:val="18"/>
          <w:szCs w:val="18"/>
        </w:rPr>
        <w:t>.</w:t>
      </w:r>
      <w:r>
        <w:rPr>
          <w:rFonts w:ascii="宋体" w:cs="等线" w:eastAsia="宋体" w:hAnsi="宋体" w:hint="eastAsia"/>
          <w:b/>
          <w:bCs/>
          <w:sz w:val="18"/>
          <w:szCs w:val="18"/>
        </w:rPr>
        <w:t>对人效力：</w:t>
      </w:r>
      <w:r>
        <w:rPr>
          <w:rFonts w:ascii="宋体" w:cs="等线" w:eastAsia="宋体" w:hAnsi="宋体" w:hint="eastAsia"/>
          <w:sz w:val="18"/>
          <w:szCs w:val="18"/>
        </w:rPr>
        <w:t>属地：以地域为准；属人：以国籍为准；保护：以国家利益为准</w:t>
      </w:r>
      <w:r>
        <w:rPr>
          <w:rFonts w:ascii="宋体" w:cs="等线" w:eastAsia="宋体" w:hAnsi="宋体" w:hint="eastAsia"/>
          <w:color w:val="ff0000"/>
          <w:sz w:val="18"/>
          <w:szCs w:val="18"/>
        </w:rPr>
        <w:t>（</w:t>
      </w:r>
      <w:r>
        <w:rPr>
          <w:rFonts w:ascii="宋体" w:cs="等线" w:eastAsia="宋体" w:hAnsi="宋体" w:hint="eastAsia"/>
          <w:b/>
          <w:bCs/>
          <w:color w:val="ff0000"/>
          <w:sz w:val="18"/>
          <w:szCs w:val="18"/>
        </w:rPr>
        <w:t>属地主义为主）</w:t>
      </w:r>
    </w:p>
    <w:p w14:paraId="2F06B5D4">
      <w:pPr>
        <w:pStyle w:val="style0"/>
        <w:spacing w:lineRule="auto" w:line="240"/>
        <w:ind w:firstLine="422" w:firstLineChars="200"/>
        <w:rPr>
          <w:rFonts w:ascii="宋体" w:cs="等线" w:eastAsia="宋体" w:hAnsi="宋体" w:hint="eastAsia"/>
          <w:b/>
          <w:bCs/>
          <w:color w:val="ff0000"/>
          <w:sz w:val="18"/>
          <w:szCs w:val="18"/>
        </w:rPr>
      </w:pPr>
      <w:r>
        <w:rPr>
          <w:rFonts w:ascii="宋体" w:cs="等线" w:eastAsia="宋体" w:hAnsi="宋体" w:hint="eastAsia"/>
          <w:b/>
          <w:bCs/>
          <w:sz w:val="18"/>
          <w:szCs w:val="18"/>
        </w:rPr>
        <w:t>2</w:t>
      </w:r>
      <w:r>
        <w:rPr>
          <w:rFonts w:ascii="宋体" w:cs="等线" w:eastAsia="宋体" w:hAnsi="宋体"/>
          <w:b/>
          <w:bCs/>
          <w:sz w:val="18"/>
          <w:szCs w:val="18"/>
        </w:rPr>
        <w:t>.</w:t>
      </w:r>
      <w:r>
        <w:rPr>
          <w:rFonts w:ascii="宋体" w:cs="等线" w:eastAsia="宋体" w:hAnsi="宋体" w:hint="eastAsia"/>
          <w:b/>
          <w:bCs/>
          <w:sz w:val="18"/>
          <w:szCs w:val="18"/>
        </w:rPr>
        <w:t>时间效力</w:t>
      </w:r>
      <w:bookmarkStart w:id="5" w:name="_Toc23558"/>
      <w:r>
        <w:rPr>
          <w:rFonts w:ascii="宋体" w:cs="等线" w:eastAsia="宋体" w:hAnsi="宋体" w:hint="eastAsia"/>
          <w:b/>
          <w:bCs/>
          <w:sz w:val="18"/>
          <w:szCs w:val="18"/>
        </w:rPr>
        <w:t>：</w:t>
      </w:r>
      <w:r>
        <w:rPr>
          <w:rFonts w:ascii="宋体" w:cs="等线" w:eastAsia="宋体" w:hAnsi="宋体" w:hint="eastAsia"/>
          <w:b/>
          <w:bCs/>
          <w:color w:val="ff0000"/>
          <w:sz w:val="18"/>
          <w:szCs w:val="18"/>
        </w:rPr>
        <w:t>从旧兼从轻</w:t>
      </w:r>
    </w:p>
    <w:p w14:paraId="54FB6B1A">
      <w:pPr>
        <w:pStyle w:val="style0"/>
        <w:keepNext/>
        <w:keepLines/>
        <w:spacing w:before="120" w:after="120" w:lineRule="auto" w:line="240"/>
        <w:jc w:val="center"/>
        <w:outlineLvl w:val="0"/>
        <w:rPr>
          <w:rFonts w:ascii="宋体" w:cs="等线" w:eastAsia="宋体" w:hAnsi="宋体" w:hint="eastAsia"/>
          <w:b/>
          <w:bCs/>
          <w:color w:val="000000"/>
          <w:kern w:val="44"/>
          <w:sz w:val="18"/>
          <w:szCs w:val="18"/>
        </w:rPr>
      </w:pPr>
      <w:r>
        <w:rPr>
          <w:rFonts w:ascii="宋体" w:cs="等线" w:eastAsia="宋体" w:hAnsi="宋体" w:hint="eastAsia"/>
          <w:b/>
          <w:bCs/>
          <w:color w:val="000000"/>
          <w:kern w:val="44"/>
          <w:sz w:val="18"/>
          <w:szCs w:val="18"/>
        </w:rPr>
        <w:t xml:space="preserve">考点14  </w:t>
      </w:r>
      <w:bookmarkEnd w:id="5"/>
      <w:r>
        <w:rPr>
          <w:rFonts w:ascii="宋体" w:cs="等线" w:eastAsia="宋体" w:hAnsi="宋体" w:hint="eastAsia"/>
          <w:b/>
          <w:bCs/>
          <w:color w:val="000000"/>
          <w:kern w:val="44"/>
          <w:sz w:val="18"/>
          <w:szCs w:val="18"/>
        </w:rPr>
        <w:t>法律部门与法律体系(21:23-21:35)</w:t>
      </w:r>
    </w:p>
    <w:p w14:paraId="012AAF19">
      <w:pPr>
        <w:pStyle w:val="style0"/>
        <w:spacing w:lineRule="auto" w:line="240"/>
        <w:ind w:firstLine="422" w:firstLineChars="200"/>
        <w:rPr>
          <w:rFonts w:ascii="宋体" w:cs="宋体" w:eastAsia="宋体" w:hAnsi="宋体" w:hint="eastAsia"/>
          <w:b/>
          <w:bCs/>
          <w:color w:val="000000"/>
          <w:sz w:val="18"/>
          <w:szCs w:val="18"/>
        </w:rPr>
      </w:pPr>
      <w:r>
        <w:rPr>
          <w:rFonts w:ascii="宋体" w:cs="宋体" w:eastAsia="宋体" w:hAnsi="宋体" w:hint="eastAsia"/>
          <w:b/>
          <w:bCs/>
          <w:color w:val="000000"/>
          <w:sz w:val="18"/>
          <w:szCs w:val="18"/>
        </w:rPr>
        <w:t>一、法律部门</w:t>
      </w:r>
    </w:p>
    <w:p w14:paraId="5D8C0C00">
      <w:pPr>
        <w:pStyle w:val="style0"/>
        <w:spacing w:lineRule="auto" w:line="240"/>
        <w:ind w:firstLine="420" w:firstLineChars="200"/>
        <w:rPr>
          <w:rFonts w:ascii="宋体" w:cs="宋体" w:eastAsia="宋体" w:hAnsi="宋体" w:hint="eastAsia"/>
          <w:color w:val="000000"/>
          <w:sz w:val="18"/>
          <w:szCs w:val="18"/>
        </w:rPr>
      </w:pPr>
      <w:r>
        <w:rPr>
          <w:rFonts w:ascii="宋体" w:cs="宋体" w:eastAsia="宋体" w:hAnsi="宋体" w:hint="eastAsia"/>
          <w:color w:val="000000"/>
          <w:sz w:val="18"/>
          <w:szCs w:val="18"/>
        </w:rPr>
        <w:t>法律部门又称部门法，一国</w:t>
      </w:r>
      <w:r>
        <w:rPr>
          <w:rFonts w:ascii="宋体" w:cs="宋体" w:eastAsia="宋体" w:hAnsi="宋体" w:hint="eastAsia"/>
          <w:b/>
          <w:bCs/>
          <w:color w:val="ff0000"/>
          <w:sz w:val="18"/>
          <w:szCs w:val="18"/>
        </w:rPr>
        <w:t>现行的全部法律规范</w:t>
      </w:r>
      <w:r>
        <w:rPr>
          <w:rFonts w:ascii="宋体" w:cs="宋体" w:eastAsia="宋体" w:hAnsi="宋体" w:hint="eastAsia"/>
          <w:color w:val="000000"/>
          <w:sz w:val="18"/>
          <w:szCs w:val="18"/>
        </w:rPr>
        <w:t>的总称。</w:t>
      </w:r>
    </w:p>
    <w:p w14:paraId="7478CD0B">
      <w:pPr>
        <w:pStyle w:val="style0"/>
        <w:spacing w:lineRule="auto" w:line="240"/>
        <w:ind w:firstLine="420" w:firstLineChars="200"/>
        <w:rPr>
          <w:rFonts w:ascii="宋体" w:cs="宋体" w:eastAsia="宋体" w:hAnsi="宋体" w:hint="eastAsia"/>
          <w:b/>
          <w:bCs/>
          <w:color w:val="ff0000"/>
          <w:sz w:val="18"/>
          <w:szCs w:val="18"/>
        </w:rPr>
      </w:pPr>
      <w:r>
        <w:rPr>
          <w:rFonts w:ascii="宋体" w:cs="宋体" w:eastAsia="宋体" w:hAnsi="宋体" w:hint="eastAsia"/>
          <w:color w:val="000000"/>
          <w:sz w:val="18"/>
          <w:szCs w:val="18"/>
        </w:rPr>
        <w:t>划分法律部门遵循两个标准：</w:t>
      </w:r>
      <w:r>
        <w:rPr>
          <w:rFonts w:ascii="宋体" w:cs="宋体" w:eastAsia="宋体" w:hAnsi="宋体" w:hint="eastAsia"/>
          <w:b/>
          <w:bCs/>
          <w:color w:val="ff0000"/>
          <w:sz w:val="18"/>
          <w:szCs w:val="18"/>
        </w:rPr>
        <w:t>法律所调整的社会关系的性质和种类为主要标准；法律调整方法是辅助标准。</w:t>
      </w:r>
    </w:p>
    <w:p w14:paraId="595F0473">
      <w:pPr>
        <w:pStyle w:val="style0"/>
        <w:spacing w:lineRule="auto" w:line="240"/>
        <w:ind w:firstLine="422" w:firstLineChars="200"/>
        <w:rPr>
          <w:rFonts w:ascii="宋体" w:cs="宋体" w:eastAsia="宋体" w:hAnsi="宋体" w:hint="eastAsia"/>
          <w:b/>
          <w:bCs/>
          <w:color w:val="000000"/>
          <w:sz w:val="18"/>
          <w:szCs w:val="18"/>
        </w:rPr>
      </w:pPr>
      <w:r>
        <w:rPr>
          <w:rFonts w:ascii="宋体" w:cs="宋体" w:eastAsia="宋体" w:hAnsi="宋体" w:hint="eastAsia"/>
          <w:b/>
          <w:bCs/>
          <w:color w:val="000000"/>
          <w:sz w:val="18"/>
          <w:szCs w:val="18"/>
        </w:rPr>
        <w:t>二、公法、私法与社会法</w:t>
      </w:r>
    </w:p>
    <w:p w14:paraId="13A4E1AC">
      <w:pPr>
        <w:pStyle w:val="style0"/>
        <w:spacing w:lineRule="auto" w:line="240"/>
        <w:ind w:firstLine="420" w:firstLineChars="200"/>
        <w:rPr>
          <w:rFonts w:ascii="宋体" w:cs="宋体" w:eastAsia="宋体" w:hAnsi="宋体" w:hint="eastAsia"/>
          <w:sz w:val="18"/>
          <w:szCs w:val="18"/>
        </w:rPr>
      </w:pPr>
      <w:r>
        <w:rPr>
          <w:rFonts w:ascii="宋体" w:cs="宋体" w:eastAsia="宋体" w:hAnsi="宋体" w:hint="eastAsia"/>
          <w:color w:val="000000"/>
          <w:sz w:val="18"/>
          <w:szCs w:val="18"/>
        </w:rPr>
        <w:t>公法与私法的划分，是大陆法系国家对法律做出的一个基本分类。</w:t>
      </w:r>
      <w:r>
        <w:rPr>
          <w:rFonts w:ascii="宋体" w:cs="宋体" w:eastAsia="宋体" w:hAnsi="宋体" w:hint="eastAsia"/>
          <w:sz w:val="18"/>
          <w:szCs w:val="18"/>
        </w:rPr>
        <w:t>社会法是介于公法和私法之间的法律。</w:t>
      </w:r>
    </w:p>
    <w:p w14:paraId="377249B1">
      <w:pPr>
        <w:pStyle w:val="style0"/>
        <w:spacing w:lineRule="auto" w:line="240"/>
        <w:ind w:firstLine="422" w:firstLineChars="200"/>
        <w:rPr>
          <w:rFonts w:ascii="宋体" w:cs="宋体" w:eastAsia="宋体" w:hAnsi="宋体" w:hint="eastAsia"/>
          <w:b/>
          <w:bCs/>
          <w:color w:val="000000"/>
          <w:sz w:val="18"/>
          <w:szCs w:val="18"/>
        </w:rPr>
      </w:pPr>
      <w:r>
        <w:rPr>
          <w:rFonts w:ascii="宋体" w:cs="宋体" w:eastAsia="宋体" w:hAnsi="宋体" w:hint="eastAsia"/>
          <w:b/>
          <w:bCs/>
          <w:color w:val="000000"/>
          <w:sz w:val="18"/>
          <w:szCs w:val="18"/>
        </w:rPr>
        <w:t>三、法律体系</w:t>
      </w:r>
    </w:p>
    <w:p w14:paraId="3681ECB5">
      <w:pPr>
        <w:pStyle w:val="style0"/>
        <w:spacing w:lineRule="auto" w:line="240"/>
        <w:ind w:firstLine="420" w:firstLineChars="200"/>
        <w:rPr>
          <w:rFonts w:ascii="宋体" w:cs="宋体" w:eastAsia="宋体" w:hAnsi="宋体" w:hint="eastAsia"/>
          <w:color w:val="000000"/>
          <w:sz w:val="18"/>
          <w:szCs w:val="18"/>
        </w:rPr>
      </w:pPr>
      <w:r>
        <w:rPr>
          <w:rFonts w:ascii="宋体" w:cs="宋体" w:eastAsia="宋体" w:hAnsi="宋体" w:hint="eastAsia"/>
          <w:color w:val="000000"/>
          <w:sz w:val="18"/>
          <w:szCs w:val="18"/>
        </w:rPr>
        <w:t>法当代中国法律体系：宪法及宪法相关法、行政法、民商法、经济法、社会法、刑法、诉讼与非诉讼程序法。</w:t>
      </w:r>
    </w:p>
    <w:bookmarkStart w:id="6" w:name="_Toc18450"/>
    <w:p w14:paraId="7756C2F2">
      <w:pPr>
        <w:pStyle w:val="style0"/>
        <w:keepNext/>
        <w:keepLines/>
        <w:spacing w:before="120" w:after="12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考点15  法律关系的含义和种类</w:t>
      </w:r>
      <w:bookmarkEnd w:id="6"/>
      <w:r>
        <w:rPr>
          <w:rFonts w:ascii="宋体" w:cs="等线" w:eastAsia="宋体" w:hAnsi="宋体" w:hint="eastAsia"/>
          <w:b/>
          <w:bCs/>
          <w:kern w:val="44"/>
          <w:sz w:val="18"/>
          <w:szCs w:val="18"/>
        </w:rPr>
        <w:t>(21:45-22:02)</w:t>
      </w:r>
    </w:p>
    <w:p w14:paraId="5681A2EB">
      <w:pPr>
        <w:pStyle w:val="style0"/>
        <w:spacing w:lineRule="auto" w:line="240"/>
        <w:ind w:firstLine="422" w:firstLineChars="200"/>
        <w:rPr>
          <w:rFonts w:ascii="宋体" w:cs="等线" w:eastAsia="宋体" w:hAnsi="宋体" w:hint="eastAsia"/>
          <w:b/>
          <w:bCs/>
          <w:sz w:val="18"/>
          <w:szCs w:val="18"/>
        </w:rPr>
      </w:pPr>
      <w:r>
        <w:rPr>
          <w:rFonts w:ascii="宋体" w:cs="等线" w:eastAsia="宋体" w:hAnsi="宋体" w:hint="eastAsia"/>
          <w:b/>
          <w:bCs/>
          <w:sz w:val="18"/>
          <w:szCs w:val="18"/>
        </w:rPr>
        <w:t>一、法律关系的含义和特征</w:t>
      </w:r>
    </w:p>
    <w:p w14:paraId="50C1A895">
      <w:pPr>
        <w:pStyle w:val="style0"/>
        <w:spacing w:lineRule="auto" w:line="240"/>
        <w:ind w:firstLine="422" w:firstLineChars="200"/>
        <w:rPr>
          <w:rFonts w:ascii="宋体" w:cs="等线" w:eastAsia="宋体" w:hAnsi="宋体" w:hint="eastAsia"/>
          <w:sz w:val="18"/>
          <w:szCs w:val="18"/>
        </w:rPr>
      </w:pPr>
      <w:r>
        <w:rPr>
          <w:rFonts w:ascii="宋体" w:cs="等线" w:eastAsia="宋体" w:hAnsi="宋体" w:hint="eastAsia"/>
          <w:b/>
          <w:bCs/>
          <w:color w:val="ff0000"/>
          <w:sz w:val="18"/>
          <w:szCs w:val="18"/>
        </w:rPr>
        <w:t>法律关系是根据法律规范建立的一种社会关系，具有合法性。</w:t>
      </w:r>
      <w:r>
        <w:rPr>
          <w:rFonts w:ascii="宋体" w:cs="等线" w:eastAsia="宋体" w:hAnsi="宋体" w:hint="eastAsia"/>
          <w:sz w:val="18"/>
          <w:szCs w:val="18"/>
        </w:rPr>
        <w:t>体现意志性的特种法律关系，是特定法律关系主体之间的权利和义务关系。</w:t>
      </w:r>
    </w:p>
    <w:p w14:paraId="306D343F">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二、法律关系的种类</w:t>
      </w:r>
    </w:p>
    <w:p w14:paraId="687A1FBD">
      <w:pPr>
        <w:numPr>
          <w:ilvl w:val="0"/>
          <w:numId w:val="0"/>
        </w:numPr>
        <w:spacing w:lineRule="auto" w:line="240"/>
        <w:ind w:firstLineChars="200"/>
        <w:outlineLvl w:val="0"/>
        <w:rPr>
          <w:rFonts w:ascii="宋体" w:cs="等线" w:eastAsia="宋体" w:hAnsi="宋体" w:hint="eastAsia"/>
          <w:b/>
          <w:sz w:val="18"/>
          <w:szCs w:val="18"/>
        </w:rPr>
      </w:pPr>
      <w:r>
        <w:rPr>
          <w:rFonts w:ascii="宋体" w:cs="等线" w:hAnsi="宋体" w:hint="eastAsia"/>
          <w:b/>
          <w:sz w:val="18"/>
          <w:szCs w:val="18"/>
          <w:lang w:eastAsia="zh-CN"/>
        </w:rPr>
        <w:t>（一）</w:t>
      </w:r>
      <w:r>
        <w:rPr>
          <w:rFonts w:ascii="宋体" w:cs="等线" w:eastAsia="宋体" w:hAnsi="宋体" w:hint="eastAsia"/>
          <w:b/>
          <w:sz w:val="18"/>
          <w:szCs w:val="18"/>
        </w:rPr>
        <w:t>调整性法律关系和保护性法律关系</w:t>
      </w:r>
    </w:p>
    <w:p w14:paraId="3020811C">
      <w:pPr>
        <w:spacing w:lineRule="auto" w:line="240"/>
        <w:ind w:firstLineChars="200"/>
        <w:outlineLvl w:val="0"/>
        <w:rPr>
          <w:rFonts w:ascii="宋体" w:cs="等线" w:eastAsia="宋体" w:hAnsi="宋体" w:hint="eastAsia"/>
          <w:b/>
          <w:color w:val="ff0000"/>
          <w:sz w:val="18"/>
          <w:szCs w:val="18"/>
        </w:rPr>
      </w:pPr>
      <w:r>
        <w:rPr>
          <w:rFonts w:ascii="宋体" w:cs="等线" w:eastAsia="宋体" w:hAnsi="宋体" w:hint="default"/>
          <w:b/>
          <w:color w:val="ff0000"/>
          <w:sz w:val="18"/>
          <w:szCs w:val="18"/>
          <w:lang w:val="en-US"/>
        </w:rPr>
        <w:t xml:space="preserve">   1.</w:t>
      </w:r>
      <w:r>
        <w:rPr>
          <w:rFonts w:ascii="宋体" w:cs="等线" w:eastAsia="宋体" w:hAnsi="宋体" w:hint="eastAsia"/>
          <w:b/>
          <w:color w:val="ff0000"/>
          <w:sz w:val="18"/>
          <w:szCs w:val="18"/>
        </w:rPr>
        <w:t>调整性法律关系：合法行为</w:t>
      </w:r>
    </w:p>
    <w:p w14:paraId="6A05D4C7">
      <w:pPr>
        <w:spacing w:lineRule="auto" w:line="240"/>
        <w:ind w:firstLineChars="200"/>
        <w:outlineLvl w:val="0"/>
        <w:rPr>
          <w:rFonts w:ascii="宋体" w:cs="等线" w:eastAsia="宋体" w:hAnsi="宋体" w:hint="eastAsia"/>
          <w:b/>
          <w:color w:val="ff0000"/>
          <w:sz w:val="18"/>
          <w:szCs w:val="18"/>
        </w:rPr>
      </w:pPr>
      <w:r>
        <w:rPr>
          <w:rFonts w:ascii="宋体" w:cs="等线" w:eastAsia="宋体" w:hAnsi="宋体" w:hint="default"/>
          <w:b/>
          <w:color w:val="ff0000"/>
          <w:sz w:val="18"/>
          <w:szCs w:val="18"/>
          <w:lang w:val="en-US" w:eastAsia="zh-CN"/>
        </w:rPr>
        <w:t xml:space="preserve">   2.</w:t>
      </w:r>
      <w:r>
        <w:rPr>
          <w:rFonts w:ascii="宋体" w:cs="等线" w:eastAsia="宋体" w:hAnsi="宋体" w:hint="eastAsia"/>
          <w:b/>
          <w:color w:val="ff0000"/>
          <w:sz w:val="18"/>
          <w:szCs w:val="18"/>
        </w:rPr>
        <w:t>保护性法律关系：违法行为</w:t>
      </w:r>
    </w:p>
    <w:p w14:paraId="7CC0CCAD">
      <w:pPr>
        <w:pStyle w:val="style0"/>
        <w:spacing w:lineRule="auto" w:line="240"/>
        <w:ind w:firstLine="422" w:firstLineChars="200"/>
        <w:rPr>
          <w:rFonts w:ascii="宋体" w:cs="等线" w:eastAsia="宋体" w:hAnsi="宋体" w:hint="eastAsia"/>
          <w:b/>
          <w:sz w:val="18"/>
          <w:szCs w:val="18"/>
        </w:rPr>
      </w:pPr>
      <w:r>
        <w:rPr>
          <w:rFonts w:ascii="宋体" w:cs="等线" w:eastAsia="宋体" w:hAnsi="宋体" w:hint="eastAsia"/>
          <w:b/>
          <w:sz w:val="18"/>
          <w:szCs w:val="18"/>
        </w:rPr>
        <w:t>（二）纵向（隶属）的法律关系和横向（平权）的法律关系</w:t>
      </w:r>
    </w:p>
    <w:p w14:paraId="0B7908C1">
      <w:pPr>
        <w:pStyle w:val="style0"/>
        <w:spacing w:lineRule="auto" w:line="240"/>
        <w:ind w:firstLine="840" w:firstLineChars="400"/>
        <w:rPr>
          <w:rFonts w:ascii="宋体" w:cs="等线" w:eastAsia="宋体" w:hAnsi="宋体" w:hint="eastAsia"/>
          <w:sz w:val="18"/>
          <w:szCs w:val="18"/>
        </w:rPr>
      </w:pPr>
      <w:r>
        <w:rPr>
          <w:rFonts w:ascii="宋体" w:cs="等线" w:eastAsia="宋体" w:hAnsi="宋体" w:hint="eastAsia"/>
          <w:sz w:val="18"/>
          <w:szCs w:val="18"/>
        </w:rPr>
        <w:t>1</w:t>
      </w:r>
      <w:r>
        <w:rPr>
          <w:rFonts w:ascii="宋体" w:cs="等线" w:eastAsia="宋体" w:hAnsi="宋体"/>
          <w:sz w:val="18"/>
          <w:szCs w:val="18"/>
        </w:rPr>
        <w:t>.</w:t>
      </w:r>
      <w:r>
        <w:rPr>
          <w:rFonts w:ascii="宋体" w:cs="等线" w:eastAsia="宋体" w:hAnsi="宋体" w:hint="eastAsia"/>
          <w:sz w:val="18"/>
          <w:szCs w:val="18"/>
        </w:rPr>
        <w:t>纵向（隶属）的法律关系：不平等主体</w:t>
      </w:r>
    </w:p>
    <w:p w14:paraId="3D5189FD">
      <w:pPr>
        <w:pStyle w:val="style0"/>
        <w:spacing w:lineRule="auto" w:line="240"/>
        <w:ind w:firstLine="840" w:firstLineChars="400"/>
        <w:rPr>
          <w:rFonts w:ascii="宋体" w:cs="等线" w:eastAsia="宋体" w:hAnsi="宋体" w:hint="eastAsia"/>
          <w:sz w:val="18"/>
          <w:szCs w:val="18"/>
        </w:rPr>
      </w:pPr>
      <w:r>
        <w:rPr>
          <w:rFonts w:ascii="宋体" w:cs="等线" w:eastAsia="宋体" w:hAnsi="宋体" w:hint="eastAsia"/>
          <w:sz w:val="18"/>
          <w:szCs w:val="18"/>
        </w:rPr>
        <w:t>2</w:t>
      </w:r>
      <w:r>
        <w:rPr>
          <w:rFonts w:ascii="宋体" w:cs="等线" w:eastAsia="宋体" w:hAnsi="宋体"/>
          <w:sz w:val="18"/>
          <w:szCs w:val="18"/>
        </w:rPr>
        <w:t>.</w:t>
      </w:r>
      <w:r>
        <w:rPr>
          <w:rFonts w:ascii="宋体" w:cs="等线" w:eastAsia="宋体" w:hAnsi="宋体" w:hint="eastAsia"/>
          <w:sz w:val="18"/>
          <w:szCs w:val="18"/>
        </w:rPr>
        <w:t>横向法律关系：平等主体</w:t>
      </w:r>
    </w:p>
    <w:p w14:paraId="7C277963">
      <w:pPr>
        <w:numPr>
          <w:ilvl w:val="0"/>
          <w:numId w:val="0"/>
        </w:numPr>
        <w:spacing w:lineRule="auto" w:line="240"/>
        <w:ind w:firstLineChars="200"/>
        <w:rPr>
          <w:rFonts w:ascii="宋体" w:cs="等线" w:eastAsia="宋体" w:hAnsi="宋体" w:hint="eastAsia"/>
          <w:b/>
          <w:sz w:val="18"/>
          <w:szCs w:val="18"/>
        </w:rPr>
      </w:pPr>
      <w:r>
        <w:rPr>
          <w:rFonts w:ascii="宋体" w:cs="等线" w:hAnsi="宋体" w:hint="eastAsia"/>
          <w:b/>
          <w:sz w:val="18"/>
          <w:szCs w:val="18"/>
          <w:lang w:eastAsia="zh-CN"/>
        </w:rPr>
        <w:t>（三）</w:t>
      </w:r>
      <w:r>
        <w:rPr>
          <w:rFonts w:ascii="宋体" w:cs="等线" w:eastAsia="宋体" w:hAnsi="宋体" w:hint="eastAsia"/>
          <w:b/>
          <w:sz w:val="18"/>
          <w:szCs w:val="18"/>
        </w:rPr>
        <w:t>第一性法律关系（主法律关系）和第二性法律关系（从法律关系）</w:t>
      </w:r>
    </w:p>
    <w:p w14:paraId="1168B9F0">
      <w:pPr>
        <w:pStyle w:val="style0"/>
        <w:spacing w:lineRule="auto" w:line="240"/>
        <w:ind w:left="422" w:firstLine="420" w:firstLineChars="200"/>
        <w:rPr>
          <w:rFonts w:ascii="宋体" w:cs="等线" w:eastAsia="宋体" w:hAnsi="宋体" w:hint="eastAsia"/>
          <w:bCs/>
          <w:sz w:val="18"/>
          <w:szCs w:val="18"/>
        </w:rPr>
      </w:pPr>
      <w:r>
        <w:rPr>
          <w:rFonts w:ascii="宋体" w:cs="等线" w:eastAsia="宋体" w:hAnsi="宋体" w:hint="eastAsia"/>
          <w:bCs/>
          <w:sz w:val="18"/>
          <w:szCs w:val="18"/>
        </w:rPr>
        <w:t>1</w:t>
      </w:r>
      <w:r>
        <w:rPr>
          <w:rFonts w:ascii="宋体" w:cs="等线" w:eastAsia="宋体" w:hAnsi="宋体"/>
          <w:bCs/>
          <w:sz w:val="18"/>
          <w:szCs w:val="18"/>
        </w:rPr>
        <w:t>.</w:t>
      </w:r>
      <w:r>
        <w:rPr>
          <w:rFonts w:ascii="宋体" w:cs="等线" w:eastAsia="宋体" w:hAnsi="宋体" w:hint="eastAsia"/>
          <w:bCs/>
          <w:sz w:val="18"/>
          <w:szCs w:val="18"/>
        </w:rPr>
        <w:t>第一性法律关系：调整性法律关系、实体法律关系</w:t>
      </w:r>
    </w:p>
    <w:p w14:paraId="79B1E01C">
      <w:pPr>
        <w:pStyle w:val="style0"/>
        <w:spacing w:lineRule="auto" w:line="240"/>
        <w:ind w:left="422" w:firstLine="420" w:firstLineChars="200"/>
        <w:rPr>
          <w:rFonts w:ascii="宋体" w:cs="等线" w:eastAsia="宋体" w:hAnsi="宋体" w:hint="eastAsia"/>
          <w:bCs/>
          <w:sz w:val="18"/>
          <w:szCs w:val="18"/>
        </w:rPr>
      </w:pPr>
      <w:r>
        <w:rPr>
          <w:rFonts w:ascii="宋体" w:cs="等线" w:eastAsia="宋体" w:hAnsi="宋体" w:hint="eastAsia"/>
          <w:bCs/>
          <w:sz w:val="18"/>
          <w:szCs w:val="18"/>
        </w:rPr>
        <w:t>2</w:t>
      </w:r>
      <w:r>
        <w:rPr>
          <w:rFonts w:ascii="宋体" w:cs="等线" w:eastAsia="宋体" w:hAnsi="宋体"/>
          <w:bCs/>
          <w:sz w:val="18"/>
          <w:szCs w:val="18"/>
        </w:rPr>
        <w:t>.</w:t>
      </w:r>
      <w:r>
        <w:rPr>
          <w:rFonts w:ascii="宋体" w:cs="等线" w:eastAsia="宋体" w:hAnsi="宋体" w:hint="eastAsia"/>
          <w:bCs/>
          <w:sz w:val="18"/>
          <w:szCs w:val="18"/>
        </w:rPr>
        <w:t>第二性法律关系：保护性法律关系、程序法律关系</w:t>
      </w:r>
    </w:p>
    <w:bookmarkStart w:id="7" w:name="_Toc2880"/>
    <w:p w14:paraId="45479491">
      <w:pPr>
        <w:pStyle w:val="style0"/>
        <w:keepNext/>
        <w:keepLines/>
        <w:spacing w:before="120" w:after="120" w:lineRule="auto" w:line="240"/>
        <w:jc w:val="center"/>
        <w:outlineLvl w:val="0"/>
        <w:rPr>
          <w:rFonts w:ascii="宋体" w:cs="等线" w:eastAsia="宋体" w:hAnsi="宋体" w:hint="eastAsia"/>
          <w:b/>
          <w:bCs/>
          <w:color w:val="000000"/>
          <w:kern w:val="44"/>
          <w:sz w:val="18"/>
          <w:szCs w:val="18"/>
        </w:rPr>
      </w:pPr>
      <w:r>
        <w:rPr>
          <w:rFonts w:ascii="宋体" w:cs="等线" w:eastAsia="宋体" w:hAnsi="宋体" w:hint="eastAsia"/>
          <w:b/>
          <w:bCs/>
          <w:color w:val="000000"/>
          <w:kern w:val="44"/>
          <w:sz w:val="18"/>
          <w:szCs w:val="18"/>
        </w:rPr>
        <w:t>考点16  法律关系的</w:t>
      </w:r>
      <w:bookmarkEnd w:id="7"/>
      <w:r>
        <w:rPr>
          <w:rFonts w:ascii="宋体" w:cs="等线" w:eastAsia="宋体" w:hAnsi="宋体" w:hint="eastAsia"/>
          <w:b/>
          <w:bCs/>
          <w:color w:val="000000"/>
          <w:kern w:val="44"/>
          <w:sz w:val="18"/>
          <w:szCs w:val="18"/>
        </w:rPr>
        <w:t>要素与变动（22:02-22:12）</w:t>
      </w:r>
    </w:p>
    <w:p w14:paraId="661B5A03">
      <w:pPr>
        <w:pStyle w:val="style0"/>
        <w:spacing w:lineRule="auto" w:line="240"/>
        <w:ind w:firstLine="422" w:firstLineChars="200"/>
        <w:rPr>
          <w:rFonts w:ascii="宋体" w:cs="等线" w:eastAsia="宋体" w:hAnsi="宋体" w:hint="eastAsia"/>
          <w:b/>
          <w:color w:val="000000"/>
          <w:sz w:val="18"/>
          <w:szCs w:val="18"/>
        </w:rPr>
      </w:pPr>
      <w:r>
        <w:rPr>
          <w:rFonts w:ascii="宋体" w:cs="等线" w:eastAsia="宋体" w:hAnsi="宋体" w:hint="eastAsia"/>
          <w:b/>
          <w:color w:val="000000"/>
          <w:sz w:val="18"/>
          <w:szCs w:val="18"/>
        </w:rPr>
        <w:t>一、法律关系的客体</w:t>
      </w:r>
    </w:p>
    <w:p w14:paraId="42590F0A">
      <w:pPr>
        <w:pStyle w:val="style0"/>
        <w:spacing w:lineRule="auto" w:line="240"/>
        <w:ind w:firstLine="420" w:firstLineChars="200"/>
        <w:rPr>
          <w:rFonts w:ascii="宋体" w:cs="等线" w:eastAsia="宋体" w:hAnsi="宋体" w:hint="eastAsia"/>
          <w:bCs/>
          <w:color w:val="000000"/>
          <w:sz w:val="18"/>
          <w:szCs w:val="18"/>
        </w:rPr>
      </w:pPr>
      <w:r>
        <w:rPr>
          <w:rFonts w:ascii="宋体" w:cs="等线" w:eastAsia="宋体" w:hAnsi="宋体" w:hint="eastAsia"/>
          <w:bCs/>
          <w:color w:val="000000"/>
          <w:sz w:val="18"/>
          <w:szCs w:val="18"/>
        </w:rPr>
        <w:t>1</w:t>
      </w:r>
      <w:r>
        <w:rPr>
          <w:rFonts w:ascii="宋体" w:cs="等线" w:eastAsia="宋体" w:hAnsi="宋体"/>
          <w:bCs/>
          <w:color w:val="000000"/>
          <w:sz w:val="18"/>
          <w:szCs w:val="18"/>
        </w:rPr>
        <w:t>.</w:t>
      </w:r>
      <w:r>
        <w:rPr>
          <w:rFonts w:ascii="宋体" w:cs="等线" w:eastAsia="宋体" w:hAnsi="宋体" w:hint="eastAsia"/>
          <w:bCs/>
          <w:color w:val="000000"/>
          <w:sz w:val="18"/>
          <w:szCs w:val="18"/>
        </w:rPr>
        <w:t>物：法律关系主体支配的、在生产和生活上所需要的客观实体</w:t>
      </w:r>
    </w:p>
    <w:p w14:paraId="6DA2C653">
      <w:pPr>
        <w:pStyle w:val="style0"/>
        <w:spacing w:lineRule="auto" w:line="240"/>
        <w:ind w:firstLine="420" w:firstLineChars="200"/>
        <w:rPr>
          <w:rFonts w:ascii="宋体" w:cs="等线" w:eastAsia="宋体" w:hAnsi="宋体" w:hint="eastAsia"/>
          <w:bCs/>
          <w:color w:val="000000"/>
          <w:sz w:val="18"/>
          <w:szCs w:val="18"/>
        </w:rPr>
      </w:pPr>
      <w:r>
        <w:rPr>
          <w:rFonts w:ascii="宋体" w:cs="等线" w:eastAsia="宋体" w:hAnsi="宋体" w:hint="eastAsia"/>
          <w:bCs/>
          <w:color w:val="000000"/>
          <w:sz w:val="18"/>
          <w:szCs w:val="18"/>
        </w:rPr>
        <w:t>2</w:t>
      </w:r>
      <w:r>
        <w:rPr>
          <w:rFonts w:ascii="宋体" w:cs="等线" w:eastAsia="宋体" w:hAnsi="宋体"/>
          <w:bCs/>
          <w:color w:val="000000"/>
          <w:sz w:val="18"/>
          <w:szCs w:val="18"/>
        </w:rPr>
        <w:t>.</w:t>
      </w:r>
      <w:r>
        <w:rPr>
          <w:rFonts w:ascii="宋体" w:cs="等线" w:eastAsia="宋体" w:hAnsi="宋体" w:hint="eastAsia"/>
          <w:bCs/>
          <w:color w:val="000000"/>
          <w:sz w:val="18"/>
          <w:szCs w:val="18"/>
        </w:rPr>
        <w:t>人身：人体各个器官组成的生理整体</w:t>
      </w:r>
    </w:p>
    <w:p w14:paraId="189F5A3C">
      <w:pPr>
        <w:pStyle w:val="style0"/>
        <w:spacing w:lineRule="auto" w:line="240"/>
        <w:ind w:firstLine="420" w:firstLineChars="200"/>
        <w:rPr>
          <w:rFonts w:ascii="宋体" w:cs="等线" w:eastAsia="宋体" w:hAnsi="宋体" w:hint="eastAsia"/>
          <w:bCs/>
          <w:color w:val="000000"/>
          <w:sz w:val="18"/>
          <w:szCs w:val="18"/>
        </w:rPr>
      </w:pPr>
      <w:r>
        <w:rPr>
          <w:rFonts w:ascii="宋体" w:cs="等线" w:eastAsia="宋体" w:hAnsi="宋体" w:hint="eastAsia"/>
          <w:bCs/>
          <w:color w:val="000000"/>
          <w:sz w:val="18"/>
          <w:szCs w:val="18"/>
        </w:rPr>
        <w:t>3</w:t>
      </w:r>
      <w:r>
        <w:rPr>
          <w:rFonts w:ascii="宋体" w:cs="等线" w:eastAsia="宋体" w:hAnsi="宋体"/>
          <w:bCs/>
          <w:color w:val="000000"/>
          <w:sz w:val="18"/>
          <w:szCs w:val="18"/>
        </w:rPr>
        <w:t>.</w:t>
      </w:r>
      <w:r>
        <w:rPr>
          <w:rFonts w:ascii="宋体" w:cs="等线" w:eastAsia="宋体" w:hAnsi="宋体" w:hint="eastAsia"/>
          <w:bCs/>
          <w:color w:val="000000"/>
          <w:sz w:val="18"/>
          <w:szCs w:val="18"/>
        </w:rPr>
        <w:t>精神产品：人通过物体或大脑记载下来并加以流传的思维成果</w:t>
      </w:r>
    </w:p>
    <w:p w14:paraId="345581D8">
      <w:pPr>
        <w:pStyle w:val="style0"/>
        <w:spacing w:lineRule="auto" w:line="240"/>
        <w:ind w:firstLine="420" w:firstLineChars="200"/>
        <w:rPr>
          <w:rFonts w:ascii="宋体" w:cs="等线" w:eastAsia="宋体" w:hAnsi="宋体" w:hint="eastAsia"/>
          <w:b/>
          <w:color w:val="ff0000"/>
          <w:sz w:val="18"/>
          <w:szCs w:val="18"/>
        </w:rPr>
      </w:pPr>
      <w:r>
        <w:rPr>
          <w:rFonts w:ascii="宋体" w:cs="等线" w:eastAsia="宋体" w:hAnsi="宋体" w:hint="eastAsia"/>
          <w:bCs/>
          <w:color w:val="000000"/>
          <w:sz w:val="18"/>
          <w:szCs w:val="18"/>
        </w:rPr>
        <w:t>4</w:t>
      </w:r>
      <w:r>
        <w:rPr>
          <w:rFonts w:ascii="宋体" w:cs="等线" w:eastAsia="宋体" w:hAnsi="宋体"/>
          <w:bCs/>
          <w:color w:val="000000"/>
          <w:sz w:val="18"/>
          <w:szCs w:val="18"/>
        </w:rPr>
        <w:t>.</w:t>
      </w:r>
      <w:r>
        <w:rPr>
          <w:rFonts w:ascii="宋体" w:cs="等线" w:eastAsia="宋体" w:hAnsi="宋体" w:hint="eastAsia"/>
          <w:b/>
          <w:color w:val="ff0000"/>
          <w:sz w:val="18"/>
          <w:szCs w:val="18"/>
        </w:rPr>
        <w:t>行为结果：义务人完成其行为所产生的能够满足权利人利益要求的结果</w:t>
      </w:r>
    </w:p>
    <w:p w14:paraId="4F631156">
      <w:pPr>
        <w:pStyle w:val="style0"/>
        <w:spacing w:lineRule="auto" w:line="240"/>
        <w:ind w:firstLine="422" w:firstLineChars="200"/>
        <w:rPr>
          <w:rFonts w:ascii="宋体" w:cs="等线" w:eastAsia="宋体" w:hAnsi="宋体" w:hint="eastAsia"/>
          <w:b/>
          <w:color w:val="ff0000"/>
          <w:sz w:val="18"/>
          <w:szCs w:val="18"/>
        </w:rPr>
      </w:pPr>
      <w:r>
        <w:rPr>
          <w:rFonts w:ascii="宋体" w:cs="等线" w:eastAsia="宋体" w:hAnsi="宋体" w:hint="eastAsia"/>
          <w:b/>
          <w:color w:val="ff0000"/>
          <w:sz w:val="18"/>
          <w:szCs w:val="18"/>
        </w:rPr>
        <w:t>数据信息是一种新客体</w:t>
      </w:r>
    </w:p>
    <w:p w14:paraId="269CF03A">
      <w:pPr>
        <w:pStyle w:val="style0"/>
        <w:spacing w:lineRule="auto" w:line="240"/>
        <w:ind w:firstLine="422" w:firstLineChars="200"/>
        <w:rPr>
          <w:rFonts w:ascii="宋体" w:cs="等线" w:eastAsia="宋体" w:hAnsi="宋体" w:hint="eastAsia"/>
          <w:b/>
          <w:color w:val="4472c4"/>
          <w:sz w:val="18"/>
          <w:szCs w:val="18"/>
        </w:rPr>
      </w:pPr>
      <w:r>
        <w:rPr>
          <w:rFonts w:ascii="宋体" w:cs="等线" w:eastAsia="宋体" w:hAnsi="宋体" w:hint="eastAsia"/>
          <w:b/>
          <w:color w:val="4472c4"/>
          <w:sz w:val="18"/>
          <w:szCs w:val="18"/>
        </w:rPr>
        <w:t>注意：法律关系的客体的种类有新增，法律关系的主体的种类没有增加。</w:t>
      </w:r>
    </w:p>
    <w:p w14:paraId="6DB8AEB2">
      <w:pPr>
        <w:pStyle w:val="style0"/>
        <w:spacing w:lineRule="auto" w:line="240"/>
        <w:ind w:firstLine="422" w:firstLineChars="200"/>
        <w:rPr>
          <w:rFonts w:ascii="宋体" w:cs="等线" w:eastAsia="宋体" w:hAnsi="宋体" w:hint="eastAsia"/>
          <w:b/>
          <w:color w:val="000000"/>
          <w:sz w:val="18"/>
          <w:szCs w:val="18"/>
        </w:rPr>
      </w:pPr>
      <w:r>
        <w:rPr>
          <w:rFonts w:ascii="宋体" w:cs="等线" w:eastAsia="宋体" w:hAnsi="宋体" w:hint="eastAsia"/>
          <w:b/>
          <w:color w:val="000000"/>
          <w:sz w:val="18"/>
          <w:szCs w:val="18"/>
        </w:rPr>
        <w:t>二、法律关系的产生、变更与消灭</w:t>
      </w:r>
    </w:p>
    <w:p w14:paraId="6112C365">
      <w:pPr>
        <w:pStyle w:val="style0"/>
        <w:spacing w:lineRule="auto" w:line="240"/>
        <w:ind w:firstLine="422" w:firstLineChars="200"/>
        <w:rPr>
          <w:rFonts w:ascii="宋体" w:cs="等线" w:eastAsia="宋体" w:hAnsi="宋体" w:hint="eastAsia"/>
          <w:bCs/>
          <w:color w:val="000000"/>
          <w:sz w:val="18"/>
          <w:szCs w:val="18"/>
        </w:rPr>
      </w:pPr>
      <w:r>
        <w:rPr>
          <w:rFonts w:ascii="宋体" w:cs="等线" w:eastAsia="宋体" w:hAnsi="宋体" w:hint="eastAsia"/>
          <w:b/>
          <w:color w:val="000000"/>
          <w:sz w:val="18"/>
          <w:szCs w:val="18"/>
        </w:rPr>
        <w:t>1</w:t>
      </w:r>
      <w:r>
        <w:rPr>
          <w:rFonts w:ascii="宋体" w:cs="等线" w:eastAsia="宋体" w:hAnsi="宋体"/>
          <w:b/>
          <w:color w:val="000000"/>
          <w:sz w:val="18"/>
          <w:szCs w:val="18"/>
        </w:rPr>
        <w:t>.</w:t>
      </w:r>
      <w:r>
        <w:rPr>
          <w:rFonts w:ascii="宋体" w:cs="等线" w:eastAsia="宋体" w:hAnsi="宋体" w:hint="eastAsia"/>
          <w:b/>
          <w:color w:val="000000"/>
          <w:sz w:val="18"/>
          <w:szCs w:val="18"/>
        </w:rPr>
        <w:t xml:space="preserve"> 法律规范：</w:t>
      </w:r>
      <w:r>
        <w:rPr>
          <w:rFonts w:ascii="宋体" w:cs="等线" w:eastAsia="宋体" w:hAnsi="宋体" w:hint="eastAsia"/>
          <w:bCs/>
          <w:color w:val="000000"/>
          <w:sz w:val="18"/>
          <w:szCs w:val="18"/>
        </w:rPr>
        <w:t>法律关系形成、变更和消灭的依据</w:t>
      </w:r>
    </w:p>
    <w:p w14:paraId="27DEE6B7">
      <w:pPr>
        <w:pStyle w:val="style0"/>
        <w:spacing w:lineRule="auto" w:line="240"/>
        <w:ind w:firstLine="422" w:firstLineChars="200"/>
        <w:rPr>
          <w:rFonts w:ascii="宋体" w:cs="等线" w:eastAsia="宋体" w:hAnsi="宋体" w:hint="eastAsia"/>
          <w:bCs/>
          <w:color w:val="000000"/>
          <w:sz w:val="18"/>
          <w:szCs w:val="18"/>
        </w:rPr>
      </w:pPr>
      <w:r>
        <w:rPr>
          <w:rFonts w:ascii="宋体" w:cs="等线" w:eastAsia="宋体" w:hAnsi="宋体" w:hint="eastAsia"/>
          <w:b/>
          <w:color w:val="000000"/>
          <w:sz w:val="18"/>
          <w:szCs w:val="18"/>
        </w:rPr>
        <w:t>2</w:t>
      </w:r>
      <w:r>
        <w:rPr>
          <w:rFonts w:ascii="宋体" w:cs="等线" w:eastAsia="宋体" w:hAnsi="宋体"/>
          <w:b/>
          <w:color w:val="000000"/>
          <w:sz w:val="18"/>
          <w:szCs w:val="18"/>
        </w:rPr>
        <w:t>.</w:t>
      </w:r>
      <w:r>
        <w:rPr>
          <w:rFonts w:ascii="宋体" w:cs="等线" w:eastAsia="宋体" w:hAnsi="宋体" w:hint="eastAsia"/>
          <w:b/>
          <w:color w:val="000000"/>
          <w:sz w:val="18"/>
          <w:szCs w:val="18"/>
        </w:rPr>
        <w:t xml:space="preserve"> 法律事实：</w:t>
      </w:r>
      <w:r>
        <w:rPr>
          <w:rFonts w:ascii="宋体" w:cs="等线" w:eastAsia="宋体" w:hAnsi="宋体" w:hint="eastAsia"/>
          <w:bCs/>
          <w:color w:val="000000"/>
          <w:sz w:val="18"/>
          <w:szCs w:val="18"/>
        </w:rPr>
        <w:t>法律关系形成、变更和消灭直接的前提条件</w:t>
      </w:r>
      <w:r>
        <w:rPr>
          <w:rFonts w:ascii="宋体" w:cs="等线" w:eastAsia="宋体" w:hAnsi="宋体" w:hint="eastAsia"/>
          <w:b/>
          <w:color w:val="ff0000"/>
          <w:sz w:val="18"/>
          <w:szCs w:val="18"/>
        </w:rPr>
        <w:t>（包括法律事件&lt;包括社会事件和自然事件&gt;（不以人的意志为转移）和法律行为&lt;分为合法行为和违法行为&gt;）</w:t>
      </w:r>
    </w:p>
    <w:bookmarkStart w:id="8" w:name="_Toc12912"/>
    <w:p w14:paraId="2D45B8F9">
      <w:pPr>
        <w:pStyle w:val="style0"/>
        <w:keepNext/>
        <w:keepLines/>
        <w:snapToGrid w:val="false"/>
        <w:spacing w:before="120" w:after="120" w:lineRule="auto" w:line="240"/>
        <w:jc w:val="center"/>
        <w:outlineLvl w:val="0"/>
        <w:rPr>
          <w:rFonts w:ascii="宋体" w:cs="等线" w:eastAsia="宋体" w:hAnsi="宋体" w:hint="eastAsia"/>
          <w:b/>
          <w:bCs/>
          <w:color w:val="000000"/>
          <w:kern w:val="44"/>
          <w:sz w:val="18"/>
          <w:szCs w:val="18"/>
        </w:rPr>
      </w:pPr>
      <w:r>
        <w:rPr>
          <w:rFonts w:ascii="宋体" w:cs="等线" w:eastAsia="宋体" w:hAnsi="宋体" w:hint="eastAsia"/>
          <w:b/>
          <w:bCs/>
          <w:color w:val="000000"/>
          <w:kern w:val="44"/>
          <w:sz w:val="18"/>
          <w:szCs w:val="18"/>
        </w:rPr>
        <w:t>考点17  法律责任的竞合</w:t>
      </w:r>
      <w:bookmarkEnd w:id="8"/>
      <w:r>
        <w:rPr>
          <w:rFonts w:ascii="宋体" w:cs="等线" w:eastAsia="宋体" w:hAnsi="宋体" w:hint="eastAsia"/>
          <w:b/>
          <w:bCs/>
          <w:color w:val="000000"/>
          <w:kern w:val="44"/>
          <w:sz w:val="18"/>
          <w:szCs w:val="18"/>
        </w:rPr>
        <w:t>（22:12-22:20）</w:t>
      </w:r>
    </w:p>
    <w:p w14:paraId="66D5EEAA">
      <w:pPr>
        <w:pStyle w:val="style0"/>
        <w:spacing w:lineRule="auto" w:line="240"/>
        <w:ind w:firstLine="422" w:firstLineChars="200"/>
        <w:outlineLvl w:val="0"/>
        <w:rPr>
          <w:rFonts w:ascii="宋体" w:cs="等线" w:eastAsia="宋体" w:hAnsi="宋体" w:hint="eastAsia"/>
          <w:b/>
          <w:color w:val="000000"/>
          <w:sz w:val="18"/>
          <w:szCs w:val="18"/>
        </w:rPr>
      </w:pPr>
      <w:r>
        <w:rPr>
          <w:rFonts w:ascii="宋体" w:cs="等线" w:eastAsia="宋体" w:hAnsi="宋体" w:hint="eastAsia"/>
          <w:b/>
          <w:color w:val="000000"/>
          <w:sz w:val="18"/>
          <w:szCs w:val="18"/>
        </w:rPr>
        <w:t>一、法律责任竞合的特点</w:t>
      </w:r>
    </w:p>
    <w:p w14:paraId="3831D12A">
      <w:pPr>
        <w:pStyle w:val="style0"/>
        <w:spacing w:lineRule="auto" w:line="240"/>
        <w:ind w:firstLine="420" w:firstLineChars="200"/>
        <w:rPr>
          <w:rFonts w:ascii="宋体" w:cs="等线" w:eastAsia="宋体" w:hAnsi="宋体" w:hint="eastAsia"/>
          <w:color w:val="000000"/>
          <w:sz w:val="18"/>
          <w:szCs w:val="18"/>
        </w:rPr>
      </w:pPr>
      <w:r>
        <w:rPr>
          <w:rFonts w:ascii="宋体" w:cs="等线" w:eastAsia="宋体" w:hAnsi="宋体" w:hint="eastAsia"/>
          <w:color w:val="000000"/>
          <w:sz w:val="18"/>
          <w:szCs w:val="18"/>
        </w:rPr>
        <w:t>同一法律主体，实施了一个行为，行为符合两个或两个以上的法律责任构成要件，</w:t>
      </w:r>
      <w:r>
        <w:rPr>
          <w:rFonts w:ascii="宋体" w:cs="等线" w:eastAsia="宋体" w:hAnsi="宋体" w:hint="eastAsia"/>
          <w:b/>
          <w:bCs/>
          <w:color w:val="ff0000"/>
          <w:sz w:val="18"/>
          <w:szCs w:val="18"/>
        </w:rPr>
        <w:t>数个法律责任之间相互冲突</w:t>
      </w:r>
      <w:r>
        <w:rPr>
          <w:rFonts w:ascii="宋体" w:cs="等线" w:eastAsia="宋体" w:hAnsi="宋体" w:hint="eastAsia"/>
          <w:color w:val="000000"/>
          <w:sz w:val="18"/>
          <w:szCs w:val="18"/>
        </w:rPr>
        <w:t>。</w:t>
      </w:r>
    </w:p>
    <w:p w14:paraId="6A321731">
      <w:pPr>
        <w:pStyle w:val="style0"/>
        <w:spacing w:lineRule="auto" w:line="240"/>
        <w:ind w:firstLine="422" w:firstLineChars="200"/>
        <w:rPr>
          <w:rFonts w:ascii="宋体" w:cs="等线" w:eastAsia="宋体" w:hAnsi="宋体" w:hint="eastAsia"/>
          <w:color w:val="000000"/>
          <w:sz w:val="18"/>
          <w:szCs w:val="18"/>
        </w:rPr>
      </w:pPr>
      <w:r>
        <w:rPr>
          <w:rFonts w:ascii="宋体" w:cs="等线" w:eastAsia="宋体" w:hAnsi="宋体" w:hint="eastAsia"/>
          <w:b/>
          <w:bCs/>
          <w:color w:val="000000"/>
          <w:sz w:val="18"/>
          <w:szCs w:val="18"/>
        </w:rPr>
        <w:t>注意：</w:t>
      </w:r>
      <w:r>
        <w:rPr>
          <w:rFonts w:ascii="宋体" w:cs="仿宋" w:eastAsia="宋体" w:hAnsi="宋体" w:hint="eastAsia"/>
          <w:color w:val="000000"/>
          <w:sz w:val="18"/>
          <w:szCs w:val="18"/>
        </w:rPr>
        <w:t>与之相反的情况是“并存”，如某犯罪行为的刑事责任和附带民事赔偿责任可以被</w:t>
      </w:r>
      <w:r>
        <w:rPr>
          <w:rFonts w:ascii="宋体" w:cs="仿宋" w:eastAsia="宋体" w:hAnsi="宋体" w:hint="eastAsia"/>
          <w:b/>
          <w:bCs/>
          <w:color w:val="ed0000"/>
          <w:sz w:val="18"/>
          <w:szCs w:val="18"/>
        </w:rPr>
        <w:t>同时追究</w:t>
      </w:r>
      <w:r>
        <w:rPr>
          <w:rFonts w:ascii="宋体" w:cs="仿宋" w:eastAsia="宋体" w:hAnsi="宋体" w:hint="eastAsia"/>
          <w:color w:val="000000"/>
          <w:sz w:val="18"/>
          <w:szCs w:val="18"/>
        </w:rPr>
        <w:t>，不存在责任竞合的问题。</w:t>
      </w:r>
    </w:p>
    <w:p w14:paraId="1EB091F6">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二、法律责任竞合的解决</w:t>
      </w:r>
    </w:p>
    <w:p w14:paraId="76DC5811">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1.民法上侵权责任与违约责任的竞合，理论上存在争议。</w:t>
      </w:r>
    </w:p>
    <w:p w14:paraId="7E2B6BE0">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2.对刑法上的想象竞合，应择其重罪处罚。</w:t>
      </w:r>
    </w:p>
    <w:p w14:paraId="62D65933">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3.对不同法律部门间法律责任的竞合，一般来说，应按重者处之。如果相对较轻的法律责任已经被追究，再追究较重的法律责任时应适当考虑折抵。</w:t>
      </w:r>
    </w:p>
    <w:p w14:paraId="37D3B194">
      <w:pPr>
        <w:pStyle w:val="style0"/>
        <w:keepNext/>
        <w:keepLines/>
        <w:spacing w:before="120" w:after="120" w:lineRule="auto" w:line="240"/>
        <w:jc w:val="center"/>
        <w:outlineLvl w:val="0"/>
        <w:rPr>
          <w:rFonts w:ascii="宋体" w:cs="等线" w:eastAsia="宋体" w:hAnsi="宋体" w:hint="eastAsia"/>
          <w:b/>
          <w:bCs/>
          <w:kern w:val="44"/>
          <w:sz w:val="18"/>
          <w:szCs w:val="18"/>
        </w:rPr>
      </w:pPr>
      <w:r>
        <w:rPr>
          <w:rFonts w:ascii="宋体" w:cs="等线" w:eastAsia="宋体" w:hAnsi="宋体" w:hint="eastAsia"/>
          <w:b/>
          <w:bCs/>
          <w:kern w:val="44"/>
          <w:sz w:val="18"/>
          <w:szCs w:val="18"/>
        </w:rPr>
        <w:t>考点18  归责与免责（22:20-22:30）</w:t>
      </w:r>
    </w:p>
    <w:p w14:paraId="4F503A74">
      <w:pPr>
        <w:pStyle w:val="style0"/>
        <w:spacing w:lineRule="auto" w:line="240"/>
        <w:ind w:firstLine="422" w:firstLineChars="200"/>
        <w:outlineLvl w:val="0"/>
        <w:rPr>
          <w:rFonts w:ascii="宋体" w:cs="等线" w:eastAsia="宋体" w:hAnsi="宋体" w:hint="eastAsia"/>
          <w:b/>
          <w:sz w:val="18"/>
          <w:szCs w:val="18"/>
        </w:rPr>
      </w:pPr>
      <w:r>
        <w:rPr>
          <w:rFonts w:ascii="宋体" w:cs="等线" w:eastAsia="宋体" w:hAnsi="宋体" w:hint="eastAsia"/>
          <w:b/>
          <w:sz w:val="18"/>
          <w:szCs w:val="18"/>
        </w:rPr>
        <w:t>一、法律责任的归责原则</w:t>
      </w:r>
    </w:p>
    <w:p w14:paraId="53DF5D1D">
      <w:pPr>
        <w:pStyle w:val="style0"/>
        <w:spacing w:lineRule="auto" w:line="240"/>
        <w:ind w:left="420" w:leftChars="200"/>
        <w:rPr>
          <w:rFonts w:ascii="宋体" w:cs="等线" w:eastAsia="宋体" w:hAnsi="宋体" w:hint="eastAsia"/>
          <w:b/>
          <w:bCs/>
          <w:sz w:val="18"/>
          <w:szCs w:val="18"/>
        </w:rPr>
      </w:pPr>
      <w:r>
        <w:rPr>
          <w:rFonts w:ascii="宋体" w:cs="等线" w:eastAsia="宋体" w:hAnsi="宋体" w:hint="eastAsia"/>
          <w:b/>
          <w:bCs/>
          <w:sz w:val="18"/>
          <w:szCs w:val="18"/>
        </w:rPr>
        <w:t>（一）责任法定原则（</w:t>
      </w:r>
      <w:r>
        <w:rPr>
          <w:rFonts w:ascii="宋体" w:cs="等线" w:eastAsia="宋体" w:hAnsi="宋体" w:hint="eastAsia"/>
          <w:sz w:val="18"/>
          <w:szCs w:val="18"/>
        </w:rPr>
        <w:t>法律规范予以明确规定）</w:t>
      </w:r>
    </w:p>
    <w:p w14:paraId="3B040DBB">
      <w:pPr>
        <w:pStyle w:val="style0"/>
        <w:spacing w:lineRule="auto" w:line="240"/>
        <w:ind w:firstLine="420" w:firstLineChars="200"/>
        <w:rPr>
          <w:rFonts w:ascii="宋体" w:cs="等线" w:eastAsia="宋体" w:hAnsi="宋体" w:hint="eastAsia"/>
          <w:b/>
          <w:bCs/>
          <w:color w:val="4472c4"/>
          <w:sz w:val="18"/>
          <w:szCs w:val="18"/>
        </w:rPr>
      </w:pPr>
      <w:r>
        <w:rPr>
          <w:rFonts w:ascii="宋体" w:cs="等线" w:eastAsia="宋体" w:hAnsi="宋体" w:hint="eastAsia"/>
          <w:sz w:val="18"/>
          <w:szCs w:val="18"/>
        </w:rPr>
        <w:t>责任法定原则指法律责任作为一种否定的法律后果应当由法律规范预先规定</w:t>
      </w:r>
      <w:r>
        <w:rPr>
          <w:rFonts w:ascii="宋体" w:cs="等线" w:eastAsia="宋体" w:hAnsi="宋体" w:hint="eastAsia"/>
          <w:b/>
          <w:bCs/>
          <w:color w:val="4472c4"/>
          <w:sz w:val="18"/>
          <w:szCs w:val="18"/>
        </w:rPr>
        <w:t>（比如罪刑法定原则、侵权责任法定原则）</w:t>
      </w:r>
    </w:p>
    <w:p w14:paraId="258FA3DD">
      <w:pPr>
        <w:pStyle w:val="style0"/>
        <w:spacing w:lineRule="auto" w:line="240"/>
        <w:ind w:firstLine="422" w:firstLineChars="200"/>
        <w:rPr>
          <w:rFonts w:ascii="宋体" w:cs="等线" w:eastAsia="宋体" w:hAnsi="宋体" w:hint="eastAsia"/>
          <w:b/>
          <w:bCs/>
          <w:sz w:val="18"/>
          <w:szCs w:val="18"/>
        </w:rPr>
      </w:pPr>
      <w:r>
        <w:rPr>
          <w:rFonts w:ascii="宋体" w:cs="等线" w:eastAsia="宋体" w:hAnsi="宋体" w:hint="eastAsia"/>
          <w:b/>
          <w:bCs/>
          <w:sz w:val="18"/>
          <w:szCs w:val="18"/>
        </w:rPr>
        <w:t>（二）公正原则</w:t>
      </w:r>
    </w:p>
    <w:p w14:paraId="128E2277">
      <w:pPr>
        <w:pStyle w:val="style0"/>
        <w:spacing w:lineRule="auto" w:line="240"/>
        <w:ind w:firstLine="630" w:firstLineChars="300"/>
        <w:rPr>
          <w:rFonts w:ascii="宋体" w:cs="等线" w:eastAsia="宋体" w:hAnsi="宋体" w:hint="eastAsia"/>
          <w:sz w:val="18"/>
          <w:szCs w:val="18"/>
        </w:rPr>
      </w:pPr>
      <w:r>
        <w:rPr>
          <w:rFonts w:ascii="宋体" w:cs="等线" w:eastAsia="宋体" w:hAnsi="宋体" w:hint="eastAsia"/>
          <w:sz w:val="18"/>
          <w:szCs w:val="18"/>
        </w:rPr>
        <w:t>1</w:t>
      </w:r>
      <w:r>
        <w:rPr>
          <w:rFonts w:ascii="宋体" w:cs="等线" w:eastAsia="宋体" w:hAnsi="宋体"/>
          <w:sz w:val="18"/>
          <w:szCs w:val="18"/>
        </w:rPr>
        <w:t>.</w:t>
      </w:r>
      <w:r>
        <w:rPr>
          <w:rFonts w:ascii="宋体" w:cs="等线" w:eastAsia="宋体" w:hAnsi="宋体" w:hint="eastAsia"/>
          <w:sz w:val="18"/>
          <w:szCs w:val="18"/>
        </w:rPr>
        <w:t>对任何违法、违约的行为都应依法追究相应的责任，做到“有责必究”；</w:t>
      </w:r>
    </w:p>
    <w:p w14:paraId="71CCE626">
      <w:pPr>
        <w:pStyle w:val="style0"/>
        <w:spacing w:lineRule="auto" w:line="240"/>
        <w:ind w:firstLine="630" w:firstLineChars="300"/>
        <w:rPr>
          <w:rFonts w:ascii="宋体" w:cs="等线" w:eastAsia="宋体" w:hAnsi="宋体" w:hint="eastAsia"/>
          <w:b/>
          <w:bCs/>
          <w:color w:val="ff0000"/>
          <w:sz w:val="18"/>
          <w:szCs w:val="18"/>
        </w:rPr>
      </w:pPr>
      <w:r>
        <w:rPr>
          <w:rFonts w:ascii="宋体" w:cs="等线" w:eastAsia="宋体" w:hAnsi="宋体" w:hint="eastAsia"/>
          <w:sz w:val="18"/>
          <w:szCs w:val="18"/>
        </w:rPr>
        <w:t>2</w:t>
      </w:r>
      <w:r>
        <w:rPr>
          <w:rFonts w:ascii="宋体" w:cs="等线" w:eastAsia="宋体" w:hAnsi="宋体"/>
          <w:sz w:val="18"/>
          <w:szCs w:val="18"/>
        </w:rPr>
        <w:t>.</w:t>
      </w:r>
      <w:r>
        <w:rPr>
          <w:rFonts w:ascii="宋体" w:cs="等线" w:eastAsia="宋体" w:hAnsi="宋体" w:hint="eastAsia"/>
          <w:sz w:val="18"/>
          <w:szCs w:val="18"/>
        </w:rPr>
        <w:t>法律责任的性质或种类应该与违法行为的性质或种类相一致，即</w:t>
      </w:r>
      <w:r>
        <w:rPr>
          <w:rFonts w:ascii="宋体" w:cs="等线" w:eastAsia="宋体" w:hAnsi="宋体" w:hint="eastAsia"/>
          <w:b/>
          <w:bCs/>
          <w:color w:val="ff0000"/>
          <w:sz w:val="18"/>
          <w:szCs w:val="18"/>
        </w:rPr>
        <w:t>法律责任的定性要公正；</w:t>
      </w:r>
    </w:p>
    <w:p w14:paraId="5CA6457A">
      <w:pPr>
        <w:pStyle w:val="style0"/>
        <w:spacing w:lineRule="auto" w:line="240"/>
        <w:ind w:firstLine="630" w:firstLineChars="300"/>
        <w:rPr>
          <w:rFonts w:ascii="宋体" w:cs="等线" w:eastAsia="宋体" w:hAnsi="宋体" w:hint="eastAsia"/>
          <w:sz w:val="18"/>
          <w:szCs w:val="18"/>
        </w:rPr>
      </w:pPr>
      <w:r>
        <w:rPr>
          <w:rFonts w:ascii="宋体" w:cs="等线" w:eastAsia="宋体" w:hAnsi="宋体"/>
          <w:sz w:val="18"/>
          <w:szCs w:val="18"/>
        </w:rPr>
        <w:t>3.</w:t>
      </w:r>
      <w:r>
        <w:rPr>
          <w:rFonts w:ascii="宋体" w:cs="等线" w:eastAsia="宋体" w:hAnsi="宋体" w:hint="eastAsia"/>
          <w:b/>
          <w:bCs/>
          <w:color w:val="ff0000"/>
          <w:sz w:val="18"/>
          <w:szCs w:val="18"/>
        </w:rPr>
        <w:t>责任与处罚相均衡</w:t>
      </w:r>
      <w:r>
        <w:rPr>
          <w:rFonts w:ascii="宋体" w:cs="等线" w:eastAsia="宋体" w:hAnsi="宋体" w:hint="eastAsia"/>
          <w:sz w:val="18"/>
          <w:szCs w:val="18"/>
        </w:rPr>
        <w:t>，即法律责任的定量要公正，“责罚相当”、“罚当其罪”；</w:t>
      </w:r>
    </w:p>
    <w:p w14:paraId="71C434F4">
      <w:pPr>
        <w:pStyle w:val="style0"/>
        <w:spacing w:lineRule="auto" w:line="240"/>
        <w:ind w:firstLine="630" w:firstLineChars="300"/>
        <w:rPr>
          <w:rFonts w:ascii="宋体" w:cs="等线" w:eastAsia="宋体" w:hAnsi="宋体" w:hint="eastAsia"/>
          <w:sz w:val="18"/>
          <w:szCs w:val="18"/>
        </w:rPr>
      </w:pPr>
      <w:r>
        <w:rPr>
          <w:rFonts w:ascii="宋体" w:cs="等线" w:eastAsia="宋体" w:hAnsi="宋体" w:hint="eastAsia"/>
          <w:sz w:val="18"/>
          <w:szCs w:val="18"/>
        </w:rPr>
        <w:t>4</w:t>
      </w:r>
      <w:r>
        <w:rPr>
          <w:rFonts w:ascii="宋体" w:cs="等线" w:eastAsia="宋体" w:hAnsi="宋体"/>
          <w:sz w:val="18"/>
          <w:szCs w:val="18"/>
        </w:rPr>
        <w:t>.</w:t>
      </w:r>
      <w:r>
        <w:rPr>
          <w:rFonts w:ascii="宋体" w:cs="等线" w:eastAsia="宋体" w:hAnsi="宋体" w:hint="eastAsia"/>
          <w:sz w:val="18"/>
          <w:szCs w:val="18"/>
        </w:rPr>
        <w:t>公民在法律面前一律平等，不允许有不受法律约束或凌驾于法律之上的特殊公民。</w:t>
      </w:r>
    </w:p>
    <w:p w14:paraId="0F307A77">
      <w:pPr>
        <w:pStyle w:val="style0"/>
        <w:spacing w:lineRule="auto" w:line="240"/>
        <w:ind w:firstLine="422" w:firstLineChars="200"/>
        <w:rPr>
          <w:rFonts w:ascii="宋体" w:cs="等线" w:eastAsia="宋体" w:hAnsi="宋体" w:hint="eastAsia"/>
          <w:b/>
          <w:bCs/>
          <w:sz w:val="18"/>
          <w:szCs w:val="18"/>
        </w:rPr>
      </w:pPr>
      <w:r>
        <w:rPr>
          <w:rFonts w:ascii="宋体" w:cs="等线" w:eastAsia="宋体" w:hAnsi="宋体" w:hint="eastAsia"/>
          <w:b/>
          <w:bCs/>
          <w:sz w:val="18"/>
          <w:szCs w:val="18"/>
        </w:rPr>
        <w:t>（三）效益原则</w:t>
      </w:r>
    </w:p>
    <w:p w14:paraId="51D6EA97">
      <w:pPr>
        <w:pStyle w:val="style0"/>
        <w:spacing w:lineRule="auto" w:line="240"/>
        <w:ind w:firstLine="420" w:firstLineChars="200"/>
        <w:rPr>
          <w:rFonts w:ascii="宋体" w:cs="等线" w:eastAsia="宋体" w:hAnsi="宋体" w:hint="eastAsia"/>
          <w:sz w:val="18"/>
          <w:szCs w:val="18"/>
        </w:rPr>
      </w:pPr>
      <w:r>
        <w:rPr>
          <w:rFonts w:ascii="宋体" w:cs="等线" w:eastAsia="宋体" w:hAnsi="宋体" w:hint="eastAsia"/>
          <w:sz w:val="18"/>
          <w:szCs w:val="18"/>
        </w:rPr>
        <w:t>效益原则指在追究行为人的法律责任时，应当进行</w:t>
      </w:r>
      <w:r>
        <w:rPr>
          <w:rFonts w:ascii="宋体" w:cs="等线" w:eastAsia="宋体" w:hAnsi="宋体" w:hint="eastAsia"/>
          <w:b/>
          <w:bCs/>
          <w:color w:val="ff0000"/>
          <w:sz w:val="18"/>
          <w:szCs w:val="18"/>
        </w:rPr>
        <w:t>成本收益分析</w:t>
      </w:r>
      <w:r>
        <w:rPr>
          <w:rFonts w:ascii="宋体" w:cs="等线" w:eastAsia="宋体" w:hAnsi="宋体" w:hint="eastAsia"/>
          <w:sz w:val="18"/>
          <w:szCs w:val="18"/>
        </w:rPr>
        <w:t>，讲求法律责任的效益。</w:t>
      </w:r>
    </w:p>
    <w:p w14:paraId="3CF28802">
      <w:pPr>
        <w:pStyle w:val="style0"/>
        <w:spacing w:lineRule="auto" w:line="240"/>
        <w:ind w:firstLine="422" w:firstLineChars="200"/>
        <w:rPr>
          <w:rFonts w:ascii="宋体" w:cs="等线" w:eastAsia="宋体" w:hAnsi="宋体" w:hint="eastAsia"/>
          <w:b/>
          <w:bCs/>
          <w:sz w:val="18"/>
          <w:szCs w:val="18"/>
        </w:rPr>
      </w:pPr>
      <w:r>
        <w:rPr>
          <w:rFonts w:ascii="宋体" w:cs="等线" w:eastAsia="宋体" w:hAnsi="宋体" w:hint="eastAsia"/>
          <w:b/>
          <w:bCs/>
          <w:sz w:val="18"/>
          <w:szCs w:val="18"/>
        </w:rPr>
        <w:t>（四）责任自负原则</w:t>
      </w:r>
    </w:p>
    <w:p w14:paraId="3F5896CF">
      <w:pPr>
        <w:pStyle w:val="style0"/>
        <w:spacing w:lineRule="auto" w:line="240"/>
        <w:ind w:firstLine="420" w:firstLineChars="200"/>
        <w:rPr>
          <w:rFonts w:ascii="宋体" w:cs="等线" w:eastAsia="宋体" w:hAnsi="宋体" w:hint="eastAsia"/>
          <w:color w:val="000000"/>
          <w:sz w:val="18"/>
          <w:szCs w:val="18"/>
        </w:rPr>
      </w:pPr>
      <w:r>
        <w:rPr>
          <w:rFonts w:ascii="宋体" w:cs="等线" w:eastAsia="宋体" w:hAnsi="宋体" w:hint="eastAsia"/>
          <w:sz w:val="18"/>
          <w:szCs w:val="18"/>
        </w:rPr>
        <w:t>责任自负原则指承担</w:t>
      </w:r>
      <w:r>
        <w:rPr>
          <w:rFonts w:ascii="宋体" w:cs="等线" w:eastAsia="宋体" w:hAnsi="宋体" w:hint="eastAsia"/>
          <w:color w:val="000000"/>
          <w:sz w:val="18"/>
          <w:szCs w:val="18"/>
        </w:rPr>
        <w:t>法律责任的主体</w:t>
      </w:r>
      <w:r>
        <w:rPr>
          <w:rFonts w:ascii="宋体" w:cs="等线" w:eastAsia="宋体" w:hAnsi="宋体" w:hint="eastAsia"/>
          <w:b/>
          <w:bCs/>
          <w:color w:val="ff0000"/>
          <w:sz w:val="18"/>
          <w:szCs w:val="18"/>
        </w:rPr>
        <w:t>仅限于实施导致法律责任的行为人本人</w:t>
      </w:r>
      <w:r>
        <w:rPr>
          <w:rFonts w:ascii="宋体" w:cs="等线" w:eastAsia="宋体" w:hAnsi="宋体" w:hint="eastAsia"/>
          <w:color w:val="000000"/>
          <w:sz w:val="18"/>
          <w:szCs w:val="18"/>
        </w:rPr>
        <w:t>。</w:t>
      </w:r>
    </w:p>
    <w:p w14:paraId="449E541F">
      <w:pPr>
        <w:pStyle w:val="style0"/>
        <w:spacing w:lineRule="auto" w:line="240"/>
        <w:ind w:firstLine="422" w:firstLineChars="200"/>
        <w:outlineLvl w:val="0"/>
        <w:rPr>
          <w:rFonts w:ascii="宋体" w:cs="等线" w:eastAsia="宋体" w:hAnsi="宋体" w:hint="eastAsia"/>
          <w:b/>
          <w:color w:val="000000"/>
          <w:sz w:val="18"/>
          <w:szCs w:val="18"/>
        </w:rPr>
      </w:pPr>
      <w:r>
        <w:rPr>
          <w:rFonts w:ascii="宋体" w:cs="等线" w:eastAsia="宋体" w:hAnsi="宋体" w:hint="eastAsia"/>
          <w:b/>
          <w:color w:val="000000"/>
          <w:sz w:val="18"/>
          <w:szCs w:val="18"/>
        </w:rPr>
        <w:t>二、法律责任的免责条件</w:t>
      </w:r>
    </w:p>
    <w:p w14:paraId="090E09B3">
      <w:pPr>
        <w:pStyle w:val="style0"/>
        <w:spacing w:lineRule="auto" w:line="240"/>
        <w:ind w:firstLine="422" w:firstLineChars="200"/>
        <w:rPr>
          <w:rFonts w:ascii="宋体" w:cs="等线" w:eastAsia="宋体" w:hAnsi="宋体" w:hint="eastAsia"/>
          <w:color w:val="000000"/>
          <w:sz w:val="18"/>
          <w:szCs w:val="18"/>
        </w:rPr>
      </w:pPr>
      <w:r>
        <w:rPr>
          <w:rFonts w:ascii="宋体" w:cs="仿宋" w:eastAsia="宋体" w:hAnsi="宋体" w:hint="eastAsia"/>
          <w:b/>
          <w:bCs/>
          <w:color w:val="ff0000"/>
          <w:sz w:val="18"/>
          <w:szCs w:val="18"/>
        </w:rPr>
        <w:t>免责不等于无责任。</w:t>
      </w:r>
      <w:r>
        <w:rPr>
          <w:rFonts w:ascii="宋体" w:cs="等线" w:eastAsia="宋体" w:hAnsi="宋体" w:hint="eastAsia"/>
          <w:color w:val="000000"/>
          <w:sz w:val="18"/>
          <w:szCs w:val="18"/>
        </w:rPr>
        <w:t>时效免责；不诉免责（告诉才处理）</w:t>
      </w:r>
      <w:r>
        <w:rPr>
          <w:rFonts w:ascii="宋体" w:cs="仿宋" w:eastAsia="宋体" w:hAnsi="宋体" w:hint="eastAsia"/>
          <w:color w:val="ff0000"/>
          <w:sz w:val="18"/>
          <w:szCs w:val="18"/>
        </w:rPr>
        <w:t>；自愿</w:t>
      </w:r>
      <w:r>
        <w:rPr>
          <w:rFonts w:ascii="宋体" w:cs="等线" w:eastAsia="宋体" w:hAnsi="宋体" w:hint="eastAsia"/>
          <w:color w:val="000000"/>
          <w:sz w:val="18"/>
          <w:szCs w:val="18"/>
        </w:rPr>
        <w:t>协议免责；自首、立功免责；人道主义免责</w:t>
      </w:r>
    </w:p>
    <w:p w14:paraId="7A96C2BC">
      <w:pPr>
        <w:pStyle w:val="style0"/>
        <w:spacing w:lineRule="auto" w:line="240"/>
        <w:ind w:firstLine="420"/>
        <w:rPr>
          <w:rFonts w:ascii="宋体" w:cs="仿宋" w:eastAsia="宋体" w:hAnsi="宋体" w:hint="eastAsia"/>
          <w:b/>
          <w:bCs/>
          <w:color w:val="ff0000"/>
          <w:sz w:val="18"/>
          <w:szCs w:val="18"/>
        </w:rPr>
      </w:pPr>
      <w:r>
        <w:rPr>
          <w:rFonts w:ascii="宋体" w:cs="仿宋" w:eastAsia="宋体" w:hAnsi="宋体" w:hint="eastAsia"/>
          <w:b/>
          <w:bCs/>
          <w:color w:val="ff0000"/>
          <w:sz w:val="18"/>
          <w:szCs w:val="18"/>
        </w:rPr>
        <w:t>注意：协议免责仅适用于民事违法或违约行为。法律责任不一定必然导致法律制裁</w:t>
      </w:r>
    </w:p>
    <w:p w14:paraId="31D32441">
      <w:pPr>
        <w:pStyle w:val="style0"/>
        <w:spacing w:lineRule="auto" w:line="240"/>
        <w:rPr>
          <w:rFonts w:ascii="宋体" w:eastAsia="宋体" w:hAnsi="宋体" w:hint="eastAsia"/>
          <w:sz w:val="18"/>
          <w:szCs w:val="18"/>
        </w:rPr>
      </w:pPr>
    </w:p>
    <w:sectPr>
      <w:footerReference w:type="default" r:id="rId2"/>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宋体">
    <w:altName w:val="SimSun"/>
    <w:panose1 w:val="02010600030000010101"/>
    <w:charset w:val="86"/>
    <w:family w:val="auto"/>
    <w:pitch w:val="variable"/>
    <w:sig w:usb0="00000203" w:usb1="288F0000" w:usb2="00000016" w:usb3="00000000" w:csb0="00040001" w:csb1="00000000"/>
  </w:font>
  <w:font w:name="等线">
    <w:altName w:val="DengXian"/>
    <w:panose1 w:val="02010600030000010101"/>
    <w:charset w:val="86"/>
    <w:family w:val="auto"/>
    <w:pitch w:val="variable"/>
    <w:sig w:usb0="A00002BF" w:usb1="38CF7CFA" w:usb2="00000016" w:usb3="00000000" w:csb0="0004000F" w:csb1="00000000"/>
  </w:font>
  <w:font w:name="等线 Light">
    <w:altName w:val="等线 Light"/>
    <w:panose1 w:val="02010600030000010101"/>
    <w:charset w:val="86"/>
    <w:family w:val="auto"/>
    <w:pitch w:val="variable"/>
    <w:sig w:usb0="A00002BF" w:usb1="38CF7CFA" w:usb2="00000016" w:usb3="00000000" w:csb0="0004000F" w:csb1="00000000"/>
  </w:font>
  <w:font w:name="Courier New">
    <w:altName w:val="Courier New"/>
    <w:panose1 w:val="02070309020000020404"/>
    <w:charset w:val="00"/>
    <w:family w:val="modern"/>
    <w:pitch w:val="fixed"/>
    <w:sig w:usb0="E0002EFF" w:usb1="C0007843" w:usb2="00000009" w:usb3="00000000" w:csb0="000001FF" w:csb1="00000000"/>
  </w:font>
  <w:font w:name="Calibri">
    <w:altName w:val="Calibri"/>
    <w:panose1 w:val="020f0502020000030204"/>
    <w:charset w:val="00"/>
    <w:family w:val="swiss"/>
    <w:pitch w:val="variable"/>
    <w:sig w:usb0="E4002EFF" w:usb1="C200247B" w:usb2="00000009" w:usb3="00000000" w:csb0="000001FF" w:csb1="00000000"/>
  </w:font>
  <w:font w:name="Sylfaen">
    <w:altName w:val="Sylfaen"/>
    <w:panose1 w:val="010a0502050000030303"/>
    <w:charset w:val="00"/>
    <w:family w:val="roman"/>
    <w:pitch w:val="variable"/>
    <w:sig w:usb0="04000687" w:usb1="00000000" w:usb2="00000000" w:usb3="00000000" w:csb0="0000009F" w:csb1="00000000"/>
  </w:font>
  <w:font w:name="仿宋">
    <w:altName w:val="仿宋"/>
    <w:panose1 w:val="02010609060000010101"/>
    <w:charset w:val="86"/>
    <w:family w:val="modern"/>
    <w:pitch w:val="fixed"/>
    <w:sig w:usb0="800002BF" w:usb1="38CF7CFA" w:usb2="00000016" w:usb3="00000000" w:csb0="00040001" w:csb1="00000000"/>
  </w:font>
  <w:font w:name="仿宋_GB2312">
    <w:altName w:val="微软雅黑"/>
    <w:panose1 w:val="00000000000000000000"/>
    <w:charset w:val="00"/>
    <w:family w:val="modern"/>
    <w:pitch w:val="default"/>
    <w:sig w:usb0="00000000" w:usb1="00000000" w:usb2="00000010" w:usb3="00000000" w:csb0="0004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2EBF14A1">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8636B">
    <w:pPr>
      <w:pStyle w:val="style32"/>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0C39752"/>
    <w:lvl w:ilvl="0">
      <w:start w:val="1"/>
      <w:numFmt w:val="decimal"/>
      <w:suff w:val="nothing"/>
      <w:lvlText w:val="（%1）"/>
      <w:lvlJc w:val="left"/>
      <w:pPr/>
    </w:lvl>
  </w:abstractNum>
  <w:abstractNum w:abstractNumId="1">
    <w:nsid w:val="00000001"/>
    <w:multiLevelType w:val="singleLevel"/>
    <w:tmpl w:val="98435C2E"/>
    <w:lvl w:ilvl="0">
      <w:start w:val="1"/>
      <w:numFmt w:val="chineseCounting"/>
      <w:suff w:val="nothing"/>
      <w:lvlText w:val="第%1，"/>
      <w:lvlJc w:val="left"/>
      <w:pPr/>
      <w:rPr>
        <w:rFonts w:hint="eastAsia"/>
      </w:rPr>
    </w:lvl>
  </w:abstractNum>
  <w:abstractNum w:abstractNumId="2">
    <w:nsid w:val="00000002"/>
    <w:multiLevelType w:val="singleLevel"/>
    <w:tmpl w:val="9B5A7C24"/>
    <w:lvl w:ilvl="0">
      <w:start w:val="1"/>
      <w:numFmt w:val="upperLetter"/>
      <w:suff w:val="space"/>
      <w:lvlText w:val="%1."/>
      <w:lvlJc w:val="left"/>
      <w:pPr/>
    </w:lvl>
  </w:abstractNum>
  <w:abstractNum w:abstractNumId="3">
    <w:nsid w:val="00000003"/>
    <w:multiLevelType w:val="singleLevel"/>
    <w:tmpl w:val="C379426B"/>
    <w:lvl w:ilvl="0">
      <w:start w:val="1"/>
      <w:numFmt w:val="upperLetter"/>
      <w:suff w:val="space"/>
      <w:lvlText w:val="%1."/>
      <w:lvlJc w:val="left"/>
      <w:pPr/>
    </w:lvl>
  </w:abstractNum>
  <w:abstractNum w:abstractNumId="4">
    <w:nsid w:val="00000004"/>
    <w:multiLevelType w:val="singleLevel"/>
    <w:tmpl w:val="CCDEA7CD"/>
    <w:lvl w:ilvl="0">
      <w:start w:val="1"/>
      <w:numFmt w:val="decimal"/>
      <w:suff w:val="nothing"/>
      <w:lvlText w:val="（%1）"/>
      <w:lvlJc w:val="left"/>
      <w:pPr/>
    </w:lvl>
  </w:abstractNum>
  <w:abstractNum w:abstractNumId="5">
    <w:nsid w:val="00000005"/>
    <w:multiLevelType w:val="singleLevel"/>
    <w:tmpl w:val="D6AE9B57"/>
    <w:lvl w:ilvl="0">
      <w:start w:val="1"/>
      <w:numFmt w:val="chineseCounting"/>
      <w:suff w:val="nothing"/>
      <w:lvlText w:val="第%1，"/>
      <w:lvlJc w:val="left"/>
      <w:pPr/>
      <w:rPr>
        <w:rFonts w:hint="eastAsia"/>
      </w:rPr>
    </w:lvl>
  </w:abstractNum>
  <w:abstractNum w:abstractNumId="6">
    <w:nsid w:val="00000006"/>
    <w:multiLevelType w:val="singleLevel"/>
    <w:tmpl w:val="DFE71138"/>
    <w:lvl w:ilvl="0">
      <w:start w:val="1"/>
      <w:numFmt w:val="decimal"/>
      <w:suff w:val="nothing"/>
      <w:lvlText w:val="（%1）"/>
      <w:lvlJc w:val="left"/>
      <w:pPr/>
    </w:lvl>
  </w:abstractNum>
  <w:abstractNum w:abstractNumId="7">
    <w:nsid w:val="00000007"/>
    <w:multiLevelType w:val="singleLevel"/>
    <w:tmpl w:val="E63372BE"/>
    <w:lvl w:ilvl="0">
      <w:start w:val="1"/>
      <w:numFmt w:val="decimal"/>
      <w:suff w:val="nothing"/>
      <w:lvlText w:val="（%1）"/>
      <w:lvlJc w:val="left"/>
      <w:pPr/>
    </w:lvl>
  </w:abstractNum>
  <w:abstractNum w:abstractNumId="8">
    <w:nsid w:val="00000008"/>
    <w:multiLevelType w:val="hybridMultilevel"/>
    <w:tmpl w:val="E566F79E"/>
    <w:lvl w:ilvl="0" w:tplc="8D50B96C">
      <w:start w:val="1"/>
      <w:numFmt w:val="decimal"/>
      <w:lvlText w:val="%1."/>
      <w:lvlJc w:val="left"/>
      <w:pPr>
        <w:ind w:left="782" w:hanging="360"/>
      </w:pPr>
      <w:rPr>
        <w:rFonts w:eastAsia="宋体" w:hint="default"/>
        <w:b/>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9">
    <w:nsid w:val="00000009"/>
    <w:multiLevelType w:val="hybridMultilevel"/>
    <w:tmpl w:val="D1BEF96A"/>
    <w:lvl w:ilvl="0" w:tplc="CCD21AF0">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0">
    <w:nsid w:val="0000000A"/>
    <w:multiLevelType w:val="singleLevel"/>
    <w:tmpl w:val="3CB42740"/>
    <w:lvl w:ilvl="0">
      <w:start w:val="1"/>
      <w:numFmt w:val="chineseCounting"/>
      <w:suff w:val="nothing"/>
      <w:lvlText w:val="%1、"/>
      <w:lvlJc w:val="left"/>
      <w:pPr/>
      <w:rPr>
        <w:rFonts w:hint="eastAsia"/>
      </w:rPr>
    </w:lvl>
  </w:abstractNum>
  <w:abstractNum w:abstractNumId="11">
    <w:nsid w:val="0000000B"/>
    <w:multiLevelType w:val="multilevel"/>
    <w:tmpl w:val="47EE4100"/>
    <w:lvl w:ilvl="0">
      <w:start w:val="4"/>
      <w:numFmt w:val="japaneseCounting"/>
      <w:lvlText w:val="（%1）"/>
      <w:lvlJc w:val="left"/>
      <w:pPr>
        <w:ind w:left="1140" w:hanging="720"/>
      </w:pPr>
      <w:rPr>
        <w:rFonts w:hint="eastAsia"/>
      </w:rPr>
    </w:lvl>
    <w:lvl w:ilvl="1">
      <w:start w:val="1"/>
      <w:numFmt w:val="lowerLetter"/>
      <w:lvlText w:val="%2)"/>
      <w:lvlJc w:val="left"/>
      <w:pPr>
        <w:ind w:left="1380" w:hanging="480"/>
      </w:pPr>
    </w:lvl>
    <w:lvl w:ilvl="2">
      <w:start w:val="1"/>
      <w:numFmt w:val="lowerRoman"/>
      <w:lvlText w:val="%3."/>
      <w:lvlJc w:val="right"/>
      <w:pPr>
        <w:ind w:left="1860" w:hanging="480"/>
      </w:pPr>
    </w:lvl>
    <w:lvl w:ilvl="3">
      <w:start w:val="1"/>
      <w:numFmt w:val="decimal"/>
      <w:lvlText w:val="%4."/>
      <w:lvlJc w:val="left"/>
      <w:pPr>
        <w:ind w:left="2340" w:hanging="480"/>
      </w:pPr>
    </w:lvl>
    <w:lvl w:ilvl="4">
      <w:start w:val="1"/>
      <w:numFmt w:val="lowerLetter"/>
      <w:lvlText w:val="%5)"/>
      <w:lvlJc w:val="left"/>
      <w:pPr>
        <w:ind w:left="2820" w:hanging="480"/>
      </w:pPr>
    </w:lvl>
    <w:lvl w:ilvl="5">
      <w:start w:val="1"/>
      <w:numFmt w:val="lowerRoman"/>
      <w:lvlText w:val="%6."/>
      <w:lvlJc w:val="right"/>
      <w:pPr>
        <w:ind w:left="3300" w:hanging="480"/>
      </w:pPr>
    </w:lvl>
    <w:lvl w:ilvl="6">
      <w:start w:val="1"/>
      <w:numFmt w:val="decimal"/>
      <w:lvlText w:val="%7."/>
      <w:lvlJc w:val="left"/>
      <w:pPr>
        <w:ind w:left="3780" w:hanging="480"/>
      </w:pPr>
    </w:lvl>
    <w:lvl w:ilvl="7">
      <w:start w:val="1"/>
      <w:numFmt w:val="lowerLetter"/>
      <w:lvlText w:val="%8)"/>
      <w:lvlJc w:val="left"/>
      <w:pPr>
        <w:ind w:left="4260" w:hanging="480"/>
      </w:pPr>
    </w:lvl>
    <w:lvl w:ilvl="8">
      <w:start w:val="1"/>
      <w:numFmt w:val="lowerRoman"/>
      <w:lvlText w:val="%9."/>
      <w:lvlJc w:val="right"/>
      <w:pPr>
        <w:ind w:left="4740" w:hanging="480"/>
      </w:pPr>
    </w:lvl>
  </w:abstractNum>
  <w:abstractNum w:abstractNumId="12">
    <w:nsid w:val="0000000C"/>
    <w:multiLevelType w:val="singleLevel"/>
    <w:tmpl w:val="4A83FB8D"/>
    <w:lvl w:ilvl="0">
      <w:start w:val="1"/>
      <w:numFmt w:val="chineseCounting"/>
      <w:suff w:val="nothing"/>
      <w:lvlText w:val="（%1）"/>
      <w:lvlJc w:val="left"/>
      <w:pPr>
        <w:ind w:left="420" w:firstLine="0"/>
      </w:pPr>
      <w:rPr>
        <w:rFonts w:hint="eastAsia"/>
      </w:rPr>
    </w:lvl>
  </w:abstractNum>
  <w:abstractNum w:abstractNumId="13">
    <w:nsid w:val="0000000D"/>
    <w:multiLevelType w:val="hybridMultilevel"/>
    <w:tmpl w:val="21369ECE"/>
    <w:lvl w:ilvl="0" w:tplc="082868E2">
      <w:start w:val="1"/>
      <w:numFmt w:val="japaneseCounting"/>
      <w:lvlText w:val="%1、"/>
      <w:lvlJc w:val="left"/>
      <w:pPr>
        <w:ind w:left="862" w:hanging="44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4">
    <w:nsid w:val="0000000E"/>
    <w:multiLevelType w:val="singleLevel"/>
    <w:tmpl w:val="5AAB21E1"/>
    <w:lvl w:ilvl="0">
      <w:start w:val="1"/>
      <w:numFmt w:val="decimal"/>
      <w:lvlText w:val="%1."/>
      <w:lvlJc w:val="left"/>
      <w:pPr>
        <w:tabs>
          <w:tab w:val="left" w:leader="none" w:pos="312"/>
        </w:tabs>
        <w:ind w:left="525" w:firstLine="0"/>
      </w:pPr>
    </w:lvl>
  </w:abstractNum>
  <w:abstractNum w:abstractNumId="15">
    <w:nsid w:val="0000000F"/>
    <w:multiLevelType w:val="singleLevel"/>
    <w:tmpl w:val="7FDA92DD"/>
    <w:lvl w:ilvl="0">
      <w:start w:val="2"/>
      <w:numFmt w:val="decimal"/>
      <w:lvlText w:val="%1."/>
      <w:lvlJc w:val="left"/>
      <w:pPr>
        <w:tabs>
          <w:tab w:val="left" w:leader="none" w:pos="312"/>
        </w:tabs>
      </w:pPr>
    </w:lvl>
  </w:abstractNum>
  <w:num w:numId="1">
    <w:abstractNumId w:val="9"/>
  </w:num>
  <w:num w:numId="2">
    <w:abstractNumId w:val="7"/>
  </w:num>
  <w:num w:numId="3">
    <w:abstractNumId w:val="13"/>
  </w:num>
  <w:num w:numId="4">
    <w:abstractNumId w:val="2"/>
  </w:num>
  <w:num w:numId="5">
    <w:abstractNumId w:val="10"/>
  </w:num>
  <w:num w:numId="6">
    <w:abstractNumId w:val="5"/>
  </w:num>
  <w:num w:numId="7">
    <w:abstractNumId w:val="12"/>
  </w:num>
  <w:num w:numId="8">
    <w:abstractNumId w:val="1"/>
  </w:num>
  <w:num w:numId="9">
    <w:abstractNumId w:val="14"/>
  </w:num>
  <w:num w:numId="10">
    <w:abstractNumId w:val="6"/>
  </w:num>
  <w:num w:numId="11">
    <w:abstractNumId w:val="4"/>
  </w:num>
  <w:num w:numId="12">
    <w:abstractNumId w:val="3"/>
  </w:num>
  <w:num w:numId="13">
    <w:abstractNumId w:val="15"/>
  </w:num>
  <w:num w:numId="14">
    <w:abstractNumId w:val="0"/>
  </w:num>
  <w:num w:numId="15">
    <w:abstractNumId w:val="11"/>
  </w:num>
  <w:num w:numId="16">
    <w:abstractNumId w:val="8"/>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style>
  <w:style w:type="paragraph" w:styleId="style1">
    <w:name w:val="heading 1"/>
    <w:basedOn w:val="style0"/>
    <w:next w:val="style0"/>
    <w:link w:val="style4097"/>
    <w:qFormat/>
    <w:uiPriority w:val="9"/>
    <w:pPr>
      <w:widowControl/>
      <w:spacing w:before="100" w:beforeAutospacing="true" w:after="100" w:afterAutospacing="true"/>
      <w:jc w:val="left"/>
      <w:outlineLvl w:val="0"/>
    </w:pPr>
    <w:rPr>
      <w:rFonts w:ascii="宋体" w:cs="宋体" w:eastAsia="宋体" w:hAnsi="宋体"/>
      <w:b/>
      <w:bCs/>
      <w:kern w:val="36"/>
      <w:sz w:val="48"/>
      <w:szCs w:val="48"/>
    </w:rPr>
  </w:style>
  <w:style w:type="paragraph" w:styleId="style2">
    <w:name w:val="heading 2"/>
    <w:basedOn w:val="style0"/>
    <w:next w:val="style0"/>
    <w:link w:val="style4112"/>
    <w:qFormat/>
    <w:uiPriority w:val="9"/>
    <w:pPr>
      <w:keepNext/>
      <w:keepLines/>
      <w:spacing w:before="260" w:after="260" w:lineRule="auto" w:line="416"/>
      <w:outlineLvl w:val="1"/>
    </w:pPr>
    <w:rPr>
      <w:rFonts w:ascii="等线 Light" w:cs="等线 Light" w:eastAsia="等线 Light" w:hAnsi="等线 Light"/>
      <w:b/>
      <w:bCs/>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qFormat/>
    <w:uiPriority w:val="39"/>
    <w:pPr/>
    <w:rPr>
      <w:rFonts w:ascii="Times New Roman" w:cs="Times New Roman" w:eastAsia="宋体" w:hAnsi="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179">
    <w:name w:val="List Paragraph"/>
    <w:basedOn w:val="style0"/>
    <w:next w:val="style179"/>
    <w:qFormat/>
    <w:uiPriority w:val="34"/>
    <w:pPr>
      <w:ind w:firstLine="420" w:firstLineChars="200"/>
    </w:pPr>
    <w:rPr/>
  </w:style>
  <w:style w:type="character" w:customStyle="1" w:styleId="style4097">
    <w:name w:val="标题 1 字符"/>
    <w:basedOn w:val="style65"/>
    <w:next w:val="style4097"/>
    <w:link w:val="style1"/>
    <w:qFormat/>
    <w:uiPriority w:val="9"/>
    <w:rPr>
      <w:rFonts w:ascii="宋体" w:cs="宋体" w:eastAsia="宋体" w:hAnsi="宋体"/>
      <w:b/>
      <w:bCs/>
      <w:kern w:val="36"/>
      <w:sz w:val="48"/>
      <w:szCs w:val="48"/>
    </w:rPr>
  </w:style>
  <w:style w:type="paragraph" w:styleId="style90">
    <w:name w:val="Plain Text"/>
    <w:basedOn w:val="style0"/>
    <w:next w:val="style90"/>
    <w:link w:val="style4098"/>
    <w:qFormat/>
    <w:uiPriority w:val="99"/>
    <w:pPr/>
    <w:rPr>
      <w:rFonts w:ascii="宋体" w:cs="Courier New" w:eastAsia="宋体" w:hAnsi="Courier New"/>
      <w:szCs w:val="21"/>
    </w:rPr>
  </w:style>
  <w:style w:type="character" w:customStyle="1" w:styleId="style4098">
    <w:name w:val="纯文本 字符"/>
    <w:basedOn w:val="style65"/>
    <w:next w:val="style4098"/>
    <w:link w:val="style90"/>
    <w:qFormat/>
    <w:uiPriority w:val="99"/>
    <w:rPr>
      <w:rFonts w:ascii="宋体" w:cs="Courier New" w:eastAsia="宋体" w:hAnsi="Courier New"/>
      <w:szCs w:val="21"/>
    </w:rPr>
  </w:style>
  <w:style w:type="paragraph" w:customStyle="1" w:styleId="style4099">
    <w:name w:val="标题 21"/>
    <w:basedOn w:val="style0"/>
    <w:next w:val="style0"/>
    <w:qFormat/>
    <w:uiPriority w:val="9"/>
    <w:pPr>
      <w:keepNext/>
      <w:keepLines/>
      <w:spacing w:before="260" w:after="260" w:lineRule="auto" w:line="416"/>
      <w:outlineLvl w:val="1"/>
    </w:pPr>
    <w:rPr>
      <w:rFonts w:ascii="等线 Light" w:cs="等线 Light" w:eastAsia="等线 Light" w:hAnsi="等线 Light"/>
      <w:b/>
      <w:bCs/>
      <w:sz w:val="32"/>
      <w:szCs w:val="32"/>
    </w:rPr>
  </w:style>
  <w:style w:type="numbering" w:customStyle="1" w:styleId="style4100">
    <w:name w:val="无列表1"/>
    <w:next w:val="style107"/>
    <w:uiPriority w:val="99"/>
    <w:pPr/>
  </w:style>
  <w:style w:type="paragraph" w:styleId="style25">
    <w:name w:val="toc 7"/>
    <w:basedOn w:val="style0"/>
    <w:next w:val="style0"/>
    <w:qFormat/>
    <w:uiPriority w:val="39"/>
    <w:pPr>
      <w:ind w:left="1260"/>
    </w:pPr>
    <w:rPr/>
  </w:style>
  <w:style w:type="paragraph" w:styleId="style89">
    <w:name w:val="Document Map"/>
    <w:basedOn w:val="style0"/>
    <w:next w:val="style89"/>
    <w:link w:val="style4101"/>
    <w:qFormat/>
    <w:uiPriority w:val="99"/>
    <w:pPr/>
    <w:rPr>
      <w:rFonts w:ascii="宋体" w:eastAsia="宋体"/>
      <w:sz w:val="24"/>
      <w:szCs w:val="24"/>
    </w:rPr>
  </w:style>
  <w:style w:type="character" w:customStyle="1" w:styleId="style4101">
    <w:name w:val="文档结构图 字符"/>
    <w:basedOn w:val="style65"/>
    <w:next w:val="style4101"/>
    <w:link w:val="style89"/>
    <w:qFormat/>
    <w:uiPriority w:val="99"/>
    <w:rPr>
      <w:rFonts w:ascii="宋体" w:eastAsia="宋体"/>
      <w:sz w:val="24"/>
      <w:szCs w:val="24"/>
    </w:rPr>
  </w:style>
  <w:style w:type="paragraph" w:styleId="style30">
    <w:name w:val="annotation text"/>
    <w:basedOn w:val="style0"/>
    <w:next w:val="style30"/>
    <w:link w:val="style4102"/>
    <w:qFormat/>
    <w:uiPriority w:val="99"/>
    <w:pPr>
      <w:jc w:val="left"/>
    </w:pPr>
    <w:rPr/>
  </w:style>
  <w:style w:type="character" w:customStyle="1" w:styleId="style4102">
    <w:name w:val="批注文字 字符"/>
    <w:basedOn w:val="style65"/>
    <w:next w:val="style4102"/>
    <w:link w:val="style30"/>
    <w:qFormat/>
    <w:uiPriority w:val="99"/>
  </w:style>
  <w:style w:type="paragraph" w:styleId="style23">
    <w:name w:val="toc 5"/>
    <w:basedOn w:val="style0"/>
    <w:next w:val="style0"/>
    <w:qFormat/>
    <w:uiPriority w:val="39"/>
    <w:pPr>
      <w:ind w:left="840"/>
    </w:pPr>
    <w:rPr/>
  </w:style>
  <w:style w:type="paragraph" w:styleId="style21">
    <w:name w:val="toc 3"/>
    <w:basedOn w:val="style0"/>
    <w:next w:val="style0"/>
    <w:qFormat/>
    <w:uiPriority w:val="39"/>
    <w:pPr>
      <w:ind w:left="420"/>
    </w:pPr>
    <w:rPr/>
  </w:style>
  <w:style w:type="paragraph" w:styleId="style26">
    <w:name w:val="toc 8"/>
    <w:basedOn w:val="style0"/>
    <w:next w:val="style0"/>
    <w:qFormat/>
    <w:uiPriority w:val="39"/>
    <w:pPr>
      <w:ind w:left="1470"/>
    </w:pPr>
    <w:rPr/>
  </w:style>
  <w:style w:type="paragraph" w:styleId="style76">
    <w:name w:val="Date"/>
    <w:basedOn w:val="style0"/>
    <w:next w:val="style0"/>
    <w:link w:val="style4103"/>
    <w:qFormat/>
    <w:uiPriority w:val="99"/>
    <w:pPr>
      <w:ind w:left="100" w:leftChars="2500"/>
    </w:pPr>
    <w:rPr/>
  </w:style>
  <w:style w:type="character" w:customStyle="1" w:styleId="style4103">
    <w:name w:val="日期 字符"/>
    <w:basedOn w:val="style65"/>
    <w:next w:val="style4103"/>
    <w:link w:val="style76"/>
    <w:qFormat/>
    <w:uiPriority w:val="99"/>
  </w:style>
  <w:style w:type="paragraph" w:styleId="style153">
    <w:name w:val="Balloon Text"/>
    <w:basedOn w:val="style0"/>
    <w:next w:val="style153"/>
    <w:link w:val="style4104"/>
    <w:qFormat/>
    <w:uiPriority w:val="99"/>
    <w:pPr/>
    <w:rPr>
      <w:rFonts w:ascii="宋体" w:eastAsia="宋体"/>
      <w:sz w:val="18"/>
      <w:szCs w:val="18"/>
    </w:rPr>
  </w:style>
  <w:style w:type="character" w:customStyle="1" w:styleId="style4104">
    <w:name w:val="批注框文本 字符"/>
    <w:basedOn w:val="style65"/>
    <w:next w:val="style4104"/>
    <w:link w:val="style153"/>
    <w:qFormat/>
    <w:uiPriority w:val="99"/>
    <w:rPr>
      <w:rFonts w:ascii="宋体" w:eastAsia="宋体"/>
      <w:sz w:val="18"/>
      <w:szCs w:val="18"/>
    </w:rPr>
  </w:style>
  <w:style w:type="paragraph" w:styleId="style32">
    <w:name w:val="footer"/>
    <w:basedOn w:val="style0"/>
    <w:next w:val="style32"/>
    <w:link w:val="style4105"/>
    <w:qFormat/>
    <w:uiPriority w:val="99"/>
    <w:pPr>
      <w:tabs>
        <w:tab w:val="center" w:leader="none" w:pos="4153"/>
        <w:tab w:val="right" w:leader="none" w:pos="8306"/>
      </w:tabs>
      <w:snapToGrid w:val="false"/>
      <w:jc w:val="left"/>
    </w:pPr>
    <w:rPr>
      <w:sz w:val="18"/>
      <w:szCs w:val="18"/>
    </w:rPr>
  </w:style>
  <w:style w:type="character" w:customStyle="1" w:styleId="style4105">
    <w:name w:val="页脚 字符"/>
    <w:basedOn w:val="style65"/>
    <w:next w:val="style4105"/>
    <w:link w:val="style32"/>
    <w:qFormat/>
    <w:uiPriority w:val="99"/>
    <w:rPr>
      <w:sz w:val="18"/>
      <w:szCs w:val="18"/>
    </w:rPr>
  </w:style>
  <w:style w:type="paragraph" w:styleId="style31">
    <w:name w:val="header"/>
    <w:basedOn w:val="style0"/>
    <w:next w:val="style31"/>
    <w:link w:val="style4106"/>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106">
    <w:name w:val="页眉 字符"/>
    <w:basedOn w:val="style65"/>
    <w:next w:val="style4106"/>
    <w:link w:val="style31"/>
    <w:qFormat/>
    <w:uiPriority w:val="99"/>
    <w:rPr>
      <w:sz w:val="18"/>
      <w:szCs w:val="18"/>
    </w:rPr>
  </w:style>
  <w:style w:type="paragraph" w:styleId="style19">
    <w:name w:val="toc 1"/>
    <w:basedOn w:val="style0"/>
    <w:next w:val="style0"/>
    <w:qFormat/>
    <w:uiPriority w:val="39"/>
    <w:pPr/>
  </w:style>
  <w:style w:type="paragraph" w:styleId="style22">
    <w:name w:val="toc 4"/>
    <w:basedOn w:val="style0"/>
    <w:next w:val="style0"/>
    <w:qFormat/>
    <w:uiPriority w:val="39"/>
    <w:pPr>
      <w:ind w:left="630"/>
    </w:pPr>
    <w:rPr/>
  </w:style>
  <w:style w:type="paragraph" w:styleId="style29">
    <w:name w:val="footnote text"/>
    <w:basedOn w:val="style0"/>
    <w:next w:val="style29"/>
    <w:link w:val="style4107"/>
    <w:qFormat/>
    <w:uiPriority w:val="99"/>
    <w:pPr>
      <w:snapToGrid w:val="false"/>
      <w:jc w:val="left"/>
    </w:pPr>
    <w:rPr>
      <w:sz w:val="18"/>
      <w:szCs w:val="18"/>
    </w:rPr>
  </w:style>
  <w:style w:type="character" w:customStyle="1" w:styleId="style4107">
    <w:name w:val="脚注文本 字符"/>
    <w:basedOn w:val="style65"/>
    <w:next w:val="style4107"/>
    <w:link w:val="style29"/>
    <w:qFormat/>
    <w:uiPriority w:val="99"/>
    <w:rPr>
      <w:sz w:val="18"/>
      <w:szCs w:val="18"/>
    </w:rPr>
  </w:style>
  <w:style w:type="paragraph" w:styleId="style24">
    <w:name w:val="toc 6"/>
    <w:basedOn w:val="style0"/>
    <w:next w:val="style0"/>
    <w:qFormat/>
    <w:uiPriority w:val="39"/>
    <w:pPr>
      <w:ind w:left="1050"/>
    </w:pPr>
    <w:rPr/>
  </w:style>
  <w:style w:type="paragraph" w:styleId="style20">
    <w:name w:val="toc 2"/>
    <w:basedOn w:val="style0"/>
    <w:next w:val="style0"/>
    <w:qFormat/>
    <w:uiPriority w:val="39"/>
    <w:pPr>
      <w:ind w:left="210"/>
    </w:pPr>
    <w:rPr/>
  </w:style>
  <w:style w:type="paragraph" w:styleId="style27">
    <w:name w:val="toc 9"/>
    <w:basedOn w:val="style0"/>
    <w:next w:val="style0"/>
    <w:qFormat/>
    <w:uiPriority w:val="39"/>
    <w:pPr>
      <w:ind w:left="1680"/>
    </w:pPr>
    <w:rPr/>
  </w:style>
  <w:style w:type="paragraph" w:styleId="style101">
    <w:name w:val="HTML Preformatted"/>
    <w:basedOn w:val="style0"/>
    <w:next w:val="style101"/>
    <w:link w:val="style4108"/>
    <w:qFormat/>
    <w:uiPriority w:val="99"/>
    <w:pPr>
      <w:widowControl/>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left"/>
    </w:pPr>
    <w:rPr>
      <w:rFonts w:ascii="宋体" w:cs="宋体" w:eastAsia="宋体" w:hAnsi="宋体"/>
      <w:kern w:val="0"/>
      <w:sz w:val="24"/>
      <w:szCs w:val="24"/>
    </w:rPr>
  </w:style>
  <w:style w:type="character" w:customStyle="1" w:styleId="style4108">
    <w:name w:val="HTML 预设格式 字符"/>
    <w:basedOn w:val="style65"/>
    <w:next w:val="style4108"/>
    <w:link w:val="style101"/>
    <w:qFormat/>
    <w:uiPriority w:val="99"/>
    <w:rPr>
      <w:rFonts w:ascii="宋体" w:cs="宋体" w:eastAsia="宋体" w:hAnsi="宋体"/>
      <w:kern w:val="0"/>
      <w:sz w:val="24"/>
      <w:szCs w:val="24"/>
    </w:rPr>
  </w:style>
  <w:style w:type="paragraph" w:styleId="style94">
    <w:name w:val="Normal (Web)"/>
    <w:basedOn w:val="style0"/>
    <w:next w:val="style94"/>
    <w:qFormat/>
    <w:uiPriority w:val="99"/>
    <w:pPr>
      <w:widowControl/>
      <w:spacing w:before="100" w:beforeAutospacing="true" w:after="100" w:afterAutospacing="true"/>
      <w:jc w:val="left"/>
    </w:pPr>
    <w:rPr>
      <w:rFonts w:ascii="宋体" w:cs="宋体" w:eastAsia="宋体" w:hAnsi="宋体"/>
      <w:kern w:val="0"/>
      <w:sz w:val="24"/>
      <w:szCs w:val="24"/>
    </w:rPr>
  </w:style>
  <w:style w:type="paragraph" w:styleId="style106">
    <w:name w:val="annotation subject"/>
    <w:basedOn w:val="style30"/>
    <w:next w:val="style30"/>
    <w:link w:val="style4109"/>
    <w:qFormat/>
    <w:uiPriority w:val="99"/>
    <w:pPr/>
    <w:rPr>
      <w:b/>
      <w:bCs/>
    </w:rPr>
  </w:style>
  <w:style w:type="character" w:customStyle="1" w:styleId="style4109">
    <w:name w:val="批注主题 字符"/>
    <w:basedOn w:val="style4102"/>
    <w:next w:val="style4109"/>
    <w:link w:val="style106"/>
    <w:qFormat/>
    <w:uiPriority w:val="99"/>
    <w:rPr>
      <w:b/>
      <w:bCs/>
    </w:rPr>
  </w:style>
  <w:style w:type="table" w:customStyle="1" w:styleId="style4110">
    <w:name w:val="网格型1"/>
    <w:basedOn w:val="style105"/>
    <w:next w:val="style154"/>
    <w:qFormat/>
    <w:uiPriority w:val="39"/>
    <w:pPr/>
    <w:rPr>
      <w:rFonts w:ascii="Calibri" w:cs="Times New Roman" w:eastAsia="宋体" w:hAnsi="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styleId="style87">
    <w:name w:val="Strong"/>
    <w:basedOn w:val="style65"/>
    <w:next w:val="style87"/>
    <w:qFormat/>
    <w:uiPriority w:val="22"/>
    <w:rPr>
      <w:b/>
      <w:bCs/>
    </w:rPr>
  </w:style>
  <w:style w:type="character" w:styleId="style41">
    <w:name w:val="page number"/>
    <w:basedOn w:val="style65"/>
    <w:next w:val="style41"/>
    <w:qFormat/>
    <w:uiPriority w:val="99"/>
  </w:style>
  <w:style w:type="character" w:styleId="style88">
    <w:name w:val="Emphasis"/>
    <w:basedOn w:val="style65"/>
    <w:next w:val="style88"/>
    <w:qFormat/>
    <w:uiPriority w:val="20"/>
    <w:rPr>
      <w:i/>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character" w:styleId="style38">
    <w:name w:val="footnote reference"/>
    <w:basedOn w:val="style65"/>
    <w:next w:val="style38"/>
    <w:qFormat/>
    <w:uiPriority w:val="99"/>
    <w:rPr>
      <w:vertAlign w:val="superscript"/>
    </w:rPr>
  </w:style>
  <w:style w:type="character" w:customStyle="1" w:styleId="style4111">
    <w:name w:val="纯文本 Char"/>
    <w:next w:val="style4111"/>
    <w:qFormat/>
    <w:rPr>
      <w:rFonts w:ascii="宋体" w:cs="Courier New" w:eastAsia="宋体" w:hAnsi="Courier New"/>
      <w:szCs w:val="21"/>
    </w:rPr>
  </w:style>
  <w:style w:type="character" w:customStyle="1" w:styleId="style4112">
    <w:name w:val="标题 2 字符"/>
    <w:basedOn w:val="style65"/>
    <w:next w:val="style4112"/>
    <w:link w:val="style2"/>
    <w:qFormat/>
    <w:uiPriority w:val="9"/>
    <w:rPr>
      <w:rFonts w:ascii="等线 Light" w:cs="等线 Light" w:eastAsia="等线 Light" w:hAnsi="等线 Light"/>
      <w:b/>
      <w:bCs/>
      <w:sz w:val="32"/>
      <w:szCs w:val="32"/>
    </w:rPr>
  </w:style>
  <w:style w:type="paragraph" w:customStyle="1" w:styleId="style4113">
    <w:name w:val="正文文本1"/>
    <w:basedOn w:val="style0"/>
    <w:next w:val="style4113"/>
    <w:link w:val="style4115"/>
    <w:qFormat/>
    <w:pPr>
      <w:shd w:val="clear" w:color="auto" w:fill="ffffff"/>
      <w:spacing w:before="480" w:lineRule="exact" w:line="317"/>
      <w:ind w:hanging="240"/>
      <w:jc w:val="distribute"/>
    </w:pPr>
    <w:rPr>
      <w:rFonts w:ascii="宋体" w:cs="宋体" w:eastAsia="宋体" w:hAnsi="宋体"/>
      <w:spacing w:val="-10"/>
      <w:sz w:val="20"/>
      <w:szCs w:val="20"/>
    </w:rPr>
  </w:style>
  <w:style w:type="character" w:customStyle="1" w:styleId="style4114">
    <w:name w:val="正文文本 + Sylfaen"/>
    <w:basedOn w:val="style4115"/>
    <w:next w:val="style4114"/>
    <w:qFormat/>
    <w:rPr>
      <w:rFonts w:ascii="Sylfaen" w:cs="Sylfaen" w:eastAsia="Sylfaen" w:hAnsi="Sylfaen"/>
      <w:color w:val="000000"/>
      <w:spacing w:val="0"/>
      <w:w w:val="100"/>
      <w:position w:val="0"/>
      <w:sz w:val="19"/>
      <w:szCs w:val="19"/>
      <w:shd w:val="clear" w:color="auto" w:fill="ffffff"/>
      <w:lang w:val="zh-CN" w:bidi="zh-CN" w:eastAsia="zh-CN"/>
    </w:rPr>
  </w:style>
  <w:style w:type="character" w:customStyle="1" w:styleId="style4115">
    <w:name w:val="正文文本_"/>
    <w:basedOn w:val="style65"/>
    <w:next w:val="style4115"/>
    <w:link w:val="style4113"/>
    <w:qFormat/>
    <w:rPr>
      <w:rFonts w:ascii="宋体" w:cs="宋体" w:eastAsia="宋体" w:hAnsi="宋体"/>
      <w:spacing w:val="-10"/>
      <w:sz w:val="20"/>
      <w:szCs w:val="20"/>
      <w:shd w:val="clear" w:color="auto" w:fill="ffffff"/>
    </w:rPr>
  </w:style>
  <w:style w:type="character" w:customStyle="1" w:styleId="style4116">
    <w:name w:val="正文文本 + 间距 -2 pt"/>
    <w:basedOn w:val="style4115"/>
    <w:next w:val="style4116"/>
    <w:qFormat/>
    <w:rPr>
      <w:rFonts w:ascii="宋体" w:cs="宋体" w:eastAsia="宋体" w:hAnsi="宋体"/>
      <w:color w:val="000000"/>
      <w:spacing w:val="-40"/>
      <w:w w:val="100"/>
      <w:position w:val="0"/>
      <w:sz w:val="20"/>
      <w:szCs w:val="20"/>
      <w:shd w:val="clear" w:color="auto" w:fill="ffffff"/>
      <w:lang w:val="zh-CN" w:bidi="zh-CN" w:eastAsia="zh-CN"/>
    </w:rPr>
  </w:style>
  <w:style w:type="paragraph" w:customStyle="1" w:styleId="style4117">
    <w:name w:val="列出段落1"/>
    <w:basedOn w:val="style0"/>
    <w:next w:val="style4117"/>
    <w:qFormat/>
    <w:uiPriority w:val="34"/>
    <w:pPr>
      <w:widowControl/>
      <w:ind w:firstLine="420" w:firstLineChars="200"/>
      <w:jc w:val="left"/>
    </w:pPr>
    <w:rPr>
      <w:rFonts w:ascii="宋体" w:cs="宋体" w:hAnsi="宋体"/>
      <w:kern w:val="0"/>
      <w:sz w:val="24"/>
    </w:rPr>
  </w:style>
  <w:style w:type="character" w:customStyle="1" w:styleId="style4118">
    <w:name w:val="标题 2 字符1"/>
    <w:basedOn w:val="style65"/>
    <w:next w:val="style4118"/>
    <w:uiPriority w:val="9"/>
    <w:rPr>
      <w:rFonts w:ascii="等线 Light" w:cs="宋体" w:eastAsia="等线 Light" w:hAnsi="等线 Light"/>
      <w:b/>
      <w:bCs/>
      <w:sz w:val="32"/>
      <w:szCs w:val="32"/>
    </w:rPr>
  </w:style>
  <w:style w:type="numbering" w:customStyle="1" w:styleId="style4119">
    <w:name w:val="无列表2"/>
    <w:next w:val="style107"/>
    <w:uiPriority w:val="99"/>
    <w:pPr/>
  </w:style>
  <w:style w:type="table" w:customStyle="1" w:styleId="style4120">
    <w:name w:val="网格型2"/>
    <w:basedOn w:val="style105"/>
    <w:next w:val="style154"/>
    <w:qFormat/>
    <w:uiPriority w:val="39"/>
    <w:pPr/>
    <w:rPr>
      <w:rFonts w:ascii="Calibri" w:cs="Times New Roman" w:eastAsia="宋体" w:hAnsi="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21">
    <w:name w:val="网格型3"/>
    <w:basedOn w:val="style105"/>
    <w:next w:val="style154"/>
    <w:qFormat/>
    <w:uiPriority w:val="39"/>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Words>3174</Words>
  <Pages>4</Pages>
  <Characters>3322</Characters>
  <Application>WPS Office</Application>
  <DocSecurity>0</DocSecurity>
  <Paragraphs>113</Paragraphs>
  <ScaleCrop>false</ScaleCrop>
  <LinksUpToDate>false</LinksUpToDate>
  <CharactersWithSpaces>3353</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2026-05-18T14:21:00Z</dcterms:created>
  <dc:creator>王 斌洋</dc:creator>
  <lastModifiedBy>SM-S9110</lastModifiedBy>
  <dcterms:modified xsi:type="dcterms:W3CDTF">2026-05-18T14:48:34Z</dcterms:modified>
  <revision>4</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b0fa40efcb7b4f199d6f93a43391c5f3_23</vt:lpwstr>
  </property>
</Properties>
</file>