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sz w:val="22"/>
          <w:szCs w:val="22"/>
          <w:lang w:val="en-US" w:eastAsia="zh-CN"/>
        </w:rPr>
      </w:pPr>
      <w:r>
        <w:rPr>
          <w:rFonts w:hint="eastAsia"/>
          <w:b/>
          <w:bCs/>
          <w:sz w:val="22"/>
          <w:szCs w:val="22"/>
          <w:lang w:val="en-US" w:eastAsia="zh-CN"/>
        </w:rPr>
        <w:t>经济法第三讲课堂笔记（考点2-4）</w:t>
      </w:r>
    </w:p>
    <w:p w14:paraId="5C846C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lang w:val="en-US" w:eastAsia="zh-CN"/>
        </w:rPr>
      </w:pPr>
      <w:r>
        <w:rPr>
          <w:rFonts w:hint="eastAsia" w:ascii="Times New Roman Regular" w:hAnsi="Times New Roman Regular" w:cs="Times New Roman Regular"/>
          <w:b/>
          <w:bCs/>
          <w:sz w:val="18"/>
          <w:szCs w:val="18"/>
          <w:lang w:val="en-US" w:eastAsia="zh-CN"/>
        </w:rPr>
        <w:t>【考点2:消费者法】</w:t>
      </w:r>
    </w:p>
    <w:p w14:paraId="2564945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三、食品安全法</w:t>
      </w:r>
    </w:p>
    <w:p w14:paraId="7185B3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（接续上次课内容）</w:t>
      </w:r>
    </w:p>
    <w:p w14:paraId="621D2A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（四）相关法律责任</w:t>
      </w:r>
    </w:p>
    <w:p w14:paraId="03C4F64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“知假买假”的后果</w:t>
      </w:r>
    </w:p>
    <w:p w14:paraId="41C7C4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因食品、药品质量问题发生纠纷，购买者向生产者、销售者主张权利，生产者、销售者以购买者明知食品、药品存在质量问题而仍然购买为由进行抗辩的，人民法院不予支持</w:t>
      </w:r>
      <w:r>
        <w:rPr>
          <w:rFonts w:hint="eastAsia" w:ascii="Times New Roman Regular" w:hAnsi="Times New Roman Regular" w:cs="Times New Roman Regular"/>
          <w:sz w:val="18"/>
          <w:szCs w:val="18"/>
          <w:u w:val="none"/>
          <w:lang w:val="en-US" w:eastAsia="zh-CN"/>
        </w:rPr>
        <w:t>。购买者明知所购买食品不符合食品</w:t>
      </w:r>
      <w:bookmarkStart w:id="0" w:name="_GoBack"/>
      <w:bookmarkEnd w:id="0"/>
      <w:r>
        <w:rPr>
          <w:rFonts w:hint="eastAsia" w:ascii="Times New Roman Regular" w:hAnsi="Times New Roman Regular" w:cs="Times New Roman Regular"/>
          <w:sz w:val="18"/>
          <w:szCs w:val="18"/>
          <w:u w:val="none"/>
          <w:lang w:val="en-US" w:eastAsia="zh-CN"/>
        </w:rPr>
        <w:t>安全标准，依照《食品安全法》第148条第2款规定请求生产者或者经营者支付价款10倍的惩罚性赔偿金的，人民法院应当在合理生活消费需要范围内依法支持购买者诉讼请求。</w:t>
      </w:r>
    </w:p>
    <w:p w14:paraId="0F0F61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赠品</w:t>
      </w:r>
    </w:p>
    <w:p w14:paraId="17F1BD8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食品、药品生产者、销售者提供给消费者的食品或者药品的赠品发生质量安全问题，造成消费者损害，生产者、销售者不得以消费者未对赠品支付对价为由进行免责抗辩</w:t>
      </w:r>
    </w:p>
    <w:p w14:paraId="31E6A4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虚假广告</w:t>
      </w:r>
    </w:p>
    <w:p w14:paraId="09902E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食品和食品添加剂的标签、说明书，不得含有虚假内容，不得涉及疾病预防、治疗功能。</w:t>
      </w:r>
    </w:p>
    <w:p w14:paraId="2C842E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食品广告的内容不得涉及疾病预防、治疗功能。</w:t>
      </w:r>
    </w:p>
    <w:p w14:paraId="5965DBC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社会团体或者其他组织、个人在虚假广告中向消费者推荐食品，使消费者的合法权益受到损害的，应当与食品生产经营者承担连带责任</w:t>
      </w:r>
    </w:p>
    <w:p w14:paraId="2FA21A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惩罚性赔偿</w:t>
      </w:r>
    </w:p>
    <w:p w14:paraId="0EEA87D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生产不符合食品安全标准的食品或者经营明知是不符合食品安全标准的食品，消费者除要求赔偿损失外，还可以向生产者或者经营者要求支付价款十倍或者损失三倍的赔偿金；增加赔偿的金额不足一千元的，为一千元。但是，食品的标签、说明书存在不影响食品安全且不会对消费者造成误导的瑕疵的除外。</w:t>
      </w:r>
    </w:p>
    <w:p w14:paraId="1328F9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集中交易</w:t>
      </w:r>
    </w:p>
    <w:p w14:paraId="2C9DA4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集中交易市场的开办者、柜台出租者、展销会举办者未履行《食品安全法》规定的审查、检查、报告等义务，使消费者的合法权益受到损害的，消费者请求集中交易市场的开办者、柜台出租者、展销会举办者承担连带责任的，法院应予支持</w:t>
      </w:r>
    </w:p>
    <w:p w14:paraId="46F60B8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6.</w:t>
      </w:r>
      <w:r>
        <w:rPr>
          <w:rFonts w:hint="default" w:ascii="Times New Roman Regular" w:hAnsi="Times New Roman Regular" w:cs="Times New Roman Regular"/>
          <w:sz w:val="18"/>
          <w:szCs w:val="18"/>
          <w:u w:val="none"/>
          <w:lang w:val="en-US" w:eastAsia="zh-CN"/>
        </w:rPr>
        <w:t>网络平台责任</w:t>
      </w:r>
    </w:p>
    <w:p w14:paraId="7830508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消费者通过网络食品交易第三方平台购买食品，其合法权益受到损害的，可以向入网食品经营者或者食品生产者要求赔偿。</w:t>
      </w:r>
    </w:p>
    <w:p w14:paraId="640C07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网络食品交易第三方平台提供者不能提供入网食品经营者的真实名称、地址和有效联系方式的，由网络食品交易第三方平台提供者赔偿。</w:t>
      </w:r>
    </w:p>
    <w:p w14:paraId="141272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网络食品交易第三方平台提供者赔偿后，有权向入网食品经营者或者食品生产者追偿。</w:t>
      </w:r>
    </w:p>
    <w:p w14:paraId="394C40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网络交易第三方平台提供者知道或者应当知道食品、药品的生产者、销售者利用其平台侵害消费者合法权益，未采取必要措施，给消费者造成损害，消费者要求其与生产者、销售者承担连带责任的，人民法院应予支持。</w:t>
      </w:r>
    </w:p>
    <w:p w14:paraId="00D609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网络食品交易第三方平台提供者作出更有利于消费者承诺的，应当履行其承诺</w:t>
      </w:r>
      <w:r>
        <w:rPr>
          <w:rFonts w:hint="eastAsia" w:ascii="Times New Roman Regular" w:hAnsi="Times New Roman Regular" w:cs="Times New Roman Regular"/>
          <w:sz w:val="18"/>
          <w:szCs w:val="18"/>
          <w:u w:val="none"/>
          <w:lang w:val="en-US" w:eastAsia="zh-CN"/>
        </w:rPr>
        <w:t>。</w:t>
      </w:r>
    </w:p>
    <w:p w14:paraId="52D3B63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7.</w:t>
      </w:r>
      <w:r>
        <w:rPr>
          <w:rFonts w:hint="default" w:ascii="Times New Roman Regular" w:hAnsi="Times New Roman Regular" w:cs="Times New Roman Regular"/>
          <w:sz w:val="18"/>
          <w:szCs w:val="18"/>
          <w:u w:val="none"/>
          <w:lang w:val="en-US" w:eastAsia="zh-CN"/>
        </w:rPr>
        <w:t>检验机构责任</w:t>
      </w:r>
    </w:p>
    <w:p w14:paraId="06114A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食品、药品检验机构故意出具虚假检验报告，造成消费者损害，消费者请求其承担连带责任的，法院应予支持</w:t>
      </w:r>
      <w:r>
        <w:rPr>
          <w:rFonts w:hint="eastAsia" w:ascii="Times New Roman Regular" w:hAnsi="Times New Roman Regular" w:cs="Times New Roman Regular"/>
          <w:sz w:val="18"/>
          <w:szCs w:val="18"/>
          <w:u w:val="none"/>
          <w:lang w:val="en-US" w:eastAsia="zh-CN"/>
        </w:rPr>
        <w:t>。</w:t>
      </w:r>
    </w:p>
    <w:p w14:paraId="7FE6AE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8.</w:t>
      </w:r>
      <w:r>
        <w:rPr>
          <w:rFonts w:hint="default" w:ascii="Times New Roman Regular" w:hAnsi="Times New Roman Regular" w:cs="Times New Roman Regular"/>
          <w:sz w:val="18"/>
          <w:szCs w:val="18"/>
          <w:u w:val="none"/>
          <w:lang w:val="en-US" w:eastAsia="zh-CN"/>
        </w:rPr>
        <w:t>认证机构责任</w:t>
      </w:r>
    </w:p>
    <w:p w14:paraId="68676C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食品认证机构故意出具虚假认证，造成消费者损害，消费者请求其承担连带责任的，法院应予支持</w:t>
      </w:r>
      <w:r>
        <w:rPr>
          <w:rFonts w:hint="eastAsia" w:ascii="Times New Roman Regular" w:hAnsi="Times New Roman Regular" w:cs="Times New Roman Regular"/>
          <w:sz w:val="18"/>
          <w:szCs w:val="18"/>
          <w:u w:val="none"/>
          <w:lang w:val="en-US" w:eastAsia="zh-CN"/>
        </w:rPr>
        <w:t>。</w:t>
      </w:r>
    </w:p>
    <w:p w14:paraId="78CDF45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lang w:val="en-US" w:eastAsia="zh-CN"/>
        </w:rPr>
      </w:pPr>
    </w:p>
    <w:p w14:paraId="4904F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lang w:val="en-US" w:eastAsia="zh-CN"/>
        </w:rPr>
      </w:pPr>
      <w:r>
        <w:rPr>
          <w:rFonts w:hint="eastAsia" w:ascii="Times New Roman Regular" w:hAnsi="Times New Roman Regular" w:cs="Times New Roman Regular"/>
          <w:b/>
          <w:bCs/>
          <w:sz w:val="18"/>
          <w:szCs w:val="18"/>
          <w:lang w:val="en-US" w:eastAsia="zh-CN"/>
        </w:rPr>
        <w:t>【考点3:财税法】</w:t>
      </w:r>
    </w:p>
    <w:p w14:paraId="7788B0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一、企业所得税</w:t>
      </w:r>
    </w:p>
    <w:p w14:paraId="13B467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w:t>
      </w:r>
      <w:r>
        <w:rPr>
          <w:rFonts w:hint="default" w:ascii="Times New Roman Regular" w:hAnsi="Times New Roman Regular" w:cs="Times New Roman Regular"/>
          <w:sz w:val="18"/>
          <w:szCs w:val="18"/>
          <w:u w:val="none"/>
          <w:lang w:val="en-US" w:eastAsia="zh-CN"/>
        </w:rPr>
        <w:t>纳税义务人</w:t>
      </w:r>
    </w:p>
    <w:p w14:paraId="3C380BD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企业所得税的纳税义务人是在中国境内的企业和其他取得收入的组织。个人独资企业、合伙企业不缴纳企业所得税，缴纳个人所得税</w:t>
      </w:r>
    </w:p>
    <w:p w14:paraId="643DA1B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企业分为居民企业和非居民企业。</w:t>
      </w:r>
    </w:p>
    <w:p w14:paraId="1B154FE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居民企业，是指依法在中国境内成立，或者依照外国（地区）法律成立但实际管理机构在中国境内的企业。</w:t>
      </w:r>
    </w:p>
    <w:p w14:paraId="594E12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非居民企业，是指依照外国（地区）法律成立且实际管理机构不在中国境内，但在中国境内设立机构、场所的，或者在中国境内未设立机构、场所，但有来源于中国境内所得的企业</w:t>
      </w:r>
    </w:p>
    <w:p w14:paraId="03AF61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居民企业应当就其来源于中国境内、境外的所得缴纳企业所得税。</w:t>
      </w:r>
    </w:p>
    <w:p w14:paraId="32EA9A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非居民企业在中国境内设立机构、场所的，应当就其所设机构、场所取得的来源于中国境内的所得，以及发生在中国境外但与其所设机构、场所有实际联系的所得，缴纳企业所得税。非居民企业在中国境内未设立机构、场所的，或者虽设立机构、场所但取得的所得与其所设机构、场所没有实际联系的，应当就其来源于中国境内的所得缴纳企业所得税</w:t>
      </w:r>
    </w:p>
    <w:p w14:paraId="102198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w:t>
      </w:r>
      <w:r>
        <w:rPr>
          <w:rFonts w:hint="default" w:ascii="Times New Roman Regular" w:hAnsi="Times New Roman Regular" w:cs="Times New Roman Regular"/>
          <w:sz w:val="18"/>
          <w:szCs w:val="18"/>
          <w:u w:val="none"/>
          <w:lang w:val="en-US" w:eastAsia="zh-CN"/>
        </w:rPr>
        <w:t>税率</w:t>
      </w:r>
    </w:p>
    <w:p w14:paraId="40D065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1．一般企业税率为25%。</w:t>
      </w:r>
    </w:p>
    <w:p w14:paraId="6CAC4C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2．符合条件的小型微利企业，减按20%的税率征收企业所得税。</w:t>
      </w:r>
    </w:p>
    <w:p w14:paraId="3CC18C4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3．国家需要重点扶持的高新技术企业，减按15％的税率征收企业所得税</w:t>
      </w:r>
    </w:p>
    <w:p w14:paraId="389B668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w:t>
      </w:r>
      <w:r>
        <w:rPr>
          <w:rFonts w:hint="default" w:ascii="Times New Roman Regular" w:hAnsi="Times New Roman Regular" w:cs="Times New Roman Regular"/>
          <w:sz w:val="18"/>
          <w:szCs w:val="18"/>
          <w:u w:val="none"/>
          <w:lang w:val="en-US" w:eastAsia="zh-CN"/>
        </w:rPr>
        <w:t>免税收入</w:t>
      </w:r>
    </w:p>
    <w:p w14:paraId="1D81B2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1．国债利息收入；</w:t>
      </w:r>
    </w:p>
    <w:p w14:paraId="5FAD3F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2．符合条件的居民企业之间的股息、红利等权益性投资收益；</w:t>
      </w:r>
    </w:p>
    <w:p w14:paraId="38E052D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3．在中国境内设立机构、场所的非居民企业从居民企业取得与该机构、场所有实际联系的股息、红利等权益性投资收益；</w:t>
      </w:r>
    </w:p>
    <w:p w14:paraId="279801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4．符合条件的非营利组织的收入。</w:t>
      </w:r>
    </w:p>
    <w:p w14:paraId="095BE9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（四）</w:t>
      </w:r>
      <w:r>
        <w:rPr>
          <w:rFonts w:hint="default" w:ascii="Times New Roman Regular" w:hAnsi="Times New Roman Regular" w:cs="Times New Roman Regular"/>
          <w:sz w:val="18"/>
          <w:szCs w:val="18"/>
          <w:u w:val="none"/>
          <w:lang w:val="en-US" w:eastAsia="zh-CN"/>
        </w:rPr>
        <w:t>可以免征、减征企业所得税</w:t>
      </w:r>
    </w:p>
    <w:p w14:paraId="12BFBF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1．从事农、林、牧、渔业项目的所得；</w:t>
      </w:r>
    </w:p>
    <w:p w14:paraId="37EF44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2．从事国家重点扶持的公共基础设施项目投资经营的所得；</w:t>
      </w:r>
    </w:p>
    <w:p w14:paraId="127318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3．从事符合条件的环境保护、节能节水项目的所得；</w:t>
      </w:r>
    </w:p>
    <w:p w14:paraId="43EA0F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4．符合条件的技术转让所得。</w:t>
      </w:r>
    </w:p>
    <w:p w14:paraId="4B865D1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（五）</w:t>
      </w:r>
      <w:r>
        <w:rPr>
          <w:rFonts w:hint="default" w:ascii="Times New Roman Regular" w:hAnsi="Times New Roman Regular" w:cs="Times New Roman Regular"/>
          <w:sz w:val="18"/>
          <w:szCs w:val="18"/>
          <w:u w:val="none"/>
          <w:lang w:val="en-US" w:eastAsia="zh-CN"/>
        </w:rPr>
        <w:t>可以在计算应纳税所得额时加计扣除</w:t>
      </w:r>
    </w:p>
    <w:p w14:paraId="395E21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1．开发新技术、新产品、新工艺发生的研究开发费用；</w:t>
      </w:r>
    </w:p>
    <w:p w14:paraId="33B9E5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2．安置残疾人员及国家鼓励安置的其他就业人员所支付的工资。</w:t>
      </w:r>
    </w:p>
    <w:p w14:paraId="661367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（六）</w:t>
      </w:r>
      <w:r>
        <w:rPr>
          <w:rFonts w:hint="default" w:ascii="Times New Roman Regular" w:hAnsi="Times New Roman Regular" w:cs="Times New Roman Regular"/>
          <w:sz w:val="18"/>
          <w:szCs w:val="18"/>
          <w:u w:val="none"/>
          <w:lang w:val="en-US" w:eastAsia="zh-CN"/>
        </w:rPr>
        <w:t>收入总额中的下列收入为不征税收入</w:t>
      </w:r>
    </w:p>
    <w:p w14:paraId="2B8C8F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1．财政拨款；</w:t>
      </w:r>
    </w:p>
    <w:p w14:paraId="77CE490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2．依法收取并纳入财政管理的行政事业性收费、政府性基金；</w:t>
      </w:r>
    </w:p>
    <w:p w14:paraId="026DB0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3．国务院规定的其他不征税收入。</w:t>
      </w:r>
    </w:p>
    <w:p w14:paraId="3EB401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（七）</w:t>
      </w:r>
      <w:r>
        <w:rPr>
          <w:rFonts w:hint="default" w:ascii="Times New Roman Regular" w:hAnsi="Times New Roman Regular" w:cs="Times New Roman Regular"/>
          <w:sz w:val="18"/>
          <w:szCs w:val="18"/>
          <w:u w:val="none"/>
          <w:lang w:val="en-US" w:eastAsia="zh-CN"/>
        </w:rPr>
        <w:t>公益性捐赠</w:t>
      </w:r>
    </w:p>
    <w:p w14:paraId="3B3C1F0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企业发生的公益性捐赠支出，在年度利润总额12%以内的部分，准予在计算应纳税所得额时扣除；超过年度利润总额12%的部分，准予结转以后3年内在计算应纳税所得额时扣除</w:t>
      </w:r>
    </w:p>
    <w:p w14:paraId="748D1D0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（八）</w:t>
      </w:r>
      <w:r>
        <w:rPr>
          <w:rFonts w:hint="default" w:ascii="Times New Roman Regular" w:hAnsi="Times New Roman Regular" w:cs="Times New Roman Regular"/>
          <w:sz w:val="18"/>
          <w:szCs w:val="18"/>
          <w:u w:val="none"/>
          <w:lang w:val="en-US" w:eastAsia="zh-CN"/>
        </w:rPr>
        <w:t>特别纳税调整</w:t>
      </w:r>
    </w:p>
    <w:p w14:paraId="00FA013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企业实施其他不具有合理商业目的的安排而减少其应纳税收入和所得额的，税务机关有权按照合理方法调整。</w:t>
      </w:r>
    </w:p>
    <w:p w14:paraId="6F1565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二、个人所得税</w:t>
      </w:r>
    </w:p>
    <w:p w14:paraId="3EBB91C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w:t>
      </w:r>
      <w:r>
        <w:rPr>
          <w:rFonts w:hint="default" w:ascii="Times New Roman Regular" w:hAnsi="Times New Roman Regular" w:cs="Times New Roman Regular"/>
          <w:sz w:val="18"/>
          <w:szCs w:val="18"/>
          <w:u w:val="none"/>
          <w:lang w:val="en-US" w:eastAsia="zh-CN"/>
        </w:rPr>
        <w:t>纳税义务人</w:t>
      </w:r>
    </w:p>
    <w:p w14:paraId="1C0487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1.</w:t>
      </w:r>
      <w:r>
        <w:rPr>
          <w:rFonts w:hint="default" w:ascii="Times New Roman Regular" w:hAnsi="Times New Roman Regular" w:cs="Times New Roman Regular"/>
          <w:sz w:val="18"/>
          <w:szCs w:val="18"/>
          <w:u w:val="none"/>
          <w:lang w:val="en-US" w:eastAsia="zh-CN"/>
        </w:rPr>
        <w:t>居民纳税人</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在中国境内有住所，或者无住所而一个纳税年度内在中国境内居住累计满183天的个人，为居民个人。居民个人从中国境内和境外取得的所得，缴纳个人所得税</w:t>
      </w:r>
    </w:p>
    <w:p w14:paraId="1FBA9D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2.</w:t>
      </w:r>
      <w:r>
        <w:rPr>
          <w:rFonts w:hint="default" w:ascii="Times New Roman Regular" w:hAnsi="Times New Roman Regular" w:cs="Times New Roman Regular"/>
          <w:sz w:val="18"/>
          <w:szCs w:val="18"/>
          <w:u w:val="none"/>
          <w:lang w:val="en-US" w:eastAsia="zh-CN"/>
        </w:rPr>
        <w:t>非居民纳税人</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在中国境内无住所又不居住，或者无住所而一个纳税年度内在中国境内居住累计不满183天的个人，为非居民个人。非居民个人从中国境内取得的所得，缴纳个人所得税。</w:t>
      </w:r>
    </w:p>
    <w:p w14:paraId="5A8B606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w:t>
      </w:r>
      <w:r>
        <w:rPr>
          <w:rFonts w:hint="default" w:ascii="Times New Roman Regular" w:hAnsi="Times New Roman Regular" w:cs="Times New Roman Regular"/>
          <w:sz w:val="18"/>
          <w:szCs w:val="18"/>
          <w:u w:val="none"/>
          <w:lang w:val="en-US" w:eastAsia="zh-CN"/>
        </w:rPr>
        <w:t>征税对象</w:t>
      </w:r>
    </w:p>
    <w:p w14:paraId="4B2A00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1．工资、薪金所得；2．劳务报酬所得；3．稿酬所得；4．特许权使用费所得；5．经营所得；6．利息、股息、红利所得；7．财产租赁所得；8．财产转让所得；9．偶然所得。</w:t>
      </w:r>
    </w:p>
    <w:p w14:paraId="2F55B0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注意：前4项为综合所得，综合所得应纳税所得额=综合所得收入额-法定减除费用标准（5000元/月或60000元/年）-专项扣除-专项附加扣除-其他扣除</w:t>
      </w:r>
    </w:p>
    <w:p w14:paraId="578B37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w:t>
      </w:r>
      <w:r>
        <w:rPr>
          <w:rFonts w:hint="default" w:ascii="Times New Roman Regular" w:hAnsi="Times New Roman Regular" w:cs="Times New Roman Regular"/>
          <w:sz w:val="18"/>
          <w:szCs w:val="18"/>
          <w:u w:val="none"/>
          <w:lang w:val="en-US" w:eastAsia="zh-CN"/>
        </w:rPr>
        <w:t>税率</w:t>
      </w:r>
    </w:p>
    <w:p w14:paraId="4419187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1．综合所得，适用超额累进税率，税率为3%至45%。</w:t>
      </w:r>
    </w:p>
    <w:p w14:paraId="178ABF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2．经营所得，适用5%至35%的超额累进税率。</w:t>
      </w:r>
    </w:p>
    <w:p w14:paraId="73C0DB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3．利息、股息、红利所得，财产租赁所得，财产转让所得和偶然所得，适用比例税率，税率为20%</w:t>
      </w:r>
    </w:p>
    <w:p w14:paraId="5EBFBB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（四）</w:t>
      </w:r>
      <w:r>
        <w:rPr>
          <w:rFonts w:hint="default" w:ascii="Times New Roman Regular" w:hAnsi="Times New Roman Regular" w:cs="Times New Roman Regular"/>
          <w:sz w:val="18"/>
          <w:szCs w:val="18"/>
          <w:u w:val="none"/>
          <w:lang w:val="en-US" w:eastAsia="zh-CN"/>
        </w:rPr>
        <w:t>免税对象</w:t>
      </w:r>
    </w:p>
    <w:p w14:paraId="2FC6247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省级人民政府、国务院部委和中国人民解放军军以上单位，以及外国组织、国际组织颁发的科学、教育、技术、文化、卫生、体育、环境保护等方面的奖金；2．国债和国家发行的金融债券利息；3．按照国家统一规定发给的补贴、津贴；4．福利费、抚恤金、救济金；5．保险赔款；6．军人的转业费、复员费、退役金；7．按照国家统一规定发给干部、职工的安家费、退职费、基本养老金或者退休费、离休费、离休生活补助费；8．依照有关法律规定应予免税的各国驻华使馆、领事馆的外交代表、领事官员和其他人员的所得；9．中国政府参加的国际公约、签订的协议中规定免税的所得；10．国务院规定的其他免税所得</w:t>
      </w:r>
    </w:p>
    <w:p w14:paraId="6AA394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（五）</w:t>
      </w:r>
      <w:r>
        <w:rPr>
          <w:rFonts w:hint="default" w:ascii="Times New Roman Regular" w:hAnsi="Times New Roman Regular" w:cs="Times New Roman Regular"/>
          <w:sz w:val="18"/>
          <w:szCs w:val="18"/>
          <w:u w:val="none"/>
          <w:lang w:val="en-US" w:eastAsia="zh-CN"/>
        </w:rPr>
        <w:t>减征</w:t>
      </w:r>
    </w:p>
    <w:p w14:paraId="7612C1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1．残疾、孤老人员和烈属的所得；</w:t>
      </w:r>
    </w:p>
    <w:p w14:paraId="079B64B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2．因自然灾害遭受重大损失的</w:t>
      </w:r>
    </w:p>
    <w:p w14:paraId="29A007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三、增值税</w:t>
      </w:r>
    </w:p>
    <w:p w14:paraId="07C5F5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w:t>
      </w:r>
      <w:r>
        <w:rPr>
          <w:rFonts w:hint="default" w:ascii="Times New Roman Regular" w:hAnsi="Times New Roman Regular" w:cs="Times New Roman Regular"/>
          <w:sz w:val="18"/>
          <w:szCs w:val="18"/>
          <w:u w:val="none"/>
          <w:lang w:val="en-US" w:eastAsia="zh-CN"/>
        </w:rPr>
        <w:t>一般应税交易</w:t>
      </w:r>
    </w:p>
    <w:p w14:paraId="40A0C65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1．销售货物的，货物的起运地或者所在地在境内；</w:t>
      </w:r>
    </w:p>
    <w:p w14:paraId="6680BE3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2．销售或者租赁不动产、转让自然资源使用权的，不动产、自然资源所在地在境内；</w:t>
      </w:r>
    </w:p>
    <w:p w14:paraId="599011D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3．销售金融商品的，金融商品在境内发行，或者销售方为境内单位和个人；</w:t>
      </w:r>
    </w:p>
    <w:p w14:paraId="5A3A9B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4．销售服务、无形资产的，服务、无形资产在境内消费，或者销售方为境内单位和个人；</w:t>
      </w:r>
    </w:p>
    <w:p w14:paraId="19B812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5．进口货物，除法定免税情形外，无论是否在境内销售，均需缴纳增值税</w:t>
      </w:r>
    </w:p>
    <w:p w14:paraId="6DF2999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w:t>
      </w:r>
      <w:r>
        <w:rPr>
          <w:rFonts w:hint="default" w:ascii="Times New Roman Regular" w:hAnsi="Times New Roman Regular" w:cs="Times New Roman Regular"/>
          <w:sz w:val="18"/>
          <w:szCs w:val="18"/>
          <w:u w:val="none"/>
          <w:lang w:val="en-US" w:eastAsia="zh-CN"/>
        </w:rPr>
        <w:t>非应税交易</w:t>
      </w:r>
    </w:p>
    <w:p w14:paraId="1CA3AC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1．雇佣关系服务：员工为受雇单位或雇主提供取得工资、薪金的服务；</w:t>
      </w:r>
    </w:p>
    <w:p w14:paraId="0831B0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2．行政性收入：收取行政事业性收费、政府性基金；</w:t>
      </w:r>
    </w:p>
    <w:p w14:paraId="7CF667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3．补偿收入：依照法律规定被征收、征用而取得补偿；</w:t>
      </w:r>
    </w:p>
    <w:p w14:paraId="48B3DF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4．金融收益：取得存款利息收入</w:t>
      </w:r>
    </w:p>
    <w:p w14:paraId="0C69396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四、消费税</w:t>
      </w:r>
    </w:p>
    <w:p w14:paraId="2B6C808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1．消费税的纳税人，是在我国境内生产、委托加工和进口应税消费品的单位和个人，以及国务院确定的销售应税消费品的其他单位和个人。</w:t>
      </w:r>
    </w:p>
    <w:p w14:paraId="0395A9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2．消费税的征税对象主要包括</w:t>
      </w:r>
    </w:p>
    <w:p w14:paraId="74AE1A1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（1）高档品：烟、酒、化妆品、贵重首饰及珠宝玉石、高尔夫球及球具、高档手表、摩托车、小汽车、游艇；（2）高污染：鞭炮、焰火、电池、涂料；（3）不可再生品：木制一次性筷子、实木地板、成品油。</w:t>
      </w:r>
    </w:p>
    <w:p w14:paraId="0713AB3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五、车船税</w:t>
      </w:r>
    </w:p>
    <w:p w14:paraId="131BF8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（一）纳税人及征税对象</w:t>
      </w:r>
    </w:p>
    <w:p w14:paraId="78FB0E3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1．车船税的纳税人是指在我国境内属于《车船税法》规定的车辆、船舶的所有人或者管理人。</w:t>
      </w:r>
    </w:p>
    <w:p w14:paraId="65FD3B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2．征税对象包括：我国境内的乘用车、商用车（客车、货车）、挂车、其他车辆（专业作业车）、摩托车和船舶。</w:t>
      </w:r>
    </w:p>
    <w:p w14:paraId="5E9D10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（二）免征税项目</w:t>
      </w:r>
    </w:p>
    <w:p w14:paraId="4CFA77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捕捞、养殖渔船；2．军队、武装警察部队专用的车船；3．警用车船；4．悬挂应急救援专用号牌的国家综合性消防救援车辆和国家综合性消防救援专用船舶；5．依照法律规定应当予以免税的外国驻华使领馆、国际组织驻华代表机构及其有关人员的车船。</w:t>
      </w:r>
    </w:p>
    <w:p w14:paraId="3B62CED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（三）可以减征、免征税收项目</w:t>
      </w:r>
    </w:p>
    <w:p w14:paraId="05BC0C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1．对节约能源、使用新能源的车船可以减征或者免征车船税。</w:t>
      </w:r>
    </w:p>
    <w:p w14:paraId="6F6E7B9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注意：纯电动商用车和燃料电池商用车属于免征车船税项目。</w:t>
      </w:r>
    </w:p>
    <w:p w14:paraId="2549C47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2．对受严重自然灾害影响纳税困难以及有其他特殊原因确需减税、免税的，可以减征或者免征车船税。</w:t>
      </w:r>
    </w:p>
    <w:p w14:paraId="499606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3．省、自治区、直辖市人民政府根据当地实际情况，可以对公共交通车船，农村居民拥有并主要在农村地区使用的摩托车、三轮汽车和低速载货汽车定期减征或者免征车船税。</w:t>
      </w:r>
    </w:p>
    <w:p w14:paraId="17D6CFC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六、税收征收管理的一般规定</w:t>
      </w:r>
    </w:p>
    <w:p w14:paraId="71B00B0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w:t>
      </w:r>
      <w:r>
        <w:rPr>
          <w:rFonts w:hint="default" w:ascii="Times New Roman Regular" w:hAnsi="Times New Roman Regular" w:cs="Times New Roman Regular"/>
          <w:sz w:val="18"/>
          <w:szCs w:val="18"/>
          <w:u w:val="none"/>
          <w:lang w:val="en-US" w:eastAsia="zh-CN"/>
        </w:rPr>
        <w:t>原则</w:t>
      </w:r>
    </w:p>
    <w:p w14:paraId="61A525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1．税收优先于无担保债权，法律另有规定的除外。</w:t>
      </w:r>
    </w:p>
    <w:p w14:paraId="6EBB88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2．纳税人欠缴的税款发生在纳税人以其财产设定抵押、质押或者纳税人的财产被留置之前的，税收应当先于抵押权、质权、留置权执行。</w:t>
      </w:r>
    </w:p>
    <w:p w14:paraId="720AE4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3．欠缴税款的纳税人因怠于行使到期债权，或者放弃到期债权，或者无偿转让财产，或者以明显不合理的低价转让财产而受让人知道该情形，对国家税收造成损害的，税务机关可以行使代位权、撤销权。</w:t>
      </w:r>
    </w:p>
    <w:p w14:paraId="3EDA70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4．纳税人欠缴税款，同时又被行政机关决定处以罚款、没收违法所得的，税收优先于罚款、没收违法所得</w:t>
      </w:r>
    </w:p>
    <w:p w14:paraId="188EB8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w:t>
      </w:r>
      <w:r>
        <w:rPr>
          <w:rFonts w:hint="default" w:ascii="Times New Roman Regular" w:hAnsi="Times New Roman Regular" w:cs="Times New Roman Regular"/>
          <w:sz w:val="18"/>
          <w:szCs w:val="18"/>
          <w:u w:val="none"/>
          <w:lang w:val="en-US" w:eastAsia="zh-CN"/>
        </w:rPr>
        <w:t>税收保全</w:t>
      </w:r>
    </w:p>
    <w:p w14:paraId="53917B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1．税务机关有根据认为从事生产、经营的纳税人有逃避纳税义务行为的，可以在规定的纳税期之前，责令限期缴纳应纳税款。</w:t>
      </w:r>
    </w:p>
    <w:p w14:paraId="52CD68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2．在限期内发现纳税人有明显的转移、隐匿其应纳税的商品、货物以及其他财产或者应纳税的收入的迹象的，税务机关可以责成纳税人提供纳税担保。</w:t>
      </w:r>
    </w:p>
    <w:p w14:paraId="1F4C53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3．如果纳税人不能提供纳税担保，经县以上税务局（分局）局长批准，税务机关可以采取税收保全措施：</w:t>
      </w:r>
    </w:p>
    <w:p w14:paraId="5A0D19F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（1）书面通知纳税人开户银行或者其他金融机构冻结纳税人的金额相当于应纳税款的存款；</w:t>
      </w:r>
    </w:p>
    <w:p w14:paraId="4DE0CA2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（2）扣押、查封纳税人的价值相当于应纳税款的商品、货物或者其他财产</w:t>
      </w:r>
    </w:p>
    <w:p w14:paraId="1BA1BC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w:t>
      </w:r>
      <w:r>
        <w:rPr>
          <w:rFonts w:hint="default" w:ascii="Times New Roman Regular" w:hAnsi="Times New Roman Regular" w:cs="Times New Roman Regular"/>
          <w:sz w:val="18"/>
          <w:szCs w:val="18"/>
          <w:u w:val="none"/>
          <w:lang w:val="en-US" w:eastAsia="zh-CN"/>
        </w:rPr>
        <w:t>税收强制</w:t>
      </w:r>
    </w:p>
    <w:p w14:paraId="1711B8C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1．书面通知其开户银行或者其他金融机构从其存款中扣缴税款；</w:t>
      </w:r>
    </w:p>
    <w:p w14:paraId="24453A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2．依法拍卖或者变卖其价值相当于应纳税款的商品、货物或者其他财产，以拍卖或者变卖所得抵缴税款</w:t>
      </w:r>
    </w:p>
    <w:p w14:paraId="468C86D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（四）</w:t>
      </w:r>
      <w:r>
        <w:rPr>
          <w:rFonts w:hint="default" w:ascii="Times New Roman Regular" w:hAnsi="Times New Roman Regular" w:cs="Times New Roman Regular"/>
          <w:sz w:val="18"/>
          <w:szCs w:val="18"/>
          <w:u w:val="none"/>
          <w:lang w:val="en-US" w:eastAsia="zh-CN"/>
        </w:rPr>
        <w:t>人道主义原则</w:t>
      </w:r>
    </w:p>
    <w:p w14:paraId="4452C02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1．个人及其所扶养家属维持生活必需的住房和用品，不在税收保全措施和强制执行措施的范围之内。</w:t>
      </w:r>
    </w:p>
    <w:p w14:paraId="64F484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2．机动车辆、金银饰品、古玩字画、豪华住宅或者一处以外的住房不属于生活必需。</w:t>
      </w:r>
    </w:p>
    <w:p w14:paraId="721A30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3．单价5000元以下的其他生活用品不采取这两项措施</w:t>
      </w:r>
    </w:p>
    <w:p w14:paraId="55D08B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（五）</w:t>
      </w:r>
      <w:r>
        <w:rPr>
          <w:rFonts w:hint="default" w:ascii="Times New Roman Regular" w:hAnsi="Times New Roman Regular" w:cs="Times New Roman Regular"/>
          <w:sz w:val="18"/>
          <w:szCs w:val="18"/>
          <w:u w:val="none"/>
          <w:lang w:val="en-US" w:eastAsia="zh-CN"/>
        </w:rPr>
        <w:t>税收的补征</w:t>
      </w:r>
    </w:p>
    <w:p w14:paraId="15FAE35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1．因税务机关的责任，致使纳税人、扣缴义务人未缴或者少缴税款的，税务机关在3年内可以要求纳税人、扣缴义务人补缴税款，但是不得加收滞纳金。</w:t>
      </w:r>
    </w:p>
    <w:p w14:paraId="66515A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2．因纳税人、扣缴义务人计算错误等失误，未缴或者少缴税款的，税务机关在3年内可以追征税款、滞纳金；有特殊情况的，追征期可以延长到5年。</w:t>
      </w:r>
    </w:p>
    <w:p w14:paraId="20E395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3．对偷税、抗税、骗税的，税务机关追征其未缴或者少缴的税款、滞纳金或者所骗取的税款，不受前款规定期限的限制</w:t>
      </w:r>
    </w:p>
    <w:p w14:paraId="194DE05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212DB4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【考点4:土地与房地产管理法】</w:t>
      </w:r>
    </w:p>
    <w:p w14:paraId="570AA9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一、集体土地使用权</w:t>
      </w:r>
    </w:p>
    <w:p w14:paraId="3471D7A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w:t>
      </w:r>
      <w:r>
        <w:rPr>
          <w:rFonts w:hint="default" w:ascii="Times New Roman Regular" w:hAnsi="Times New Roman Regular" w:cs="Times New Roman Regular"/>
          <w:sz w:val="18"/>
          <w:szCs w:val="18"/>
          <w:u w:val="none"/>
          <w:lang w:val="en-US" w:eastAsia="zh-CN"/>
        </w:rPr>
        <w:t>农用地使用权（土地承包经营权）</w:t>
      </w:r>
    </w:p>
    <w:p w14:paraId="19F0A0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1．家庭承包。家庭承包的承包方是本集体经济组织的农户。</w:t>
      </w:r>
    </w:p>
    <w:p w14:paraId="31B4DF8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2．可对外流转。发包给本集体经济组织以外的单位或者个人承包，应当事先经本集体经济组织成员的村民会议三分之二以上成员或者三分之二以上村民代表的同意，并报乡（镇）人民政府批准</w:t>
      </w:r>
    </w:p>
    <w:p w14:paraId="56455D3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3．其他方式的承包。不宜采取家庭承包方式的荒山、荒沟、荒丘、荒滩等农村土地，可以采取招标、拍卖、公开协商等方式承包</w:t>
      </w:r>
    </w:p>
    <w:p w14:paraId="651D81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w:t>
      </w:r>
      <w:r>
        <w:rPr>
          <w:rFonts w:hint="default" w:ascii="Times New Roman Regular" w:hAnsi="Times New Roman Regular" w:cs="Times New Roman Regular"/>
          <w:sz w:val="18"/>
          <w:szCs w:val="18"/>
          <w:u w:val="none"/>
          <w:lang w:val="en-US" w:eastAsia="zh-CN"/>
        </w:rPr>
        <w:t>非农用地使用权</w:t>
      </w:r>
    </w:p>
    <w:p w14:paraId="366360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1．非农经营用地使用权：投资取得</w:t>
      </w:r>
    </w:p>
    <w:p w14:paraId="74E6292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2．非农公益用地使用权：拨付取得</w:t>
      </w:r>
    </w:p>
    <w:p w14:paraId="5392CB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3．宅基地使用权：分配取得，无偿无期限，一户一宅，身份限制，建设自用房屋。农村村民出卖、出租、赠与住宅后，再申请宅基地的，不予批准。允许进城落户的农村村民依法自愿有偿退出宅基地。</w:t>
      </w:r>
    </w:p>
    <w:p w14:paraId="5A7E23A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4．集体经营性建设用地入市：</w:t>
      </w:r>
    </w:p>
    <w:p w14:paraId="18C3D62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（1）土地利用规划确定为工业、商业等经营性用途；（2）依法登记为集体经营性建设用地；（3）经本集体经济组织成员的村民会议三分之二以上成员或者三分之二以上村民代表的同意</w:t>
      </w:r>
    </w:p>
    <w:p w14:paraId="33D1CFF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二、建设用地</w:t>
      </w:r>
    </w:p>
    <w:p w14:paraId="1C691A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w:t>
      </w:r>
      <w:r>
        <w:rPr>
          <w:rFonts w:hint="default" w:ascii="Times New Roman Regular" w:hAnsi="Times New Roman Regular" w:cs="Times New Roman Regular"/>
          <w:sz w:val="18"/>
          <w:szCs w:val="18"/>
          <w:u w:val="none"/>
          <w:lang w:val="en-US" w:eastAsia="zh-CN"/>
        </w:rPr>
        <w:t>原则</w:t>
      </w:r>
    </w:p>
    <w:p w14:paraId="1423B41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城市建设用地规模应当符合国家规定的标准，充分利用现有建设用地，不占或者尽量少占农用地</w:t>
      </w:r>
    </w:p>
    <w:p w14:paraId="7EB920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w:t>
      </w:r>
      <w:r>
        <w:rPr>
          <w:rFonts w:hint="default" w:ascii="Times New Roman Regular" w:hAnsi="Times New Roman Regular" w:cs="Times New Roman Regular"/>
          <w:sz w:val="18"/>
          <w:szCs w:val="18"/>
          <w:u w:val="none"/>
          <w:lang w:val="en-US" w:eastAsia="zh-CN"/>
        </w:rPr>
        <w:t>国家建设用地—土地征收制度</w:t>
      </w:r>
    </w:p>
    <w:p w14:paraId="5E43D68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征收下列土地的，由国务院批准：</w:t>
      </w:r>
    </w:p>
    <w:p w14:paraId="3CB2ED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1．永久基本农田；</w:t>
      </w:r>
    </w:p>
    <w:p w14:paraId="3A84CFF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2．永久基本农田以外的耕地超过35公顷的；</w:t>
      </w:r>
    </w:p>
    <w:p w14:paraId="33E4A26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3．其他土地超过70公顷的。</w:t>
      </w:r>
    </w:p>
    <w:p w14:paraId="079B00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征收上述规定以外的土地的，由省、自治区、直辖市人民政府批准。</w:t>
      </w:r>
    </w:p>
    <w:p w14:paraId="17D7A3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w:t>
      </w:r>
      <w:r>
        <w:rPr>
          <w:rFonts w:hint="default" w:ascii="Times New Roman Regular" w:hAnsi="Times New Roman Regular" w:cs="Times New Roman Regular"/>
          <w:sz w:val="18"/>
          <w:szCs w:val="18"/>
          <w:u w:val="none"/>
          <w:lang w:val="en-US" w:eastAsia="zh-CN"/>
        </w:rPr>
        <w:t>乡（镇）村建设用地</w:t>
      </w:r>
    </w:p>
    <w:p w14:paraId="5BD51D4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1．非农经营用地：县级以上人民政府批准。</w:t>
      </w:r>
    </w:p>
    <w:p w14:paraId="3CCAB42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2．非农公益用地：先经乡（镇）人民政府审核，再由县级以上人民政府批准。</w:t>
      </w:r>
    </w:p>
    <w:p w14:paraId="170B7AC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3．宅基地：先经乡（镇）人民政府审核，再由县级人民政府批准</w:t>
      </w:r>
    </w:p>
    <w:p w14:paraId="7765870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（四）</w:t>
      </w:r>
      <w:r>
        <w:rPr>
          <w:rFonts w:hint="default" w:ascii="Times New Roman Regular" w:hAnsi="Times New Roman Regular" w:cs="Times New Roman Regular"/>
          <w:sz w:val="18"/>
          <w:szCs w:val="18"/>
          <w:u w:val="none"/>
          <w:lang w:val="en-US" w:eastAsia="zh-CN"/>
        </w:rPr>
        <w:t>临时建设用地</w:t>
      </w:r>
    </w:p>
    <w:p w14:paraId="3B9B5C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1．建设项目施工和地质勘查需要临时使用国有土地或者农民集体所有的土地的，由县级以上人民政府自然资源主管部门批准。</w:t>
      </w:r>
    </w:p>
    <w:p w14:paraId="7EBC2E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2．其中，在城市规划区内的临时用地，在报批前，应当先经有关城市规划行政主管部门同意。</w:t>
      </w:r>
    </w:p>
    <w:p w14:paraId="7370C3A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3．土地使用者应当支付临时使用土地补偿费，并不得修建永久性建筑物。</w:t>
      </w:r>
    </w:p>
    <w:p w14:paraId="6799461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4．临时使用土地期限一般不超过2年</w:t>
      </w:r>
    </w:p>
    <w:p w14:paraId="5B929E3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（五）</w:t>
      </w:r>
      <w:r>
        <w:rPr>
          <w:rFonts w:hint="default" w:ascii="Times New Roman Regular" w:hAnsi="Times New Roman Regular" w:cs="Times New Roman Regular"/>
          <w:sz w:val="18"/>
          <w:szCs w:val="18"/>
          <w:u w:val="none"/>
          <w:lang w:val="en-US" w:eastAsia="zh-CN"/>
        </w:rPr>
        <w:t>土地用途改变</w:t>
      </w:r>
    </w:p>
    <w:p w14:paraId="6BFD00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1．建设单位使用国有土地的，应当按照土地使用权出让等有偿使用合同的约定或者土地使用权划拨批准文件的规定使用土地；</w:t>
      </w:r>
    </w:p>
    <w:p w14:paraId="3CFAEAF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2．确需改变该幅土地建设用途的，应当经有关人民政府自然资源主管部门同意，报原批准用地的人民政府批准。</w:t>
      </w:r>
    </w:p>
    <w:p w14:paraId="1F6C603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3．其中，在城市规划区内改变土地用途的，在报批前，应当先经有关城市规划行政主管部门同意</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0FDF2E00"/>
    <w:rsid w:val="13EF1752"/>
    <w:rsid w:val="16EFD392"/>
    <w:rsid w:val="177DA370"/>
    <w:rsid w:val="17DFFA75"/>
    <w:rsid w:val="18BFC09B"/>
    <w:rsid w:val="1BC8E4F3"/>
    <w:rsid w:val="1BEF9C01"/>
    <w:rsid w:val="1BFB8A79"/>
    <w:rsid w:val="1FFDE82A"/>
    <w:rsid w:val="1FFE3DC8"/>
    <w:rsid w:val="23D17E1B"/>
    <w:rsid w:val="25E4E361"/>
    <w:rsid w:val="2633F38E"/>
    <w:rsid w:val="2E451A89"/>
    <w:rsid w:val="2FF57ABD"/>
    <w:rsid w:val="35FFCE35"/>
    <w:rsid w:val="37F9300F"/>
    <w:rsid w:val="39CD9E08"/>
    <w:rsid w:val="3AA211B0"/>
    <w:rsid w:val="3DDD8785"/>
    <w:rsid w:val="3EFF2196"/>
    <w:rsid w:val="3EFFCDE3"/>
    <w:rsid w:val="3F3F8626"/>
    <w:rsid w:val="3F7D6D90"/>
    <w:rsid w:val="3FDF38B5"/>
    <w:rsid w:val="4D7AF3B1"/>
    <w:rsid w:val="4F7E5D39"/>
    <w:rsid w:val="4FEF7A7F"/>
    <w:rsid w:val="53E76A00"/>
    <w:rsid w:val="5BF630B3"/>
    <w:rsid w:val="5D1E5E35"/>
    <w:rsid w:val="5D2F548A"/>
    <w:rsid w:val="5D9CC53C"/>
    <w:rsid w:val="5DBFD756"/>
    <w:rsid w:val="5EF589B3"/>
    <w:rsid w:val="5F2FB4C6"/>
    <w:rsid w:val="5F67BE34"/>
    <w:rsid w:val="5F7F82D4"/>
    <w:rsid w:val="5FAC2B4F"/>
    <w:rsid w:val="5FDFC522"/>
    <w:rsid w:val="5FFF5E58"/>
    <w:rsid w:val="63F79634"/>
    <w:rsid w:val="676B1FCF"/>
    <w:rsid w:val="6BBA3F47"/>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8FF9F1C"/>
    <w:rsid w:val="79B72732"/>
    <w:rsid w:val="7A8FECFA"/>
    <w:rsid w:val="7B6D3C00"/>
    <w:rsid w:val="7B77E946"/>
    <w:rsid w:val="7BAF28C8"/>
    <w:rsid w:val="7BFFD2F7"/>
    <w:rsid w:val="7C7DDD51"/>
    <w:rsid w:val="7D473A11"/>
    <w:rsid w:val="7D7FD33D"/>
    <w:rsid w:val="7DBDD90E"/>
    <w:rsid w:val="7DBFEFAD"/>
    <w:rsid w:val="7DDFEE7C"/>
    <w:rsid w:val="7DE7821D"/>
    <w:rsid w:val="7DF9200D"/>
    <w:rsid w:val="7E3F6002"/>
    <w:rsid w:val="7E9EE76A"/>
    <w:rsid w:val="7EFFC158"/>
    <w:rsid w:val="7F3B9F4C"/>
    <w:rsid w:val="7F3C3286"/>
    <w:rsid w:val="7F695405"/>
    <w:rsid w:val="7F6B748A"/>
    <w:rsid w:val="7FB49696"/>
    <w:rsid w:val="7FB797CE"/>
    <w:rsid w:val="7FBF0F91"/>
    <w:rsid w:val="7FBF80E5"/>
    <w:rsid w:val="7FE7235C"/>
    <w:rsid w:val="7FFCE884"/>
    <w:rsid w:val="8ABEE47C"/>
    <w:rsid w:val="9AFD3871"/>
    <w:rsid w:val="9EDF68D9"/>
    <w:rsid w:val="AEAF67DC"/>
    <w:rsid w:val="AECFAD74"/>
    <w:rsid w:val="AED07A5A"/>
    <w:rsid w:val="AEFFF231"/>
    <w:rsid w:val="AF7349BF"/>
    <w:rsid w:val="B1FDE468"/>
    <w:rsid w:val="B3FEA9EF"/>
    <w:rsid w:val="B7FEF551"/>
    <w:rsid w:val="BBD68691"/>
    <w:rsid w:val="BFD7C2A8"/>
    <w:rsid w:val="BFDF5E9D"/>
    <w:rsid w:val="BFFFC478"/>
    <w:rsid w:val="C2FF7057"/>
    <w:rsid w:val="C5EF26D2"/>
    <w:rsid w:val="CBDA46FA"/>
    <w:rsid w:val="CBFB4D43"/>
    <w:rsid w:val="CDF9AD73"/>
    <w:rsid w:val="CEAF22DB"/>
    <w:rsid w:val="CFABA3EB"/>
    <w:rsid w:val="CFBDAEF9"/>
    <w:rsid w:val="CFFF1593"/>
    <w:rsid w:val="D7F8DDAE"/>
    <w:rsid w:val="D7FF5A16"/>
    <w:rsid w:val="D99D7B6E"/>
    <w:rsid w:val="DAFD61E4"/>
    <w:rsid w:val="DBF64670"/>
    <w:rsid w:val="DF17C641"/>
    <w:rsid w:val="DFB77348"/>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0DE3C2E"/>
    <w:rsid w:val="F1B927A4"/>
    <w:rsid w:val="F3FF92B4"/>
    <w:rsid w:val="F56E2A6E"/>
    <w:rsid w:val="F5EEDA60"/>
    <w:rsid w:val="F6DFFC0C"/>
    <w:rsid w:val="F73F225B"/>
    <w:rsid w:val="FABE4737"/>
    <w:rsid w:val="FADF6D74"/>
    <w:rsid w:val="FBDF91EB"/>
    <w:rsid w:val="FBFF7EF4"/>
    <w:rsid w:val="FCEF4E65"/>
    <w:rsid w:val="FD375179"/>
    <w:rsid w:val="FD6C9E97"/>
    <w:rsid w:val="FD6EB3EE"/>
    <w:rsid w:val="FDBDD900"/>
    <w:rsid w:val="FDE79359"/>
    <w:rsid w:val="FDF59568"/>
    <w:rsid w:val="FEA64923"/>
    <w:rsid w:val="FED769C8"/>
    <w:rsid w:val="FF3362C6"/>
    <w:rsid w:val="FF6F6FFE"/>
    <w:rsid w:val="FF7BF13D"/>
    <w:rsid w:val="FF943FE1"/>
    <w:rsid w:val="FFBF7A4A"/>
    <w:rsid w:val="FFCE145B"/>
    <w:rsid w:val="FFD6D5E8"/>
    <w:rsid w:val="FFEFF665"/>
    <w:rsid w:val="FFF68E61"/>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2026-02-06T08:22:00Z</dcterms:created>
  <dc:creator>Arthur (Xiao) Dong</dc:creator>
  <cp:lastModifiedBy>Arthur (Xiao) Dong</cp:lastModifiedBy>
  <dcterms:modified xsi:type="dcterms:W3CDTF">2026-05-14T22:36:08Z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