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4"/>
          <w:szCs w:val="24"/>
          <w:lang w:val="en-US" w:eastAsia="zh-CN"/>
        </w:rPr>
      </w:pPr>
      <w:r>
        <w:rPr>
          <w:rFonts w:hint="eastAsia"/>
          <w:b/>
          <w:bCs/>
          <w:sz w:val="24"/>
          <w:szCs w:val="24"/>
          <w:lang w:val="en-US" w:eastAsia="zh-CN"/>
        </w:rPr>
        <w:t>商法第七讲课堂笔记（考点16-17）</w:t>
      </w: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【考点16:证券法】</w:t>
      </w:r>
    </w:p>
    <w:p w14:paraId="6F206C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（接续上次课内容）</w:t>
      </w:r>
    </w:p>
    <w:p w14:paraId="1525DCA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二、证券公司的</w:t>
      </w:r>
      <w:bookmarkStart w:id="0" w:name="_GoBack"/>
      <w:bookmarkEnd w:id="0"/>
      <w:r>
        <w:rPr>
          <w:rFonts w:hint="eastAsia" w:ascii="Times New Roman Regular" w:hAnsi="Times New Roman Regular" w:cs="Times New Roman Regular"/>
          <w:sz w:val="21"/>
          <w:szCs w:val="21"/>
          <w:u w:val="none"/>
          <w:lang w:val="en-US" w:eastAsia="zh-CN"/>
        </w:rPr>
        <w:t>业务</w:t>
      </w:r>
    </w:p>
    <w:p w14:paraId="613523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发行方式</w:t>
      </w:r>
    </w:p>
    <w:p w14:paraId="7F68DD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1．公开发行证券，必须符合法律、行政法规规定的条件，并依法报经国务院证券监督管理机构或者国务院授权的部门注册。未经依法注册，任何单位和个人不得公开发行证券</w:t>
      </w:r>
    </w:p>
    <w:p w14:paraId="5C5DAF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2．有下列情形之一的，为公开发行：</w:t>
      </w:r>
    </w:p>
    <w:p w14:paraId="18ED8D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（1）向不特定对象发行证券；</w:t>
      </w:r>
    </w:p>
    <w:p w14:paraId="73A56F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（2）向特定对象发行证券累计超过二百人，但依法实施员工持股计划的员工人数不计算在内；</w:t>
      </w:r>
    </w:p>
    <w:p w14:paraId="2C5F6F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（3）法律、行政法规规定的其他发行行为</w:t>
      </w:r>
    </w:p>
    <w:p w14:paraId="22C181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发行条件与规则</w:t>
      </w:r>
    </w:p>
    <w:p w14:paraId="3F37AA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1．公司对公开发行股票所募集资金，必须按照招股说明书或者其他公开发行的募集文件所列资金用途使用；改变资金用途，必须经股东大会作出决议。</w:t>
      </w:r>
    </w:p>
    <w:p w14:paraId="694B1E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擅自改变用途，未作纠正的，或者未经股东会认可的，不得公开发行新股</w:t>
      </w:r>
    </w:p>
    <w:p w14:paraId="1CE754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2．国务院证券监督管理机构或者国务院授权的部门依照法定条件负责证券发行申请的注册。</w:t>
      </w:r>
    </w:p>
    <w:p w14:paraId="58748D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按照国务院的规定，证券交易所等可以审核公开发行证券申请，判断发行人是否符合发行条件、信息披露要求，督促发行人完善信息披露内容。</w:t>
      </w:r>
    </w:p>
    <w:p w14:paraId="3299BC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依照前两款规定参与证券发行申请注册的人员，不得与发行申请人有利害关系，不得直接或者间接接受发行申请人的馈赠，不得持有所注册的发行申请的证券，不得私下与发行申请人进行接触</w:t>
      </w:r>
    </w:p>
    <w:p w14:paraId="006ECE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3．股票依法发行后，发行人经营与收益的变化，由发行人自行负责；由此变化引致的投资风险，由投资者自行负责</w:t>
      </w:r>
    </w:p>
    <w:p w14:paraId="39AF92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承销</w:t>
      </w:r>
    </w:p>
    <w:p w14:paraId="7687C3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发行人向不特定对象发行的证券，法律、行政法规规定应当由证券公司承销的，发行人应当同证券公司签订承销协议。证券承销业务采取代销或者包销方式</w:t>
      </w:r>
    </w:p>
    <w:p w14:paraId="202978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2.证券</w:t>
      </w:r>
      <w:r>
        <w:rPr>
          <w:rFonts w:hint="default" w:ascii="Times New Roman Regular" w:hAnsi="Times New Roman Regular" w:cs="Times New Roman Regular"/>
          <w:sz w:val="21"/>
          <w:szCs w:val="21"/>
          <w:u w:val="none"/>
          <w:lang w:val="en-US" w:eastAsia="zh-CN"/>
        </w:rPr>
        <w:t>的代销、包销期限最长不得超过九十日。</w:t>
      </w:r>
    </w:p>
    <w:p w14:paraId="1A07CC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三、一般的证券交易</w:t>
      </w:r>
    </w:p>
    <w:p w14:paraId="7025F4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短线交易</w:t>
      </w:r>
    </w:p>
    <w:p w14:paraId="4E2915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上市公司、股票在国务院批准的其他全国性证券交易场所交易的公司持有百分之五以上股份的股东、董事、监事、高级管理人员，将其持有的该公司的股票或者其他具有股权性质的证券在买入后六个月内卖出，或者在卖出后六个月内又买入，由此所得收益归该公司所有，公司董事会应当收回其所得收益</w:t>
      </w:r>
    </w:p>
    <w:p w14:paraId="565C61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2．公司董事会不按照上述规定执行的，股东有权要求董事会在三十日内执行</w:t>
      </w:r>
    </w:p>
    <w:p w14:paraId="1DD8B4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3．公司董事会未在上述期限内执行的，股东有权为了公司的利益以自己的名义直接向法院提起诉讼</w:t>
      </w:r>
    </w:p>
    <w:p w14:paraId="42847F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4．公司董事会不执行的，负有责任的董事依法承担连带责任</w:t>
      </w:r>
    </w:p>
    <w:p w14:paraId="22FB16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投资者的信息披露义务</w:t>
      </w:r>
    </w:p>
    <w:p w14:paraId="3E138E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首次披露。通过证券交易所的证券交易，投资者持有或者通过协议、其他安排与他人共同持有一个上市公司已发行的有表决权股份达到百分之五时，应当在该事实发生之日起三日内，向国务院证券监督管理机构、证券交易所作出书面报告，通知该上市公司，并予公告，在上述期限内不得再行买卖该上市公司的股票，但国务院证券监督管理机构规定的情形除外</w:t>
      </w:r>
    </w:p>
    <w:p w14:paraId="06DADC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继续披露。投资者持有或者通过协议、其他安排与他人共同持有一个上市公司已发行的有表决权股份达到百分之五后，其所持该上市公司已发行的有表决权股份比例每增加或者减少百分之五，应当依照前款规定进行报告和公告，在该事实发生之日起至公告后三日内，不得再行买卖该上市公司的股票，但国务院证券监督管理机构规定的情形除外</w:t>
      </w:r>
    </w:p>
    <w:p w14:paraId="4A0210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投资者持有或者通过协议、其他安排与他人共同持有一个上市公司已发行的有表决权股份达到百分之五后，其所持该上市公司已发行的有表决权股份比例每增加或者减少百分之一，应当在该事实发生的次日通知该上市公司，并予公告</w:t>
      </w:r>
    </w:p>
    <w:p w14:paraId="455258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4．违反第一款、第二款规定买入上市公司有表决权的股份的，在买入后的三十六个月内，对该超过规定比例部分的股份不得行使表决权</w:t>
      </w:r>
    </w:p>
    <w:p w14:paraId="6B13CA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上市公司收购</w:t>
      </w:r>
    </w:p>
    <w:p w14:paraId="728B77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1．投资者可以采取要约收购、协议收购及其他合法方式收购上市公司</w:t>
      </w:r>
    </w:p>
    <w:p w14:paraId="43B45D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通过证券交易所的证券交易，投资者持有或者通过协议、其他安排与他人共同持有一个上市公司已发行的有表决权股份达到百分之三十时，继续进行收购的，应当依法向该上市公司所有股东发出收购上市公司全部或者部分股份的要约</w:t>
      </w:r>
    </w:p>
    <w:p w14:paraId="147006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3．采取要约收购方式的，收购人在收购期限内，不得卖出被收购公司的股票，也不得采取要约规定以外的形式和超出要约的条件买入被收购公司的股票</w:t>
      </w:r>
    </w:p>
    <w:p w14:paraId="685183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4．在收购要约确定的承诺期限内，收购人不得撤销其收购要约。收购人需要变更收购要约的，应当及时公告，载明具体变更事项</w:t>
      </w:r>
    </w:p>
    <w:p w14:paraId="36B29A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收购期限届满，被收购公司股权分布不符合证券交易所规定的上市交易要求的，该上市公司的股票应当由证券交易所依法终止上市交易；其余仍持有被收购公司股票的股东，有权向收购人以收购要约的同等条件出售其股票，收购人应当收购。收购行为完成后，被收购公司不再具备股份有限公司条件的，应当依法变更企业形式</w:t>
      </w:r>
      <w:r>
        <w:rPr>
          <w:rFonts w:hint="eastAsia" w:ascii="Times New Roman Regular" w:hAnsi="Times New Roman Regular" w:cs="Times New Roman Regular"/>
          <w:sz w:val="21"/>
          <w:szCs w:val="21"/>
          <w:u w:val="none"/>
          <w:lang w:val="en-US" w:eastAsia="zh-CN"/>
        </w:rPr>
        <w:t>。</w:t>
      </w:r>
    </w:p>
    <w:p w14:paraId="3C6F26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6．在上市公司收购中，收购人持有的被收购的上市公司的股票，在收购行为完成后的十八个月内不得转让</w:t>
      </w:r>
    </w:p>
    <w:p w14:paraId="4EDB7D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四、投资者保护</w:t>
      </w:r>
    </w:p>
    <w:p w14:paraId="31DF87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w:t>
      </w:r>
      <w:r>
        <w:rPr>
          <w:rFonts w:hint="eastAsia" w:ascii="Times New Roman Regular" w:hAnsi="Times New Roman Regular" w:cs="Times New Roman Regular"/>
          <w:sz w:val="21"/>
          <w:szCs w:val="21"/>
          <w:u w:val="none"/>
          <w:lang w:val="en-US" w:eastAsia="zh-CN"/>
        </w:rPr>
        <w:t>股东权利征集</w:t>
      </w:r>
    </w:p>
    <w:p w14:paraId="1FFB49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上市公司董事会、独立董事、持有百分之一以上有表决权股份的股东或者依照法律、行政法规或者国务院证券监督管理机构的规定设立的投资者保护机构，可以作为征集人，自行或者委托证券公司、证券服务机构，公开请求上市公司股东委托其代为出席股东大会，并代为行使提案权、表决权等股东权利</w:t>
      </w:r>
    </w:p>
    <w:p w14:paraId="767254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w:t>
      </w:r>
      <w:r>
        <w:rPr>
          <w:rFonts w:hint="eastAsia" w:ascii="Times New Roman Regular" w:hAnsi="Times New Roman Regular" w:cs="Times New Roman Regular"/>
          <w:sz w:val="21"/>
          <w:szCs w:val="21"/>
          <w:u w:val="none"/>
          <w:lang w:val="en-US" w:eastAsia="zh-CN"/>
        </w:rPr>
        <w:t>分配利润</w:t>
      </w:r>
    </w:p>
    <w:p w14:paraId="525360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上市公司当年税后利润，在弥补亏损及提取法定公积金后有盈余的，应当按照公司章程的规定分配现金股利</w:t>
      </w:r>
    </w:p>
    <w:p w14:paraId="205E14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w:t>
      </w:r>
      <w:r>
        <w:rPr>
          <w:rFonts w:hint="eastAsia" w:ascii="Times New Roman Regular" w:hAnsi="Times New Roman Regular" w:cs="Times New Roman Regular"/>
          <w:sz w:val="21"/>
          <w:szCs w:val="21"/>
          <w:u w:val="none"/>
          <w:lang w:val="en-US" w:eastAsia="zh-CN"/>
        </w:rPr>
        <w:t>先行赔付</w:t>
      </w:r>
    </w:p>
    <w:p w14:paraId="5A19AD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发行人因欺诈发行、虚假陈述或者其他重大违法行为给投资者造成损失的，发行人的控股股东、实际控制人、相关的证券公司可以委托投资者保护机构，就赔偿事宜与受到损失的投资者达成协议，予以先行赔付。先行赔付后，可以依法向发行人以及其他连带责任人追偿</w:t>
      </w:r>
    </w:p>
    <w:p w14:paraId="029B9A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w:t>
      </w:r>
      <w:r>
        <w:rPr>
          <w:rFonts w:hint="eastAsia" w:ascii="Times New Roman Regular" w:hAnsi="Times New Roman Regular" w:cs="Times New Roman Regular"/>
          <w:sz w:val="21"/>
          <w:szCs w:val="21"/>
          <w:u w:val="none"/>
          <w:lang w:val="en-US" w:eastAsia="zh-CN"/>
        </w:rPr>
        <w:t>诉讼制度</w:t>
      </w:r>
    </w:p>
    <w:p w14:paraId="39BA21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投资者提起虚假陈述等证券民事赔偿诉讼时，诉讼标的是同一种类，且当事人一方人数众多的，可以依法推选代表人进行诉讼。对按照前款规定提起的诉讼，可能存在有相同诉讼请求的其他众多投资者的，人民法院可以发出公告，说明该诉讼请求的案件情况，通知投资者在一定期间向人民法院登记。人民法院作出的判决、裁定，对参加登记的投资者发生效力。投资者保护机构受五十名以上投资者委托，可以作为代表人参加诉讼，并为经证券登记结算机构确认的权利人依照前款规定向人民法院登记，但投资者明确表示不愿意参加该诉讼的除外</w:t>
      </w:r>
      <w:r>
        <w:rPr>
          <w:rFonts w:hint="eastAsia" w:ascii="Times New Roman Regular" w:hAnsi="Times New Roman Regular" w:cs="Times New Roman Regular"/>
          <w:sz w:val="21"/>
          <w:szCs w:val="21"/>
          <w:u w:val="none"/>
          <w:lang w:val="en-US" w:eastAsia="zh-CN"/>
        </w:rPr>
        <w:t>。</w:t>
      </w:r>
    </w:p>
    <w:p w14:paraId="3B3AB6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p>
    <w:p w14:paraId="6F23FB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【考点17:信托法】</w:t>
      </w:r>
    </w:p>
    <w:p w14:paraId="1EE642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一、信托合同的订立</w:t>
      </w:r>
    </w:p>
    <w:p w14:paraId="70D061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1．设立信托，应当采取书面形式。</w:t>
      </w:r>
    </w:p>
    <w:p w14:paraId="27FD5F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2．采取信托合同形式设立信托的，信托合同签订时，信托成立。采取其他书面形式设立信托的，受托人承诺信托时，信托成立。</w:t>
      </w:r>
    </w:p>
    <w:p w14:paraId="0B05C2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3．信托无效的情形</w:t>
      </w:r>
    </w:p>
    <w:p w14:paraId="192704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信托绝对无效的情形：</w:t>
      </w:r>
    </w:p>
    <w:p w14:paraId="16C35C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（1）信托目的违反法律、行政法规或者损害社会公共利益；</w:t>
      </w:r>
    </w:p>
    <w:p w14:paraId="5CA09A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（2）信托财产不能确定；</w:t>
      </w:r>
    </w:p>
    <w:p w14:paraId="675583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（3）委托人以非法财产或者本法规定不得设立信托的财产设立信托；</w:t>
      </w:r>
    </w:p>
    <w:p w14:paraId="653D2F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（4）专以诉讼或者讨债为目的设立信托；</w:t>
      </w:r>
    </w:p>
    <w:p w14:paraId="35DF08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（5）受益人或者受益人范围不能确定；</w:t>
      </w:r>
    </w:p>
    <w:p w14:paraId="3D0B69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（6）法律、行政法规规定的其他情形。</w:t>
      </w:r>
    </w:p>
    <w:p w14:paraId="7400C6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信托相对无效的情形：</w:t>
      </w:r>
    </w:p>
    <w:p w14:paraId="519A88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（1）委托人设立信托损害其债权人利益的，债权人有权申请人民法院撤销该信托。一旦撤销，信托自始无效；</w:t>
      </w:r>
    </w:p>
    <w:p w14:paraId="65CB478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（2）债权人自知道或应当知道撤销原因之日起一年内行使撤销权；</w:t>
      </w:r>
    </w:p>
    <w:p w14:paraId="6E1F29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（3）撤销之后，不影响善意受益人已取得的信托利益</w:t>
      </w:r>
    </w:p>
    <w:p w14:paraId="5DE785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二、信托财产</w:t>
      </w:r>
    </w:p>
    <w:p w14:paraId="4D72AF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信托财产的范围</w:t>
      </w:r>
    </w:p>
    <w:p w14:paraId="2EAE08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1．受托人因承诺信托而取得的财产；</w:t>
      </w:r>
    </w:p>
    <w:p w14:paraId="1A30FD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2．受托人因信托财产的管理运用、处分或者其他情形而取得的财产；</w:t>
      </w:r>
    </w:p>
    <w:p w14:paraId="6F154C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3．法律、行政法规禁止流通的财产，不得作为信托财产；法律、行政法规限制流通的财产，依法经有关主管部门批准后，可以作为信托财产</w:t>
      </w:r>
    </w:p>
    <w:p w14:paraId="4CDFCD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信托财产的独立性</w:t>
      </w:r>
    </w:p>
    <w:p w14:paraId="7A382C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1．原则：不得强制执行</w:t>
      </w:r>
    </w:p>
    <w:p w14:paraId="695087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2．例外：</w:t>
      </w:r>
    </w:p>
    <w:p w14:paraId="4AA6FA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（1）设立信托前债权人已对该信托财产享有优先受偿的权利，并依法行使该权利的；</w:t>
      </w:r>
    </w:p>
    <w:p w14:paraId="3CADBB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（2）受托人处理信托事务所产生债务，债权人要求清偿该债务的；</w:t>
      </w:r>
    </w:p>
    <w:p w14:paraId="4A4E7E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（3）信托财产本身应担负的税款；</w:t>
      </w:r>
    </w:p>
    <w:p w14:paraId="43D3E2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（4）法律规定的其他情形。</w:t>
      </w:r>
    </w:p>
    <w:p w14:paraId="1B88AD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w:t>
      </w:r>
      <w:r>
        <w:rPr>
          <w:rFonts w:hint="eastAsia" w:ascii="Times New Roman Regular" w:hAnsi="Times New Roman Regular" w:cs="Times New Roman Regular"/>
          <w:sz w:val="21"/>
          <w:szCs w:val="21"/>
          <w:u w:val="none"/>
          <w:lang w:val="en-US" w:eastAsia="zh-CN"/>
        </w:rPr>
        <w:t>抵销</w:t>
      </w:r>
      <w:r>
        <w:rPr>
          <w:rFonts w:hint="default" w:ascii="Times New Roman Regular" w:hAnsi="Times New Roman Regular" w:cs="Times New Roman Regular"/>
          <w:sz w:val="21"/>
          <w:szCs w:val="21"/>
          <w:u w:val="none"/>
          <w:lang w:val="en-US" w:eastAsia="zh-CN"/>
        </w:rPr>
        <w:t>：</w:t>
      </w:r>
    </w:p>
    <w:p w14:paraId="59DF70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（1）受托人管理运用、处分信托财产所产生的债权，不得与其固有财产产生的债务相抵销。</w:t>
      </w:r>
    </w:p>
    <w:p w14:paraId="1F3AE0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（2）受托人管理运用、处分不同委托人的信托财产所产生的债权债务，不得相互抵销</w:t>
      </w:r>
    </w:p>
    <w:p w14:paraId="6E3426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三、信托当事人</w:t>
      </w:r>
    </w:p>
    <w:p w14:paraId="5E6C5E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（一）信托委托人</w:t>
      </w:r>
    </w:p>
    <w:p w14:paraId="4E41B7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范围</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委托人应当是具有完全民事行为能力的自然人、法人或者依法成立的其他组织</w:t>
      </w:r>
    </w:p>
    <w:p w14:paraId="4AB014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权利</w:t>
      </w:r>
    </w:p>
    <w:p w14:paraId="67EA8D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知情权</w:t>
      </w:r>
    </w:p>
    <w:p w14:paraId="145EA1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委托人有权了解其信托财产的管理运用、处分及收支情况，并有权要求受托人作出说明。委托人有权查阅、抄录或者复制与其信托财产有关的信托帐目以及处理信托事务的其他文件</w:t>
      </w:r>
    </w:p>
    <w:p w14:paraId="0FEC87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撤销权</w:t>
      </w:r>
    </w:p>
    <w:p w14:paraId="7AE8FB6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受托人违反信托目的处分信托财产或者因违背管理职责、处理信托事务不当致使信托财产受到损失的，委托人有权申请人民法院撤销该处分行为，并有权要求受托人恢复信托财产的原状或者予以赔偿；信托财产的受让人明知是违反信托目的而接受该财产的，应当予以返还或者予以赔偿。前款规定的申请权，自委托人知道或者应当知道撤销原因之日起一年内不行使的，归于消灭</w:t>
      </w:r>
    </w:p>
    <w:p w14:paraId="0B0CBB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解任权</w:t>
      </w:r>
    </w:p>
    <w:p w14:paraId="033825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受托人违反信托目的处分信托财产或者管理运用、处分信托财产有重大过失的，委托人有权依照信托文件的规定解任受托人，或者申请人民法院解任受托人</w:t>
      </w:r>
    </w:p>
    <w:p w14:paraId="5C36C3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（二）信托受托人</w:t>
      </w:r>
    </w:p>
    <w:p w14:paraId="4492AC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范围</w:t>
      </w:r>
    </w:p>
    <w:p w14:paraId="75A1AF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受托人应当是具有完全民事行为能力的自然人、法人</w:t>
      </w:r>
    </w:p>
    <w:p w14:paraId="2B54C6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义务</w:t>
      </w:r>
    </w:p>
    <w:p w14:paraId="15E096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受托人除依照信托法规定取得报酬外，不得利用信托财产为自己谋取利益。受托人违反前款规定，利用信托财产为自己谋取利益的，所得利益归入信托财产。</w:t>
      </w:r>
    </w:p>
    <w:p w14:paraId="70EE16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受托人不得将信托财产转为其固有财产。受托人将信托财产转为其固有财产的，必须恢复该信托财产的原状；造成信托财产损失的，应当承担赔偿责任。受托人不得将其固有财产与信托财产进行交易或者将不同委托人的信托财产进行相互交易，但信托文件另有规定或者经委托人或者受益人同意，并以公平的市场价格进行交易的除外。受托人违反前款规定，造成信托财产损失的，应当承担赔偿责任。</w:t>
      </w:r>
    </w:p>
    <w:p w14:paraId="16B171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受托人必须将信托财产与其固有财产分别管理、分别记帐，并将不同委托人的信托财产分别管理、分别记帐。</w:t>
      </w:r>
    </w:p>
    <w:p w14:paraId="6C8428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受托人应当自己处理信托事务，但信托文件另有规定或者有不得已事由的，可以委托他人代为处理。受托人依法将信托事务委托他人代理的，应当对他人处理信托事务的行为承担责任</w:t>
      </w:r>
    </w:p>
    <w:p w14:paraId="45AE1C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辞任</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设立信托后，经委托人和受益人同意，受托人可以辞任。信托法对公益信托的受托人辞任另有规定的，从其规定</w:t>
      </w:r>
    </w:p>
    <w:p w14:paraId="0ACF72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w:t>
      </w:r>
      <w:r>
        <w:rPr>
          <w:rFonts w:hint="default" w:ascii="Times New Roman Regular" w:hAnsi="Times New Roman Regular" w:cs="Times New Roman Regular"/>
          <w:sz w:val="21"/>
          <w:szCs w:val="21"/>
          <w:u w:val="none"/>
          <w:lang w:val="en-US" w:eastAsia="zh-CN"/>
        </w:rPr>
        <w:t>终止</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受托人有下列情形之一的，其职责终止：死亡或者被依法宣告死亡</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被依法宣告为无民事行为能力人或者限制民事行为能力</w:t>
      </w:r>
      <w:r>
        <w:rPr>
          <w:rFonts w:hint="eastAsia" w:ascii="Times New Roman Regular" w:hAnsi="Times New Roman Regular" w:cs="Times New Roman Regular"/>
          <w:sz w:val="21"/>
          <w:szCs w:val="21"/>
          <w:u w:val="none"/>
          <w:lang w:val="en-US" w:eastAsia="zh-CN"/>
        </w:rPr>
        <w:t>人；</w:t>
      </w:r>
      <w:r>
        <w:rPr>
          <w:rFonts w:hint="default" w:ascii="Times New Roman Regular" w:hAnsi="Times New Roman Regular" w:cs="Times New Roman Regular"/>
          <w:sz w:val="21"/>
          <w:szCs w:val="21"/>
          <w:u w:val="none"/>
          <w:lang w:val="en-US" w:eastAsia="zh-CN"/>
        </w:rPr>
        <w:t>被依法撤销或者被宣告破产</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依法解散或者法定资格丧失</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辞任或者被解任</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法律、行政法规规定的其他情形</w:t>
      </w:r>
      <w:r>
        <w:rPr>
          <w:rFonts w:hint="eastAsia" w:ascii="Times New Roman Regular" w:hAnsi="Times New Roman Regular" w:cs="Times New Roman Regular"/>
          <w:sz w:val="21"/>
          <w:szCs w:val="21"/>
          <w:u w:val="none"/>
          <w:lang w:val="en-US" w:eastAsia="zh-CN"/>
        </w:rPr>
        <w:t>。</w:t>
      </w:r>
    </w:p>
    <w:p w14:paraId="4A7F70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（三）信托受益人</w:t>
      </w:r>
    </w:p>
    <w:p w14:paraId="7522EB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范围</w:t>
      </w:r>
    </w:p>
    <w:p w14:paraId="5AD32C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受益人是在信托中享有信托受益权的人。受益人可以是自然人、法人或者依法成立的其他组织。</w:t>
      </w:r>
    </w:p>
    <w:p w14:paraId="5F0DEF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委托人可以是受益人，也可以是同一信托的唯一受益人。</w:t>
      </w:r>
    </w:p>
    <w:p w14:paraId="29A82D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受托人可以是受益人，但不得是同一信托的唯一受益人</w:t>
      </w:r>
    </w:p>
    <w:p w14:paraId="20B3D1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受益权</w:t>
      </w:r>
    </w:p>
    <w:p w14:paraId="4FDE88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受益人可以放弃信托受益权。</w:t>
      </w:r>
    </w:p>
    <w:p w14:paraId="1D697C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全体受益人放弃信托受益权的，信托终止。</w:t>
      </w:r>
    </w:p>
    <w:p w14:paraId="3D9C46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受益人不能清偿到期债务的，其信托受益权可以用于清偿债务，但法律、行政法规以及信托文件有限制性规定的除外。</w:t>
      </w:r>
    </w:p>
    <w:p w14:paraId="33AD24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受益人的信托受益权可以依法转让和继承，但信托文件有限制性规定的除外</w:t>
      </w:r>
    </w:p>
    <w:p w14:paraId="4DBBB5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四、信托的变更与终止</w:t>
      </w:r>
    </w:p>
    <w:p w14:paraId="04C746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信托的变更</w:t>
      </w:r>
    </w:p>
    <w:p w14:paraId="53D214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设立信托后，有下列情形之一的，委托人可以变更受益人或者处分受益人的信托受益权：</w:t>
      </w:r>
    </w:p>
    <w:p w14:paraId="6FA034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1．受益人对委托人有重大侵权行为；</w:t>
      </w:r>
    </w:p>
    <w:p w14:paraId="195BF4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2．受益人对其他共同受益人有重大侵权行为；</w:t>
      </w:r>
    </w:p>
    <w:p w14:paraId="25954E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3．经受益人同意；</w:t>
      </w:r>
    </w:p>
    <w:p w14:paraId="7AB376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4．信托文件规定的其他情形。</w:t>
      </w:r>
    </w:p>
    <w:p w14:paraId="7429B3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有1、3、4项所列情形之一的，委托人可以解除信托</w:t>
      </w:r>
    </w:p>
    <w:p w14:paraId="50619E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信托的终止</w:t>
      </w:r>
    </w:p>
    <w:p w14:paraId="4D35CCF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有下列情形之一的，信托终止：</w:t>
      </w:r>
    </w:p>
    <w:p w14:paraId="6802EB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1．信托文件规定的终止事由发生</w:t>
      </w:r>
    </w:p>
    <w:p w14:paraId="58163C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2．信托的存续违反信托目的</w:t>
      </w:r>
    </w:p>
    <w:p w14:paraId="735328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3．信托目的已经实现或者不能实现</w:t>
      </w:r>
    </w:p>
    <w:p w14:paraId="14538F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4．信托当事人协商同意</w:t>
      </w:r>
    </w:p>
    <w:p w14:paraId="6009A8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5．信托被撤销</w:t>
      </w:r>
    </w:p>
    <w:p w14:paraId="438BA6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6．信托被解除</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7FEE782"/>
    <w:rsid w:val="0D9A55A2"/>
    <w:rsid w:val="13EF1752"/>
    <w:rsid w:val="16EFD392"/>
    <w:rsid w:val="177DA370"/>
    <w:rsid w:val="17DFFA75"/>
    <w:rsid w:val="18BFC09B"/>
    <w:rsid w:val="1BDF0D29"/>
    <w:rsid w:val="1BEF9C01"/>
    <w:rsid w:val="1BFB8A79"/>
    <w:rsid w:val="1FFDE82A"/>
    <w:rsid w:val="1FFE3DC8"/>
    <w:rsid w:val="25E4E361"/>
    <w:rsid w:val="2FF57ABD"/>
    <w:rsid w:val="2FFFFDC3"/>
    <w:rsid w:val="373C9D22"/>
    <w:rsid w:val="37F9300F"/>
    <w:rsid w:val="39CD9E08"/>
    <w:rsid w:val="3AA211B0"/>
    <w:rsid w:val="3BFD214C"/>
    <w:rsid w:val="3DDD8785"/>
    <w:rsid w:val="3EFF2196"/>
    <w:rsid w:val="3EFFCDE3"/>
    <w:rsid w:val="3F7D6D90"/>
    <w:rsid w:val="3FDF38B5"/>
    <w:rsid w:val="3FFDBCEC"/>
    <w:rsid w:val="4D7AF3B1"/>
    <w:rsid w:val="4F7E5D39"/>
    <w:rsid w:val="4F9D6243"/>
    <w:rsid w:val="4FCD3AA0"/>
    <w:rsid w:val="4FCEB7C1"/>
    <w:rsid w:val="4FEF7A7F"/>
    <w:rsid w:val="5BF630B3"/>
    <w:rsid w:val="5C0CB226"/>
    <w:rsid w:val="5D1E5E35"/>
    <w:rsid w:val="5D2F548A"/>
    <w:rsid w:val="5D9CC53C"/>
    <w:rsid w:val="5DBFD756"/>
    <w:rsid w:val="5F67BE34"/>
    <w:rsid w:val="5FDFC522"/>
    <w:rsid w:val="63F79634"/>
    <w:rsid w:val="656F94B2"/>
    <w:rsid w:val="676B1FCF"/>
    <w:rsid w:val="67ACB7A7"/>
    <w:rsid w:val="67FDC232"/>
    <w:rsid w:val="6B2B0BED"/>
    <w:rsid w:val="6B4EF4A0"/>
    <w:rsid w:val="6BBF548D"/>
    <w:rsid w:val="6BEE3C17"/>
    <w:rsid w:val="6CFC5835"/>
    <w:rsid w:val="6E77237F"/>
    <w:rsid w:val="6E7965C7"/>
    <w:rsid w:val="6EBFFE06"/>
    <w:rsid w:val="6EDC6954"/>
    <w:rsid w:val="6F7FD66B"/>
    <w:rsid w:val="6FB1B2A4"/>
    <w:rsid w:val="6FC75035"/>
    <w:rsid w:val="6FE9DFA5"/>
    <w:rsid w:val="6FF6B73E"/>
    <w:rsid w:val="6FF7B5C8"/>
    <w:rsid w:val="72B16660"/>
    <w:rsid w:val="72FEDFAF"/>
    <w:rsid w:val="74EF0DAF"/>
    <w:rsid w:val="75FFDC8C"/>
    <w:rsid w:val="76576194"/>
    <w:rsid w:val="76AD0C82"/>
    <w:rsid w:val="776C2E8C"/>
    <w:rsid w:val="77F16829"/>
    <w:rsid w:val="78FF9F1C"/>
    <w:rsid w:val="79874A51"/>
    <w:rsid w:val="79B72732"/>
    <w:rsid w:val="79E39172"/>
    <w:rsid w:val="79EB52D8"/>
    <w:rsid w:val="7A8FECFA"/>
    <w:rsid w:val="7B6D3C00"/>
    <w:rsid w:val="7B77E946"/>
    <w:rsid w:val="7BBFB3DC"/>
    <w:rsid w:val="7BEF48FB"/>
    <w:rsid w:val="7BFFD2F7"/>
    <w:rsid w:val="7C7DDD51"/>
    <w:rsid w:val="7C7FB7CA"/>
    <w:rsid w:val="7D473A11"/>
    <w:rsid w:val="7D7FD33D"/>
    <w:rsid w:val="7DBDD90E"/>
    <w:rsid w:val="7DBF2FD1"/>
    <w:rsid w:val="7DBFEFAD"/>
    <w:rsid w:val="7DD7718F"/>
    <w:rsid w:val="7DF9200D"/>
    <w:rsid w:val="7E3F6002"/>
    <w:rsid w:val="7E3F68FF"/>
    <w:rsid w:val="7E9F6469"/>
    <w:rsid w:val="7EFF22BE"/>
    <w:rsid w:val="7EFFC158"/>
    <w:rsid w:val="7F3B9F4C"/>
    <w:rsid w:val="7F3C3286"/>
    <w:rsid w:val="7F695405"/>
    <w:rsid w:val="7F6B748A"/>
    <w:rsid w:val="7F7F96A0"/>
    <w:rsid w:val="7FB49696"/>
    <w:rsid w:val="7FBF0F91"/>
    <w:rsid w:val="7FE7235C"/>
    <w:rsid w:val="7FF31721"/>
    <w:rsid w:val="7FFCE884"/>
    <w:rsid w:val="7FFFE3D2"/>
    <w:rsid w:val="8ABEE47C"/>
    <w:rsid w:val="8CFE00A2"/>
    <w:rsid w:val="97FF1A02"/>
    <w:rsid w:val="9DCD77E2"/>
    <w:rsid w:val="9E4B7A65"/>
    <w:rsid w:val="A37FC9A5"/>
    <w:rsid w:val="AE357413"/>
    <w:rsid w:val="AEAF67DC"/>
    <w:rsid w:val="AECFAD74"/>
    <w:rsid w:val="AED07A5A"/>
    <w:rsid w:val="AEFFF231"/>
    <w:rsid w:val="AF7349BF"/>
    <w:rsid w:val="B07A08BD"/>
    <w:rsid w:val="B1FDE468"/>
    <w:rsid w:val="B3DA1076"/>
    <w:rsid w:val="B3FEA9EF"/>
    <w:rsid w:val="B7FEF551"/>
    <w:rsid w:val="BA7F4969"/>
    <w:rsid w:val="BBBE4515"/>
    <w:rsid w:val="BBD68691"/>
    <w:rsid w:val="BFD7C2A8"/>
    <w:rsid w:val="BFDF5E9D"/>
    <w:rsid w:val="BFFF175C"/>
    <w:rsid w:val="BFFFC478"/>
    <w:rsid w:val="C2FF7057"/>
    <w:rsid w:val="CBDA46FA"/>
    <w:rsid w:val="CDF9AD73"/>
    <w:rsid w:val="CEAF22DB"/>
    <w:rsid w:val="CFABA3EB"/>
    <w:rsid w:val="CFBDAEF9"/>
    <w:rsid w:val="CFFF1593"/>
    <w:rsid w:val="D5D73689"/>
    <w:rsid w:val="D7F8DDAE"/>
    <w:rsid w:val="D99D7B6E"/>
    <w:rsid w:val="DBF64670"/>
    <w:rsid w:val="DDF7D8BE"/>
    <w:rsid w:val="DF5E5F26"/>
    <w:rsid w:val="DF5F11DD"/>
    <w:rsid w:val="DFBF84B6"/>
    <w:rsid w:val="DFDD6831"/>
    <w:rsid w:val="DFDF6213"/>
    <w:rsid w:val="DFFD1283"/>
    <w:rsid w:val="E537C511"/>
    <w:rsid w:val="E5718167"/>
    <w:rsid w:val="E5AB3AAB"/>
    <w:rsid w:val="E5BF934A"/>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3F9E58"/>
    <w:rsid w:val="F56E2A6E"/>
    <w:rsid w:val="F5DFBCBC"/>
    <w:rsid w:val="F5EEDA60"/>
    <w:rsid w:val="F66FF0AD"/>
    <w:rsid w:val="F6BF0D11"/>
    <w:rsid w:val="F6DFFC0C"/>
    <w:rsid w:val="F73F225B"/>
    <w:rsid w:val="F77F37FD"/>
    <w:rsid w:val="F7B52906"/>
    <w:rsid w:val="F8BFEF65"/>
    <w:rsid w:val="FABE4737"/>
    <w:rsid w:val="FB6DB6EE"/>
    <w:rsid w:val="FBCF5F94"/>
    <w:rsid w:val="FBDF91EB"/>
    <w:rsid w:val="FBF71024"/>
    <w:rsid w:val="FBFF7EF4"/>
    <w:rsid w:val="FCDFB608"/>
    <w:rsid w:val="FD375179"/>
    <w:rsid w:val="FD6C9E97"/>
    <w:rsid w:val="FD6EB3EE"/>
    <w:rsid w:val="FD7E729E"/>
    <w:rsid w:val="FDBDD900"/>
    <w:rsid w:val="FDF59568"/>
    <w:rsid w:val="FE29F0CA"/>
    <w:rsid w:val="FEA64923"/>
    <w:rsid w:val="FED769C8"/>
    <w:rsid w:val="FEFD8847"/>
    <w:rsid w:val="FEFE96F1"/>
    <w:rsid w:val="FF3362C6"/>
    <w:rsid w:val="FF6F6FFE"/>
    <w:rsid w:val="FF7BF13D"/>
    <w:rsid w:val="FF943FE1"/>
    <w:rsid w:val="FFE7A28B"/>
    <w:rsid w:val="FFEFF665"/>
    <w:rsid w:val="FFF71BDB"/>
    <w:rsid w:val="FFF72BE1"/>
    <w:rsid w:val="FFF9CCB1"/>
    <w:rsid w:val="FFFA0194"/>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2026-02-08T00:22:00Z</dcterms:created>
  <dc:creator>Arthur (Xiao) Dong</dc:creator>
  <cp:lastModifiedBy>Arthur (Xiao) Dong</cp:lastModifiedBy>
  <dcterms:modified xsi:type="dcterms:W3CDTF">2026-05-12T15:33:07Z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