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40"/>
          <w:szCs w:val="40"/>
          <w:lang w:val="en-US" w:eastAsia="zh-CN"/>
        </w:rPr>
      </w:pPr>
      <w:r>
        <w:rPr>
          <w:rFonts w:hint="eastAsia"/>
          <w:b/>
          <w:bCs/>
          <w:sz w:val="40"/>
          <w:szCs w:val="40"/>
          <w:lang w:val="en-US" w:eastAsia="zh-CN"/>
        </w:rPr>
        <w:t>商法第七讲课堂笔记（考点14-16</w:t>
      </w:r>
      <w:bookmarkStart w:id="0" w:name="_GoBack"/>
      <w:bookmarkEnd w:id="0"/>
      <w:r>
        <w:rPr>
          <w:rFonts w:hint="eastAsia"/>
          <w:b/>
          <w:bCs/>
          <w:sz w:val="40"/>
          <w:szCs w:val="40"/>
          <w:lang w:val="en-US" w:eastAsia="zh-CN"/>
        </w:rPr>
        <w:t>）</w:t>
      </w:r>
    </w:p>
    <w:p w14:paraId="7BF17D9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【考点14:保险法】</w:t>
      </w:r>
    </w:p>
    <w:p w14:paraId="1BCF95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（接续第六讲）</w:t>
      </w:r>
    </w:p>
    <w:p w14:paraId="62858C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八、代位求偿权</w:t>
      </w:r>
    </w:p>
    <w:p w14:paraId="552826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被保险人弃权的后果</w:t>
      </w:r>
    </w:p>
    <w:p w14:paraId="2786572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保险人赔偿前</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保险事故发生后，保险人未赔偿保险金之前，被保险人放弃对第三者的请求赔偿的权利的，保险人不承担赔偿保险金的责任</w:t>
      </w:r>
    </w:p>
    <w:p w14:paraId="4687DEC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保险人赔偿后</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保险人向被保险人赔偿保险金后，被保险人未经保险人同意放弃对第三者请求赔偿的权利的，该行为无效</w:t>
      </w:r>
    </w:p>
    <w:p w14:paraId="310B8BC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例外</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保险人不得对被保险人的家庭成员或者其组成人员行使代位请求赔偿的权利，除非是被保险人的家庭成员或者其组成人员故意造成这种保险事故</w:t>
      </w:r>
    </w:p>
    <w:p w14:paraId="3C471E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九、人身保险合同的受益人</w:t>
      </w:r>
    </w:p>
    <w:p w14:paraId="0772580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指定</w:t>
      </w:r>
    </w:p>
    <w:p w14:paraId="2755967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人身保险的受益人由被保险人或者投保人指定。投保人指定受益人时须经被保险人同意，否则无效</w:t>
      </w:r>
    </w:p>
    <w:p w14:paraId="0F1714E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变更</w:t>
      </w:r>
    </w:p>
    <w:p w14:paraId="235576B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1．投保人变更受益人未经被保险人同意的无效。</w:t>
      </w:r>
    </w:p>
    <w:p w14:paraId="464F98A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2．投保人或者被保险人变更受益人未通知保险人，对保险人不发生效力。</w:t>
      </w:r>
    </w:p>
    <w:p w14:paraId="0D719B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3．投保人或者被保险人变更受益人，当事人主张变更行为自变更意思表示发出时生效的，人民法院应予支持。</w:t>
      </w:r>
    </w:p>
    <w:p w14:paraId="1EE5CD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4．投保人或者被保险人在保险事故发生后变更受益人，变更后的受益人请求保险人给付保险金的，人民法院不予支持。</w:t>
      </w:r>
    </w:p>
    <w:p w14:paraId="22AB84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十、死亡保险被保险人的资格</w:t>
      </w:r>
    </w:p>
    <w:p w14:paraId="7BED7F3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1．投保人不得为无民事行为能力人投保以死亡为给付保险金条件的人身保险，保险人也不得承保。</w:t>
      </w:r>
    </w:p>
    <w:p w14:paraId="12740B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2．父母为其未成年子女投保的人身保险，不受上述规定限制，但是死亡给付保险金额总和不得超过保险监督管理机构规定的限额。</w:t>
      </w:r>
    </w:p>
    <w:p w14:paraId="3FCEB7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十一、年龄误报</w:t>
      </w:r>
    </w:p>
    <w:p w14:paraId="123CCA4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不符合承保条件</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投保人申报的被保险人年龄不真实，并且其真实年龄不符合合同约定的年龄限制的，保险人可以解除合同，并按照合同约定退还保险单的现金价值，但是自合同成立之日起逾二年的除外</w:t>
      </w:r>
    </w:p>
    <w:p w14:paraId="62CE7F7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年龄说小</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投保人申报的被保险人年龄不真实，致使投保人支付的保险费少于应付保险费的，保险人有权更正并要求投保人补交保险费，或者在给付保险金时按照实付保险费与应付保险费的比例支付</w:t>
      </w:r>
    </w:p>
    <w:p w14:paraId="3D6E03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年龄说大</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投保人申报的被保险人年龄不真实，致使投保人实付保险费多于应付保险费的，保险人应当将多收的保险费退还投保人</w:t>
      </w:r>
    </w:p>
    <w:p w14:paraId="5236DD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十二、保险费的缴纳与合同的效力</w:t>
      </w:r>
    </w:p>
    <w:p w14:paraId="2AE4A3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保险合同的中止</w:t>
      </w:r>
    </w:p>
    <w:p w14:paraId="523541C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合同约定分期支付保险费，投保人支付首期保险费后，除合同另有约定外，投保人自保险人催告之日起超过三十日未支付当期保险费，或者超过约定的期限六十日未支付当期保险费的，合同效力中止，或者由保险人按照合同约定的条件减少保险金额</w:t>
      </w:r>
    </w:p>
    <w:p w14:paraId="3C13506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保险合同的复效与解除</w:t>
      </w:r>
    </w:p>
    <w:p w14:paraId="4340FC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1．依照上述规定合同效力中止的，投保人提出恢复效力申请并同意补交保险费，除被保险人的危险程度在中止期间显著增加外，保险人拒绝恢复效力的，人民法院不予支持。</w:t>
      </w:r>
    </w:p>
    <w:p w14:paraId="46FB61F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2．保险人在收到恢复效力申请后，三十日内未明确拒绝的，应认定为同意恢复效力。</w:t>
      </w:r>
    </w:p>
    <w:p w14:paraId="0BA255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3．保险合同自投保人补交保险费之日恢复效力。保险人要求投保人补交相应利息的，人民法院应予支持。</w:t>
      </w:r>
    </w:p>
    <w:p w14:paraId="13D1E6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4．但是，自合同效力中止之日起2年内双方未达成协议的，保险人有权解除合同</w:t>
      </w:r>
    </w:p>
    <w:p w14:paraId="2E8450C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十三、人身保险合同的法定除外责任</w:t>
      </w:r>
    </w:p>
    <w:p w14:paraId="3614B1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投保人和受益人的过错行为</w:t>
      </w:r>
    </w:p>
    <w:p w14:paraId="2C4A4D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1．投保人故意造成被保险人死亡、伤残或者疾病的，保险人不承担给付保险金的责任</w:t>
      </w:r>
    </w:p>
    <w:p w14:paraId="1B1816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2．受益人故意造成被保险人死亡、伤残、疾病的，或者故意杀害被保险人未遂的，该受益人丧失受益权</w:t>
      </w:r>
    </w:p>
    <w:p w14:paraId="4E6A4C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被保险人的自杀行为</w:t>
      </w:r>
    </w:p>
    <w:p w14:paraId="409812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以被保险人死亡为给付保险金条件的合同，自合同成立或者合同效力恢复之日起二年内，被保险人自杀的，保险人不承担给付保险金的责任</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但被保险人自杀时为无民事行为能力人的除外。</w:t>
      </w:r>
    </w:p>
    <w:p w14:paraId="32D3F43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752A32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【考点15:票据法】</w:t>
      </w:r>
    </w:p>
    <w:p w14:paraId="6936CB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一、票据的种类：汇票、本票、支票</w:t>
      </w:r>
    </w:p>
    <w:p w14:paraId="031906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二、票据行为</w:t>
      </w:r>
    </w:p>
    <w:p w14:paraId="70DEFD4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出票</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出票是指出票人签发票据并将其交付给收款人的票据行为。</w:t>
      </w:r>
    </w:p>
    <w:p w14:paraId="47C1FBF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背书</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背书是指在票据背面或粘单上记载有关事项并签章的票据行为</w:t>
      </w:r>
    </w:p>
    <w:p w14:paraId="3410DF9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出票人的限制背书</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出票人在汇票上记载“不得转让”字样的，汇票不得转让</w:t>
      </w:r>
    </w:p>
    <w:p w14:paraId="265BC5C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背书人的限制背书</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背书人在汇票上记载“不得转让”字样，其后手再背书转让的，原背书人对后手的被背书人不承担保证责任</w:t>
      </w:r>
    </w:p>
    <w:p w14:paraId="25F7D71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3.附条件背书：</w:t>
      </w:r>
      <w:r>
        <w:rPr>
          <w:rFonts w:hint="default" w:ascii="Times New Roman Regular" w:hAnsi="Times New Roman Regular" w:cs="Times New Roman Regular"/>
          <w:sz w:val="24"/>
          <w:szCs w:val="24"/>
          <w:u w:val="none"/>
          <w:lang w:val="en-US" w:eastAsia="zh-CN"/>
        </w:rPr>
        <w:t>背书不得附有条件，背书时附有条件的，所附条件不具有汇票上的效力。</w:t>
      </w:r>
    </w:p>
    <w:p w14:paraId="7BEA69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4.部分背书和分别背书：</w:t>
      </w:r>
      <w:r>
        <w:rPr>
          <w:rFonts w:hint="default" w:ascii="Times New Roman Regular" w:hAnsi="Times New Roman Regular" w:cs="Times New Roman Regular"/>
          <w:sz w:val="24"/>
          <w:szCs w:val="24"/>
          <w:u w:val="none"/>
          <w:lang w:val="en-US" w:eastAsia="zh-CN"/>
        </w:rPr>
        <w:t>将汇票金额的一部分转让的背书或者将汇票金额分别转让给二人以上的背书无效</w:t>
      </w:r>
    </w:p>
    <w:p w14:paraId="519DAE4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5.期后背书：</w:t>
      </w:r>
      <w:r>
        <w:rPr>
          <w:rFonts w:hint="default" w:ascii="Times New Roman Regular" w:hAnsi="Times New Roman Regular" w:cs="Times New Roman Regular"/>
          <w:sz w:val="24"/>
          <w:szCs w:val="24"/>
          <w:u w:val="none"/>
          <w:lang w:val="en-US" w:eastAsia="zh-CN"/>
        </w:rPr>
        <w:t>汇票被拒绝承兑、被拒绝付款或者超过付款提示期限的，不得背书转让；背书转让的，背书人应当承担汇票责任</w:t>
      </w:r>
      <w:r>
        <w:rPr>
          <w:rFonts w:hint="eastAsia" w:ascii="Times New Roman Regular" w:hAnsi="Times New Roman Regular" w:cs="Times New Roman Regular"/>
          <w:sz w:val="24"/>
          <w:szCs w:val="24"/>
          <w:u w:val="none"/>
          <w:lang w:val="en-US" w:eastAsia="zh-CN"/>
        </w:rPr>
        <w:t>。</w:t>
      </w:r>
    </w:p>
    <w:p w14:paraId="5B1BAA3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6.回头背书</w:t>
      </w:r>
    </w:p>
    <w:p w14:paraId="793D7D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持票人为出票人的，对其前手无追索权</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持票人为背书人的，对其后手无追索权。</w:t>
      </w:r>
    </w:p>
    <w:p w14:paraId="0C3FE71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w:t>
      </w:r>
      <w:r>
        <w:rPr>
          <w:rFonts w:hint="default" w:ascii="Times New Roman Regular" w:hAnsi="Times New Roman Regular" w:cs="Times New Roman Regular"/>
          <w:sz w:val="24"/>
          <w:szCs w:val="24"/>
          <w:u w:val="none"/>
          <w:lang w:val="en-US" w:eastAsia="zh-CN"/>
        </w:rPr>
        <w:t>承兑</w:t>
      </w:r>
    </w:p>
    <w:p w14:paraId="44F21F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付款人承兑汇票后，应当承担到期付款的责任</w:t>
      </w:r>
    </w:p>
    <w:p w14:paraId="41BE56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附条件承兑</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承兑不得附有条件（部分承兑亦视为附条件），附条件则视为拒绝承兑</w:t>
      </w:r>
    </w:p>
    <w:p w14:paraId="336F34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w:t>
      </w:r>
      <w:r>
        <w:rPr>
          <w:rFonts w:hint="default" w:ascii="Times New Roman Regular" w:hAnsi="Times New Roman Regular" w:cs="Times New Roman Regular"/>
          <w:sz w:val="24"/>
          <w:szCs w:val="24"/>
          <w:u w:val="none"/>
          <w:lang w:val="en-US" w:eastAsia="zh-CN"/>
        </w:rPr>
        <w:t>保证</w:t>
      </w:r>
    </w:p>
    <w:p w14:paraId="612F1BD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保证人与被保证人之间以及保证人之间就票据债务负连带责任</w:t>
      </w:r>
    </w:p>
    <w:p w14:paraId="780BF94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三、票据权利</w:t>
      </w:r>
    </w:p>
    <w:p w14:paraId="3C45477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种类</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付款请求权</w:t>
      </w:r>
      <w:r>
        <w:rPr>
          <w:rFonts w:hint="eastAsia" w:ascii="Times New Roman Regular" w:hAnsi="Times New Roman Regular" w:cs="Times New Roman Regular"/>
          <w:sz w:val="24"/>
          <w:szCs w:val="24"/>
          <w:u w:val="none"/>
          <w:lang w:val="en-US" w:eastAsia="zh-CN"/>
        </w:rPr>
        <w:t>和追索权</w:t>
      </w:r>
    </w:p>
    <w:p w14:paraId="2B3935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条件</w:t>
      </w:r>
    </w:p>
    <w:p w14:paraId="2B0A3E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1．取得方式合法；</w:t>
      </w:r>
    </w:p>
    <w:p w14:paraId="5B2B4D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（1）以欺诈、偷盗或者胁迫等手段取得票据的，或者明知有前列情形，出于恶意取得票据的，不得享有票据权利。</w:t>
      </w:r>
    </w:p>
    <w:p w14:paraId="40E154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（2）持票人因重大过失取得不符合本法规定的票据的，也不得享有票据权利</w:t>
      </w:r>
    </w:p>
    <w:p w14:paraId="097705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2．主观为善意</w:t>
      </w:r>
    </w:p>
    <w:p w14:paraId="139486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3．支付对价</w:t>
      </w:r>
    </w:p>
    <w:p w14:paraId="794F644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注意：因税收、继承、赠与可以依法无偿取得票据的，不受给付对价的限制。但是，所享有的票据权利不得优于其前手的权利</w:t>
      </w:r>
    </w:p>
    <w:p w14:paraId="5D1F2FE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（三）票据的对人抗辩</w:t>
      </w:r>
    </w:p>
    <w:p w14:paraId="73C8F5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在原因关系不存在、无效或消灭的情形下，票据债务人可对有直接原因关系的票据权利人进行抗辩；2．票据债务人可对有直接债权债务关系且未履行约定的持票人进行抗辩；3．持票人以欺诈、偷盗、胁迫等非法手段取得票据，或明知有此类情形仍恶意取得票据；4．持票人明知票据债务人与出票人或与持票人前手之间存在抗辩事由而取得票据；5．持票人以重大过失取得票据</w:t>
      </w:r>
    </w:p>
    <w:p w14:paraId="0CBC4BF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（四）追索权</w:t>
      </w:r>
    </w:p>
    <w:p w14:paraId="47DA1CA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汇票到期被拒绝付款的，持票人可以对背书人、出票人以及汇票的其他债务人行使追索权</w:t>
      </w:r>
    </w:p>
    <w:p w14:paraId="5E56AD6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32"/>
          <w:szCs w:val="32"/>
          <w:lang w:val="en-US" w:eastAsia="zh-CN"/>
        </w:rPr>
      </w:pP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【考点16:证券法】</w:t>
      </w:r>
    </w:p>
    <w:p w14:paraId="1EBF217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一、证券交易所</w:t>
      </w:r>
    </w:p>
    <w:p w14:paraId="622D6CC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概念</w:t>
      </w:r>
    </w:p>
    <w:p w14:paraId="6A0F15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证券交易所、国务院批准的其他全国性证券交易场所为证券集中交易提供场所和设施，组织和监督证券交易，实行自律管理，依法登记，取得法人资格</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证券交易所、国务院批准的其他全国性证券交易场所的设立、变更和解散由国务院决定</w:t>
      </w:r>
    </w:p>
    <w:p w14:paraId="592C3D4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w:t>
      </w:r>
      <w:r>
        <w:rPr>
          <w:rFonts w:hint="default" w:ascii="Times New Roman Regular" w:hAnsi="Times New Roman Regular" w:cs="Times New Roman Regular"/>
          <w:sz w:val="24"/>
          <w:szCs w:val="24"/>
          <w:u w:val="none"/>
          <w:lang w:val="en-US" w:eastAsia="zh-CN"/>
        </w:rPr>
        <w:t>职权</w:t>
      </w:r>
    </w:p>
    <w:p w14:paraId="0E9F189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因不可抗力、意外事件、重大技术故障、重大人为差错等突发性事件而影响证券交易正常进行时，为维护证券交易正常秩序和市场公平，证券交易所可以按照业务规则采取技术性停牌、临时停市等处置措施，并应当及时向国务院证券监督管理机构报告</w:t>
      </w:r>
    </w:p>
    <w:p w14:paraId="0C077C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2．证券交易所对其依照本条规定采取措施造成的损失，不承担民事赔偿责任，但存在重大过错的除外</w:t>
      </w:r>
    </w:p>
    <w:p w14:paraId="1525DCA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二、证券公司的业务</w:t>
      </w:r>
    </w:p>
    <w:p w14:paraId="33420E5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w:t>
      </w:r>
      <w:r>
        <w:rPr>
          <w:rFonts w:hint="default" w:ascii="Times New Roman Regular" w:hAnsi="Times New Roman Regular" w:cs="Times New Roman Regular"/>
          <w:sz w:val="24"/>
          <w:szCs w:val="24"/>
          <w:u w:val="none"/>
          <w:lang w:val="en-US" w:eastAsia="zh-CN"/>
        </w:rPr>
        <w:t>禁止业务</w:t>
      </w:r>
    </w:p>
    <w:p w14:paraId="6A8D6F6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1．证券公司除依照规定为其客户提供融资融券外，不得为其股东或者股东的关联人提供融资或者担保</w:t>
      </w:r>
    </w:p>
    <w:p w14:paraId="6529E3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2．证券公司不得将其自营账户借给他人使用</w:t>
      </w:r>
    </w:p>
    <w:p w14:paraId="4D6686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3．禁止任何单位或者个人以任何形式挪用客户的交易结算资金和证券</w:t>
      </w:r>
    </w:p>
    <w:p w14:paraId="2453FFE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4．证券公司办理经纪业务，不得接受客户的全权委托而决定证券买卖、选择证券种类、决定买卖数量或者买卖价格。证券公司不得允许他人以证券公司的名义直接参与证券的集中交易</w:t>
      </w:r>
    </w:p>
    <w:p w14:paraId="07018DD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5．证券公司不得对客户证券买卖的收益或者赔偿证券买卖的损失作出承诺</w:t>
      </w:r>
    </w:p>
    <w:p w14:paraId="438BA6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6．证券公司的从业人员不得私下接受客户委托买卖证券</w:t>
      </w:r>
    </w:p>
    <w:p w14:paraId="375FFE1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（剩余内容下次课继续讲解）</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7FEE782"/>
    <w:rsid w:val="0D9A55A2"/>
    <w:rsid w:val="13EF1752"/>
    <w:rsid w:val="16EFD392"/>
    <w:rsid w:val="177DA370"/>
    <w:rsid w:val="17DFFA75"/>
    <w:rsid w:val="18BFC09B"/>
    <w:rsid w:val="1BDF0D29"/>
    <w:rsid w:val="1BEF9C01"/>
    <w:rsid w:val="1BFB8A79"/>
    <w:rsid w:val="1FFDE82A"/>
    <w:rsid w:val="1FFE3DC8"/>
    <w:rsid w:val="25E4E361"/>
    <w:rsid w:val="2FF57ABD"/>
    <w:rsid w:val="2FFFFDC3"/>
    <w:rsid w:val="373C9D22"/>
    <w:rsid w:val="37F9300F"/>
    <w:rsid w:val="39CD9E08"/>
    <w:rsid w:val="3AA211B0"/>
    <w:rsid w:val="3BFD214C"/>
    <w:rsid w:val="3DDD8785"/>
    <w:rsid w:val="3EFF2196"/>
    <w:rsid w:val="3EFFCDE3"/>
    <w:rsid w:val="3F4FCF52"/>
    <w:rsid w:val="3F7D6D90"/>
    <w:rsid w:val="3FDF38B5"/>
    <w:rsid w:val="3FFDBCEC"/>
    <w:rsid w:val="4D7AF3B1"/>
    <w:rsid w:val="4F7E5D39"/>
    <w:rsid w:val="4F9D6243"/>
    <w:rsid w:val="4FCD3AA0"/>
    <w:rsid w:val="4FCEB7C1"/>
    <w:rsid w:val="4FEF7A7F"/>
    <w:rsid w:val="5BF630B3"/>
    <w:rsid w:val="5C0CB226"/>
    <w:rsid w:val="5D1E5E35"/>
    <w:rsid w:val="5D2F548A"/>
    <w:rsid w:val="5D9CC53C"/>
    <w:rsid w:val="5DBFD756"/>
    <w:rsid w:val="5F67BE34"/>
    <w:rsid w:val="5FDFC522"/>
    <w:rsid w:val="63F79634"/>
    <w:rsid w:val="656F94B2"/>
    <w:rsid w:val="676B1FCF"/>
    <w:rsid w:val="67ACB7A7"/>
    <w:rsid w:val="6B2B0BED"/>
    <w:rsid w:val="6B4EF4A0"/>
    <w:rsid w:val="6BBF548D"/>
    <w:rsid w:val="6BEE3C17"/>
    <w:rsid w:val="6CFC5835"/>
    <w:rsid w:val="6E77237F"/>
    <w:rsid w:val="6E7965C7"/>
    <w:rsid w:val="6EBFDC21"/>
    <w:rsid w:val="6EBFFE06"/>
    <w:rsid w:val="6EDC6954"/>
    <w:rsid w:val="6F7FD66B"/>
    <w:rsid w:val="6FB1B2A4"/>
    <w:rsid w:val="6FC75035"/>
    <w:rsid w:val="6FE9DFA5"/>
    <w:rsid w:val="6FF6B73E"/>
    <w:rsid w:val="6FF7B5C8"/>
    <w:rsid w:val="72B16660"/>
    <w:rsid w:val="72FEDFAF"/>
    <w:rsid w:val="74EF0DAF"/>
    <w:rsid w:val="75FFDC8C"/>
    <w:rsid w:val="76576194"/>
    <w:rsid w:val="76AD0C82"/>
    <w:rsid w:val="776C2E8C"/>
    <w:rsid w:val="77F16829"/>
    <w:rsid w:val="78FF9F1C"/>
    <w:rsid w:val="79874A51"/>
    <w:rsid w:val="79B72732"/>
    <w:rsid w:val="79E39172"/>
    <w:rsid w:val="79EB52D8"/>
    <w:rsid w:val="7A8FECFA"/>
    <w:rsid w:val="7B6D3C00"/>
    <w:rsid w:val="7B77E946"/>
    <w:rsid w:val="7BBFB3DC"/>
    <w:rsid w:val="7BEF48FB"/>
    <w:rsid w:val="7BFFD2F7"/>
    <w:rsid w:val="7C7DDD51"/>
    <w:rsid w:val="7C7FB7CA"/>
    <w:rsid w:val="7D473A11"/>
    <w:rsid w:val="7D7FD33D"/>
    <w:rsid w:val="7DBDD90E"/>
    <w:rsid w:val="7DBF2FD1"/>
    <w:rsid w:val="7DBFEFAD"/>
    <w:rsid w:val="7DD7718F"/>
    <w:rsid w:val="7DF9200D"/>
    <w:rsid w:val="7E3F6002"/>
    <w:rsid w:val="7E3F68FF"/>
    <w:rsid w:val="7E5E4C32"/>
    <w:rsid w:val="7E9F6469"/>
    <w:rsid w:val="7EFF22BE"/>
    <w:rsid w:val="7EFFC158"/>
    <w:rsid w:val="7F3B9F4C"/>
    <w:rsid w:val="7F3C3286"/>
    <w:rsid w:val="7F695405"/>
    <w:rsid w:val="7F6B748A"/>
    <w:rsid w:val="7F7F96A0"/>
    <w:rsid w:val="7FB49696"/>
    <w:rsid w:val="7FBF0F91"/>
    <w:rsid w:val="7FE7235C"/>
    <w:rsid w:val="7FEFFDDE"/>
    <w:rsid w:val="7FF31721"/>
    <w:rsid w:val="7FFCE884"/>
    <w:rsid w:val="7FFFE3D2"/>
    <w:rsid w:val="8ABEE47C"/>
    <w:rsid w:val="8CFE00A2"/>
    <w:rsid w:val="97FF1A02"/>
    <w:rsid w:val="9DCD77E2"/>
    <w:rsid w:val="9E4B7A65"/>
    <w:rsid w:val="9FFC8C28"/>
    <w:rsid w:val="A37FC9A5"/>
    <w:rsid w:val="AE357413"/>
    <w:rsid w:val="AEAF67DC"/>
    <w:rsid w:val="AECFAD74"/>
    <w:rsid w:val="AED07A5A"/>
    <w:rsid w:val="AEFFF231"/>
    <w:rsid w:val="AF7349BF"/>
    <w:rsid w:val="B07A08BD"/>
    <w:rsid w:val="B1FDE468"/>
    <w:rsid w:val="B3DA1076"/>
    <w:rsid w:val="B3FEA9EF"/>
    <w:rsid w:val="B7FEF551"/>
    <w:rsid w:val="BA7F4969"/>
    <w:rsid w:val="BBBE4515"/>
    <w:rsid w:val="BBD68691"/>
    <w:rsid w:val="BFB8369A"/>
    <w:rsid w:val="BFD7C2A8"/>
    <w:rsid w:val="BFDF5E9D"/>
    <w:rsid w:val="BFFF175C"/>
    <w:rsid w:val="BFFFC478"/>
    <w:rsid w:val="C2FF7057"/>
    <w:rsid w:val="CBDA46FA"/>
    <w:rsid w:val="CDF9AD73"/>
    <w:rsid w:val="CEAF22DB"/>
    <w:rsid w:val="CFABA3EB"/>
    <w:rsid w:val="CFBDAEF9"/>
    <w:rsid w:val="CFFF1593"/>
    <w:rsid w:val="D5D73689"/>
    <w:rsid w:val="D7F8DDAE"/>
    <w:rsid w:val="D99D7B6E"/>
    <w:rsid w:val="DBF64670"/>
    <w:rsid w:val="DDF7D8BE"/>
    <w:rsid w:val="DF5E5F26"/>
    <w:rsid w:val="DFBF84B6"/>
    <w:rsid w:val="DFDD6831"/>
    <w:rsid w:val="DFDF6213"/>
    <w:rsid w:val="DFFD1283"/>
    <w:rsid w:val="E537C511"/>
    <w:rsid w:val="E5718167"/>
    <w:rsid w:val="E5AB3AAB"/>
    <w:rsid w:val="E5BF934A"/>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1B927A4"/>
    <w:rsid w:val="F3FF92B4"/>
    <w:rsid w:val="F53F9E58"/>
    <w:rsid w:val="F56E2A6E"/>
    <w:rsid w:val="F5DFBCBC"/>
    <w:rsid w:val="F5EEDA60"/>
    <w:rsid w:val="F66FF0AD"/>
    <w:rsid w:val="F6BF0D11"/>
    <w:rsid w:val="F6DFFC0C"/>
    <w:rsid w:val="F73F225B"/>
    <w:rsid w:val="F77F37FD"/>
    <w:rsid w:val="F7B52906"/>
    <w:rsid w:val="F8BFEF65"/>
    <w:rsid w:val="FABE4737"/>
    <w:rsid w:val="FB19B0AA"/>
    <w:rsid w:val="FB6DB6EE"/>
    <w:rsid w:val="FBCF5F94"/>
    <w:rsid w:val="FBDF91EB"/>
    <w:rsid w:val="FBF71024"/>
    <w:rsid w:val="FBFF7EF4"/>
    <w:rsid w:val="FCDFB608"/>
    <w:rsid w:val="FD157881"/>
    <w:rsid w:val="FD375179"/>
    <w:rsid w:val="FD6C9E97"/>
    <w:rsid w:val="FD6EB3EE"/>
    <w:rsid w:val="FD7E729E"/>
    <w:rsid w:val="FDBDD900"/>
    <w:rsid w:val="FDF59568"/>
    <w:rsid w:val="FE29F0CA"/>
    <w:rsid w:val="FEA64923"/>
    <w:rsid w:val="FED769C8"/>
    <w:rsid w:val="FEFD8847"/>
    <w:rsid w:val="FEFE96F1"/>
    <w:rsid w:val="FF3362C6"/>
    <w:rsid w:val="FF6F6FFE"/>
    <w:rsid w:val="FF7BF13D"/>
    <w:rsid w:val="FF943FE1"/>
    <w:rsid w:val="FFE7A28B"/>
    <w:rsid w:val="FFEFF665"/>
    <w:rsid w:val="FFF71BDB"/>
    <w:rsid w:val="FFF72BE1"/>
    <w:rsid w:val="FFF9CCB1"/>
    <w:rsid w:val="FFFA0194"/>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10</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2026-02-08T00:22:00Z</dcterms:created>
  <dc:creator>Arthur (Xiao) Dong</dc:creator>
  <cp:lastModifiedBy>Arthur (Xiao) Dong</cp:lastModifiedBy>
  <dcterms:modified xsi:type="dcterms:W3CDTF">2026-05-11T22:36:39Z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